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C729F1">
      <w:bookmarkStart w:id="0" w:name="_Toc320695025"/>
      <w:bookmarkStart w:id="1" w:name="_Toc320695348"/>
      <w:bookmarkStart w:id="2" w:name="_Toc303604611"/>
      <w:bookmarkStart w:id="3" w:name="_Toc303690909"/>
    </w:p>
    <w:p w:rsidR="00C729F1" w:rsidRDefault="00C729F1" w:rsidP="00C729F1"/>
    <w:p w:rsidR="00C729F1" w:rsidRDefault="00C729F1" w:rsidP="00C729F1"/>
    <w:p w:rsidR="00C729F1" w:rsidRPr="0028348F" w:rsidRDefault="00C84343" w:rsidP="00C84343">
      <w:pPr>
        <w:pStyle w:val="QuestionNo"/>
        <w:rPr>
          <w:lang w:val="es-ES_tradnl"/>
        </w:rPr>
      </w:pPr>
      <w:bookmarkStart w:id="4" w:name="_Toc360171154"/>
      <w:bookmarkEnd w:id="0"/>
      <w:bookmarkEnd w:id="1"/>
      <w:r>
        <w:rPr>
          <w:lang w:val="es-ES_tradnl"/>
        </w:rPr>
        <w:t>C</w:t>
      </w:r>
      <w:r w:rsidR="0028348F" w:rsidRPr="0028348F">
        <w:rPr>
          <w:lang w:val="es-ES_tradnl"/>
        </w:rPr>
        <w:t>UESTI</w:t>
      </w:r>
      <w:r>
        <w:rPr>
          <w:lang w:val="es-ES_tradnl"/>
        </w:rPr>
        <w:t>Ó</w:t>
      </w:r>
      <w:r w:rsidR="0028348F" w:rsidRPr="0028348F">
        <w:rPr>
          <w:lang w:val="es-ES_tradnl"/>
        </w:rPr>
        <w:t xml:space="preserve">N </w:t>
      </w:r>
      <w:r w:rsidR="00C729F1" w:rsidRPr="0028348F">
        <w:rPr>
          <w:lang w:val="es-ES_tradnl"/>
        </w:rPr>
        <w:t>2</w:t>
      </w:r>
      <w:r w:rsidR="0028348F" w:rsidRPr="0028348F">
        <w:rPr>
          <w:lang w:val="es-ES_tradnl"/>
        </w:rPr>
        <w:t>3</w:t>
      </w:r>
      <w:r w:rsidR="00C729F1" w:rsidRPr="0028348F">
        <w:rPr>
          <w:lang w:val="es-ES_tradnl"/>
        </w:rPr>
        <w:t>/1:</w:t>
      </w:r>
      <w:bookmarkEnd w:id="4"/>
    </w:p>
    <w:p w:rsidR="00C729F1" w:rsidRPr="0028348F" w:rsidRDefault="0028348F" w:rsidP="006570A8">
      <w:pPr>
        <w:pStyle w:val="QuestionTitle"/>
        <w:rPr>
          <w:lang w:val="es-ES_tradnl"/>
        </w:rPr>
      </w:pPr>
      <w:r w:rsidRPr="00D15FE4">
        <w:rPr>
          <w:rFonts w:eastAsia="Times New Roman"/>
          <w:lang w:val="es-ES_tradnl"/>
        </w:rPr>
        <w:t>Estrategias y políticas relativas a la exposición de las personas a los campos electromagnéticos</w:t>
      </w:r>
    </w:p>
    <w:p w:rsidR="004A3FC4" w:rsidRPr="0028348F" w:rsidRDefault="004A3FC4" w:rsidP="00F859AE">
      <w:pPr>
        <w:rPr>
          <w:sz w:val="28"/>
          <w:szCs w:val="18"/>
          <w:lang w:val="es-ES_tradnl"/>
        </w:rPr>
      </w:pPr>
    </w:p>
    <w:p w:rsidR="008B2896" w:rsidRPr="0028348F" w:rsidRDefault="008B2896" w:rsidP="008B2896">
      <w:pPr>
        <w:pStyle w:val="Chapttitle"/>
        <w:spacing w:before="240"/>
        <w:jc w:val="right"/>
        <w:rPr>
          <w:i/>
          <w:iCs/>
          <w:color w:val="auto"/>
          <w:sz w:val="24"/>
          <w:szCs w:val="18"/>
          <w:lang w:val="es-ES_tradnl"/>
        </w:rPr>
      </w:pPr>
    </w:p>
    <w:bookmarkEnd w:id="2"/>
    <w:bookmarkEnd w:id="3"/>
    <w:p w:rsidR="00B824FE" w:rsidRPr="0028348F" w:rsidRDefault="00B824FE" w:rsidP="00B824FE">
      <w:pPr>
        <w:keepNext/>
        <w:keepLines/>
        <w:tabs>
          <w:tab w:val="left" w:pos="851"/>
        </w:tabs>
        <w:spacing w:before="240"/>
        <w:jc w:val="right"/>
        <w:outlineLvl w:val="0"/>
        <w:rPr>
          <w:rFonts w:eastAsia="Times New Roman" w:cs="Helvetica"/>
          <w:b/>
          <w:bCs/>
          <w:i/>
          <w:iCs/>
          <w:sz w:val="48"/>
          <w:szCs w:val="36"/>
          <w:lang w:val="es-ES_tradnl"/>
        </w:rPr>
      </w:pPr>
    </w:p>
    <w:p w:rsidR="00B824FE" w:rsidRPr="0028348F" w:rsidRDefault="00B824FE" w:rsidP="00C7150D">
      <w:pPr>
        <w:rPr>
          <w:noProof/>
          <w:u w:color="E36C0A"/>
          <w:lang w:val="es-ES_tradnl" w:eastAsia="zh-CN"/>
        </w:rPr>
      </w:pPr>
    </w:p>
    <w:p w:rsidR="00C7150D" w:rsidRPr="0028348F" w:rsidRDefault="00C7150D" w:rsidP="00C7150D">
      <w:pPr>
        <w:rPr>
          <w:noProof/>
          <w:u w:color="E36C0A"/>
          <w:lang w:val="es-ES_tradnl" w:eastAsia="zh-CN"/>
        </w:rPr>
      </w:pPr>
    </w:p>
    <w:p w:rsidR="00C7150D" w:rsidRPr="0028348F" w:rsidRDefault="00C7150D" w:rsidP="00C7150D">
      <w:pPr>
        <w:rPr>
          <w:noProof/>
          <w:u w:color="E36C0A"/>
          <w:lang w:val="es-ES_tradnl" w:eastAsia="zh-CN"/>
        </w:rPr>
      </w:pPr>
    </w:p>
    <w:p w:rsidR="00C7150D" w:rsidRPr="0028348F" w:rsidRDefault="00C7150D" w:rsidP="00C7150D">
      <w:pPr>
        <w:rPr>
          <w:noProof/>
          <w:u w:color="E36C0A"/>
          <w:lang w:val="es-ES_tradnl" w:eastAsia="zh-CN"/>
        </w:rPr>
      </w:pPr>
    </w:p>
    <w:p w:rsidR="00C7150D" w:rsidRPr="0028348F" w:rsidRDefault="00C7150D" w:rsidP="00C7150D">
      <w:pPr>
        <w:rPr>
          <w:noProof/>
          <w:u w:color="E36C0A"/>
          <w:lang w:val="es-ES_tradnl" w:eastAsia="zh-CN"/>
        </w:rPr>
      </w:pPr>
    </w:p>
    <w:p w:rsidR="00C7150D" w:rsidRPr="0028348F" w:rsidRDefault="00C7150D" w:rsidP="00C7150D">
      <w:pPr>
        <w:rPr>
          <w:noProof/>
          <w:u w:color="E36C0A"/>
          <w:lang w:val="es-ES_tradnl" w:eastAsia="zh-CN"/>
        </w:rPr>
      </w:pPr>
    </w:p>
    <w:p w:rsidR="00C7150D" w:rsidRPr="0028348F" w:rsidRDefault="00C7150D" w:rsidP="00C7150D">
      <w:pPr>
        <w:rPr>
          <w:noProof/>
          <w:u w:color="E36C0A"/>
          <w:lang w:val="es-ES_tradnl" w:eastAsia="zh-CN"/>
        </w:rPr>
      </w:pPr>
    </w:p>
    <w:p w:rsidR="00C7150D" w:rsidRPr="0028348F" w:rsidRDefault="00C7150D" w:rsidP="00C7150D">
      <w:pPr>
        <w:rPr>
          <w:noProof/>
          <w:u w:color="E36C0A"/>
          <w:lang w:val="es-ES_tradnl" w:eastAsia="zh-CN"/>
        </w:rPr>
      </w:pPr>
    </w:p>
    <w:p w:rsidR="00C7150D" w:rsidRPr="0028348F" w:rsidRDefault="00C7150D" w:rsidP="00C7150D">
      <w:pPr>
        <w:rPr>
          <w:noProof/>
          <w:u w:color="E36C0A"/>
          <w:lang w:val="es-ES_tradnl" w:eastAsia="zh-CN"/>
        </w:rPr>
      </w:pPr>
    </w:p>
    <w:p w:rsidR="00C7150D" w:rsidRPr="0028348F" w:rsidRDefault="00C7150D" w:rsidP="00C7150D">
      <w:pPr>
        <w:rPr>
          <w:u w:color="E36C0A"/>
          <w:lang w:val="es-ES_tradnl"/>
        </w:rPr>
      </w:pPr>
    </w:p>
    <w:p w:rsidR="00C7150D" w:rsidRPr="0028348F" w:rsidRDefault="00C7150D" w:rsidP="00C7150D">
      <w:pPr>
        <w:rPr>
          <w:u w:color="E36C0A"/>
          <w:lang w:val="es-ES_tradnl"/>
        </w:rPr>
      </w:pPr>
    </w:p>
    <w:p w:rsidR="00C7150D" w:rsidRPr="0028348F" w:rsidRDefault="00C7150D" w:rsidP="00C7150D">
      <w:pPr>
        <w:rPr>
          <w:u w:color="E36C0A"/>
          <w:lang w:val="es-ES_tradnl"/>
        </w:rPr>
      </w:pPr>
    </w:p>
    <w:p w:rsidR="00C7150D" w:rsidRPr="0028348F" w:rsidRDefault="00C7150D" w:rsidP="00C7150D">
      <w:pPr>
        <w:rPr>
          <w:u w:color="E36C0A"/>
          <w:lang w:val="es-ES_tradnl"/>
        </w:rPr>
      </w:pPr>
    </w:p>
    <w:p w:rsidR="0080173C" w:rsidRPr="0028348F" w:rsidRDefault="0080173C" w:rsidP="00C7150D">
      <w:pPr>
        <w:rPr>
          <w:u w:color="E36C0A"/>
          <w:lang w:val="es-ES_tradnl"/>
        </w:rPr>
      </w:pPr>
    </w:p>
    <w:p w:rsidR="00B824FE" w:rsidRPr="0028348F" w:rsidRDefault="00B824FE" w:rsidP="00B824FE">
      <w:pPr>
        <w:rPr>
          <w:rFonts w:eastAsia="Times New Roman"/>
          <w:lang w:val="es-ES_tradnl"/>
        </w:rPr>
      </w:pPr>
    </w:p>
    <w:p w:rsidR="00B824FE" w:rsidRPr="0028348F" w:rsidRDefault="00B824FE" w:rsidP="00B824FE">
      <w:pPr>
        <w:rPr>
          <w:rFonts w:eastAsia="Times New Roman"/>
          <w:lang w:val="es-ES_tradnl"/>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C84343" w:rsidTr="00E6584D">
        <w:tc>
          <w:tcPr>
            <w:tcW w:w="7763" w:type="dxa"/>
            <w:shd w:val="clear" w:color="auto" w:fill="auto"/>
          </w:tcPr>
          <w:p w:rsidR="00B824FE" w:rsidRPr="0028348F" w:rsidRDefault="00B824FE" w:rsidP="00E6584D">
            <w:pPr>
              <w:spacing w:before="0"/>
              <w:jc w:val="left"/>
              <w:rPr>
                <w:rFonts w:eastAsia="Times New Roman"/>
                <w:shd w:val="clear" w:color="auto" w:fill="E6F3B7"/>
                <w:lang w:val="es-ES_tradnl"/>
              </w:rPr>
            </w:pPr>
          </w:p>
        </w:tc>
        <w:tc>
          <w:tcPr>
            <w:tcW w:w="1815" w:type="dxa"/>
            <w:shd w:val="clear" w:color="auto" w:fill="auto"/>
            <w:vAlign w:val="bottom"/>
          </w:tcPr>
          <w:p w:rsidR="00B824FE" w:rsidRPr="0028348F" w:rsidRDefault="00B824FE" w:rsidP="00E6584D">
            <w:pPr>
              <w:spacing w:before="0"/>
              <w:jc w:val="right"/>
              <w:rPr>
                <w:rFonts w:eastAsia="Times New Roman"/>
                <w:shd w:val="clear" w:color="auto" w:fill="E6F3B7"/>
                <w:lang w:val="es-ES_tradnl"/>
              </w:rPr>
            </w:pPr>
          </w:p>
        </w:tc>
      </w:tr>
    </w:tbl>
    <w:p w:rsidR="008E64AB" w:rsidRPr="0028348F" w:rsidRDefault="00FF4352">
      <w:pPr>
        <w:spacing w:before="0"/>
        <w:jc w:val="left"/>
        <w:rPr>
          <w:lang w:val="es-ES_tradnl"/>
        </w:rPr>
      </w:pPr>
      <w:r>
        <w:rPr>
          <w:noProof/>
          <w:lang w:val="en-US" w:eastAsia="zh-CN"/>
        </w:rPr>
        <w:drawing>
          <wp:anchor distT="0" distB="0" distL="114300" distR="114300" simplePos="0" relativeHeight="251657728" behindDoc="0" locked="0" layoutInCell="1" allowOverlap="1">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Pr="0028348F" w:rsidRDefault="002208F5" w:rsidP="006570A8">
      <w:pPr>
        <w:rPr>
          <w:lang w:val="es-ES_tradnl"/>
        </w:rPr>
      </w:pPr>
      <w:r w:rsidRPr="0028348F">
        <w:rPr>
          <w:lang w:val="es-ES_tradnl"/>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075AC8" w:rsidRPr="00C84343" w:rsidTr="0028348F">
        <w:tc>
          <w:tcPr>
            <w:tcW w:w="9072" w:type="dxa"/>
            <w:shd w:val="clear" w:color="auto" w:fill="E8F8FD"/>
          </w:tcPr>
          <w:p w:rsidR="0045440D" w:rsidRPr="0045440D" w:rsidRDefault="0045440D" w:rsidP="0045440D">
            <w:pPr>
              <w:spacing w:after="120"/>
              <w:rPr>
                <w:b/>
                <w:bCs/>
                <w:lang w:val="es-ES_tradnl"/>
              </w:rPr>
            </w:pPr>
            <w:r w:rsidRPr="0045440D">
              <w:rPr>
                <w:b/>
                <w:bCs/>
                <w:lang w:val="es-ES_tradnl"/>
              </w:rPr>
              <w:lastRenderedPageBreak/>
              <w:t xml:space="preserve">Comisiones </w:t>
            </w:r>
            <w:r>
              <w:rPr>
                <w:b/>
                <w:bCs/>
                <w:lang w:val="es-ES_tradnl"/>
              </w:rPr>
              <w:t>d</w:t>
            </w:r>
            <w:r w:rsidRPr="0045440D">
              <w:rPr>
                <w:b/>
                <w:bCs/>
                <w:lang w:val="es-ES_tradnl"/>
              </w:rPr>
              <w:t>e Estudio del UIT-D</w:t>
            </w:r>
          </w:p>
          <w:p w:rsidR="0045440D" w:rsidRPr="002E3A1A" w:rsidRDefault="0045440D" w:rsidP="0045440D">
            <w:pPr>
              <w:spacing w:after="120"/>
              <w:rPr>
                <w:lang w:val="es-ES_tradnl"/>
              </w:rPr>
            </w:pPr>
            <w:r w:rsidRPr="002E3A1A">
              <w:rPr>
                <w:lang w:val="es-ES_tradnl"/>
              </w:rPr>
              <w:t>Para apoyar el programa de divulgación de conocimientos y creación de capacidades de la Oficina de Desarrollo de las Telecomunicaciones, las Comisiones de Estudio del UIT-D ayudan a los países a alcanzar sus objetivos de desarrollo. Las Comisiones de Estudio del UIT-D, que actúan de catalizador creando, compartiendo y aplicando conocimientos de las TIC para reducir la pobreza y propiciar el desarrollo socioeconómico, contribuyen a crear condiciones propicias para que los Estados Miembros utilicen los conocimientos y alcancen más fácilmente sus objetivos de desarrollo.</w:t>
            </w:r>
          </w:p>
          <w:p w:rsidR="00075AC8" w:rsidRPr="0045440D" w:rsidRDefault="0045440D" w:rsidP="0028348F">
            <w:pPr>
              <w:pStyle w:val="HeadingB"/>
              <w:rPr>
                <w:lang w:val="es-ES_tradnl"/>
              </w:rPr>
            </w:pPr>
            <w:r>
              <w:rPr>
                <w:lang w:val="es-ES_tradnl"/>
              </w:rPr>
              <w:t>P</w:t>
            </w:r>
            <w:r w:rsidRPr="002E3A1A">
              <w:rPr>
                <w:lang w:val="es-ES_tradnl"/>
              </w:rPr>
              <w:t>lataforma de conocimientos</w:t>
            </w:r>
          </w:p>
          <w:p w:rsidR="0045440D" w:rsidRPr="002E3A1A" w:rsidRDefault="0045440D" w:rsidP="00370573">
            <w:pPr>
              <w:spacing w:after="120"/>
              <w:rPr>
                <w:lang w:val="es-ES_tradnl"/>
              </w:rPr>
            </w:pPr>
            <w:r w:rsidRPr="002E3A1A">
              <w:rPr>
                <w:lang w:val="es-ES_tradnl"/>
              </w:rPr>
              <w:t>Los resultados aprobados en las Comisiones de Estudio del UIT-D, así como el material de referencia conexo, se utilizan para implementar políticas, estrategias, proyectos e iniciativas especiales en los 193</w:t>
            </w:r>
            <w:r w:rsidR="00370573">
              <w:rPr>
                <w:lang w:val="es-ES_tradnl"/>
              </w:rPr>
              <w:t> </w:t>
            </w:r>
            <w:r w:rsidRPr="002E3A1A">
              <w:rPr>
                <w:lang w:val="es-ES_tradnl"/>
              </w:rPr>
              <w:t>Estados Miembros de la UIT. Esas actividades también permiten aumentar el acervo de conocimientos compartidos entre los Miembros.</w:t>
            </w:r>
          </w:p>
          <w:p w:rsidR="0045440D" w:rsidRPr="0045440D" w:rsidRDefault="0045440D" w:rsidP="0045440D">
            <w:pPr>
              <w:pStyle w:val="HeadingB"/>
              <w:rPr>
                <w:lang w:val="es-ES_tradnl"/>
              </w:rPr>
            </w:pPr>
            <w:r>
              <w:rPr>
                <w:lang w:val="es-ES_tradnl"/>
              </w:rPr>
              <w:t>C</w:t>
            </w:r>
            <w:r w:rsidRPr="002E3A1A">
              <w:rPr>
                <w:lang w:val="es-ES_tradnl"/>
              </w:rPr>
              <w:t>entro de intercambio de información y divulgación de conocimientos</w:t>
            </w:r>
          </w:p>
          <w:p w:rsidR="0045440D" w:rsidRPr="002E3A1A" w:rsidRDefault="0045440D" w:rsidP="0045440D">
            <w:pPr>
              <w:spacing w:after="120"/>
              <w:rPr>
                <w:lang w:val="es-ES_tradnl"/>
              </w:rPr>
            </w:pPr>
            <w:r w:rsidRPr="002E3A1A">
              <w:rPr>
                <w:lang w:val="es-ES_tradnl"/>
              </w:rPr>
              <w:t>Los temas de interés colectivo se comparten en reuniones físicas, foros electrónicos y reuniones con participación a distancia en una atmósfera propicia al debate abierto y el intercambio de información.</w:t>
            </w:r>
          </w:p>
          <w:p w:rsidR="0045440D" w:rsidRPr="0045440D" w:rsidRDefault="0045440D" w:rsidP="0045440D">
            <w:pPr>
              <w:pStyle w:val="HeadingB"/>
              <w:rPr>
                <w:lang w:val="es-ES_tradnl"/>
              </w:rPr>
            </w:pPr>
            <w:r>
              <w:rPr>
                <w:lang w:val="es-ES_tradnl"/>
              </w:rPr>
              <w:t>A</w:t>
            </w:r>
            <w:r w:rsidRPr="002E3A1A">
              <w:rPr>
                <w:lang w:val="es-ES_tradnl"/>
              </w:rPr>
              <w:t>cervo de información</w:t>
            </w:r>
          </w:p>
          <w:p w:rsidR="0045440D" w:rsidRDefault="0045440D" w:rsidP="0045440D">
            <w:pPr>
              <w:spacing w:after="120"/>
              <w:rPr>
                <w:lang w:val="es-ES_tradnl"/>
              </w:rPr>
            </w:pPr>
            <w:r w:rsidRPr="002E3A1A">
              <w:rPr>
                <w:lang w:val="es-ES_tradnl"/>
              </w:rPr>
              <w:t>Los Informes, directrices, prácticas idóneas y Recomendaciones se elaboran a partir de las contribuciones sometidas por los miembros de los Grupos. La información se reúne en encuestas, contribuciones y estudios de casos, y se divulga para que los miembros la puedan consultar fácilmente con instrumentos de gestión de contenido y publicación web.</w:t>
            </w:r>
          </w:p>
          <w:p w:rsidR="0045440D" w:rsidRPr="0045440D" w:rsidRDefault="0045440D" w:rsidP="0045440D">
            <w:pPr>
              <w:pStyle w:val="HeadingB"/>
              <w:rPr>
                <w:lang w:val="es-ES_tradnl"/>
              </w:rPr>
            </w:pPr>
            <w:r w:rsidRPr="0045440D">
              <w:rPr>
                <w:lang w:val="es-ES_tradnl"/>
              </w:rPr>
              <w:t>Comisión de Estudio 1</w:t>
            </w:r>
          </w:p>
          <w:p w:rsidR="00075AC8" w:rsidRDefault="0045440D" w:rsidP="0045440D">
            <w:pPr>
              <w:spacing w:after="120"/>
              <w:rPr>
                <w:lang w:val="es-ES"/>
              </w:rPr>
            </w:pPr>
            <w:r w:rsidRPr="007B3C9D">
              <w:rPr>
                <w:lang w:val="es-ES"/>
              </w:rPr>
              <w:t>En el periodo de 2010-2014 se encargó a la Comisión de Estudio 1 que estudiara nueve Cuestiones en los ámbitos de entorno propicio, ciberseguridad, aplicaciones TIC y cuestiones relativas a Internet. Concentró su labor en políticas y estrategias nacionales de telecomunicaciones que permiten a los países aprovechar de forma óptima el ímpetu de las telecomunicaciones/TIC como motor de crecimiento sostenible, de la creación de empleo y del desarrollo económico, social y cultural, teniendo presentes las cuestiones prioritarias para los países en desarrollo. La labor comprendía las políticas de acceso a las telecomunicaciones/TIC, en particular, el acceso de las personas con discapacidad y con necesidades especiales, así como la seguridad en las redes de telecomunicaciones/TIC. También se concentró en políticas y modelos tarifarios para las redes de la próxima generación, cuestiones relativas a la convergencia, acceso universal a los servicios de banda ancha fijos y móviles, análisis de las repercusiones, y aplicación de principios de costes y contables, teniendo en cuenta los resultados de los estudios llevados a cabo por el UIT-R y el UIT-T, y las prioridades de los países en desarrollo.</w:t>
            </w:r>
          </w:p>
          <w:p w:rsidR="00113513" w:rsidRPr="0045440D" w:rsidRDefault="00113513" w:rsidP="0045440D">
            <w:pPr>
              <w:spacing w:after="120"/>
              <w:rPr>
                <w:lang w:val="es-ES_tradnl"/>
              </w:rPr>
            </w:pPr>
            <w:r w:rsidRPr="00113513">
              <w:rPr>
                <w:lang w:val="es-ES"/>
              </w:rPr>
              <w:t>En la elaboración del presente informe han participado muchos voluntarios, provenientes de diversas administraciones y empresas. Cualquier mención de empresas o productos concretos no implica en ningún caso un apoyo o recomendación por parte de la UIT.</w:t>
            </w:r>
          </w:p>
        </w:tc>
      </w:tr>
    </w:tbl>
    <w:p w:rsidR="00075AC8" w:rsidRPr="0045440D" w:rsidRDefault="00075AC8" w:rsidP="00075AC8">
      <w:pPr>
        <w:rPr>
          <w:lang w:val="es-ES_tradnl"/>
        </w:rPr>
      </w:pPr>
    </w:p>
    <w:p w:rsidR="00075AC8" w:rsidRPr="0045440D" w:rsidRDefault="00075AC8" w:rsidP="00075AC8">
      <w:pPr>
        <w:spacing w:before="360"/>
        <w:ind w:left="1060" w:right="848"/>
        <w:jc w:val="center"/>
        <w:rPr>
          <w:b/>
          <w:bCs/>
          <w:lang w:val="es-ES_tradnl"/>
        </w:rPr>
      </w:pPr>
    </w:p>
    <w:p w:rsidR="00075AC8" w:rsidRPr="004C1694" w:rsidRDefault="00075AC8" w:rsidP="004C1694">
      <w:pPr>
        <w:spacing w:before="360"/>
        <w:ind w:left="1060" w:right="848"/>
        <w:jc w:val="center"/>
        <w:rPr>
          <w:rFonts w:asciiTheme="minorHAnsi" w:eastAsia="Times New Roman" w:hAnsiTheme="minorHAnsi"/>
          <w:lang w:val="es-ES_tradnl"/>
        </w:rPr>
      </w:pPr>
      <w:r w:rsidRPr="00BE4F77">
        <w:rPr>
          <w:rFonts w:ascii="Symbol" w:eastAsia="Times New Roman" w:hAnsi="Symbol"/>
        </w:rPr>
        <w:t></w:t>
      </w:r>
      <w:r w:rsidRPr="004C1694">
        <w:rPr>
          <w:rFonts w:eastAsia="Times New Roman"/>
          <w:lang w:val="es-ES_tradnl"/>
        </w:rPr>
        <w:t xml:space="preserve"> </w:t>
      </w:r>
      <w:r w:rsidRPr="004C1694">
        <w:rPr>
          <w:rFonts w:asciiTheme="minorHAnsi" w:eastAsia="Times New Roman" w:hAnsiTheme="minorHAnsi"/>
          <w:lang w:val="es-ES_tradnl"/>
        </w:rPr>
        <w:t>U</w:t>
      </w:r>
      <w:r w:rsidR="004C1694">
        <w:rPr>
          <w:rFonts w:asciiTheme="minorHAnsi" w:eastAsia="Times New Roman" w:hAnsiTheme="minorHAnsi"/>
          <w:lang w:val="es-ES_tradnl"/>
        </w:rPr>
        <w:t>IT</w:t>
      </w:r>
      <w:r w:rsidRPr="004C1694">
        <w:rPr>
          <w:rFonts w:asciiTheme="minorHAnsi" w:eastAsia="Times New Roman" w:hAnsiTheme="minorHAnsi"/>
          <w:lang w:val="es-ES_tradnl"/>
        </w:rPr>
        <w:t xml:space="preserve"> 2014</w:t>
      </w:r>
    </w:p>
    <w:p w:rsidR="00344375" w:rsidRPr="004C1694" w:rsidRDefault="004C1694" w:rsidP="00075AC8">
      <w:pPr>
        <w:rPr>
          <w:rFonts w:asciiTheme="minorHAnsi" w:eastAsia="Times New Roman" w:hAnsiTheme="minorHAnsi"/>
          <w:lang w:val="es-ES_tradnl"/>
        </w:rPr>
      </w:pPr>
      <w:r w:rsidRPr="004C1694">
        <w:rPr>
          <w:rFonts w:asciiTheme="minorHAnsi" w:eastAsia="Times New Roman" w:hAnsiTheme="minorHAnsi"/>
          <w:lang w:val="es-ES_tradnl"/>
        </w:rPr>
        <w:t>Reservados todos los derechos. Ninguna parte de esta publicación puede reproducirse por ningún procedimiento sin previa autorización escrita por parte de la UIT.</w:t>
      </w:r>
    </w:p>
    <w:p w:rsidR="006570A8" w:rsidRPr="004C1694" w:rsidRDefault="006570A8" w:rsidP="006570A8">
      <w:pPr>
        <w:rPr>
          <w:lang w:val="es-ES_tradnl"/>
        </w:rPr>
        <w:sectPr w:rsidR="006570A8" w:rsidRPr="004C1694"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C84BA8" w:rsidRPr="00634F41" w:rsidRDefault="00C84BA8" w:rsidP="00C84BA8">
      <w:pPr>
        <w:pStyle w:val="Chapttitle"/>
        <w:spacing w:before="400"/>
        <w:rPr>
          <w:lang w:val="en-GB"/>
        </w:rPr>
      </w:pPr>
      <w:bookmarkStart w:id="5" w:name="_Toc377560446"/>
      <w:bookmarkStart w:id="6" w:name="_Toc375046953"/>
      <w:bookmarkStart w:id="7" w:name="_Toc299639153"/>
      <w:r>
        <w:rPr>
          <w:lang w:val="en-GB"/>
        </w:rPr>
        <w:lastRenderedPageBreak/>
        <w:t>Índice</w:t>
      </w:r>
      <w:bookmarkEnd w:id="5"/>
    </w:p>
    <w:p w:rsidR="00C84BA8" w:rsidRPr="00695208" w:rsidRDefault="00C84BA8" w:rsidP="00C84BA8">
      <w:pPr>
        <w:pStyle w:val="Toc0"/>
        <w:tabs>
          <w:tab w:val="clear" w:pos="9071"/>
          <w:tab w:val="right" w:pos="9214"/>
        </w:tabs>
        <w:rPr>
          <w:rFonts w:asciiTheme="minorHAnsi" w:hAnsiTheme="minorHAnsi" w:cstheme="minorBidi"/>
          <w:lang w:val="en-GB" w:eastAsia="zh-CN"/>
        </w:rPr>
      </w:pPr>
      <w:r w:rsidRPr="00DD6562">
        <w:rPr>
          <w:lang w:val="en-GB"/>
        </w:rPr>
        <w:tab/>
      </w:r>
      <w:r>
        <w:rPr>
          <w:lang w:val="en-GB"/>
        </w:rPr>
        <w:t>Página</w:t>
      </w:r>
    </w:p>
    <w:p w:rsidR="00C84BA8" w:rsidRDefault="00C84BA8" w:rsidP="00C84BA8">
      <w:pPr>
        <w:pStyle w:val="TOC1"/>
        <w:rPr>
          <w:rFonts w:asciiTheme="minorHAnsi" w:eastAsiaTheme="minorEastAsia" w:hAnsiTheme="minorHAnsi" w:cstheme="minorBidi"/>
          <w:b w:val="0"/>
          <w:bCs w:val="0"/>
          <w:sz w:val="22"/>
          <w:szCs w:val="22"/>
          <w:lang w:eastAsia="zh-CN"/>
        </w:rPr>
      </w:pPr>
      <w:r>
        <w:rPr>
          <w:lang w:val="es-ES_tradnl"/>
        </w:rPr>
        <w:fldChar w:fldCharType="begin"/>
      </w:r>
      <w:r>
        <w:rPr>
          <w:lang w:val="es-ES_tradnl"/>
        </w:rPr>
        <w:instrText xml:space="preserve"> TOC \o "1-2" \h \z \u </w:instrText>
      </w:r>
      <w:r>
        <w:rPr>
          <w:lang w:val="es-ES_tradnl"/>
        </w:rPr>
        <w:fldChar w:fldCharType="separate"/>
      </w:r>
      <w:hyperlink w:anchor="_Toc377560448" w:history="1">
        <w:r w:rsidRPr="00E1113A">
          <w:rPr>
            <w:rStyle w:val="Hyperlink"/>
            <w:lang w:val="es-ES_tradnl"/>
          </w:rPr>
          <w:t>1</w:t>
        </w:r>
        <w:r>
          <w:rPr>
            <w:rFonts w:asciiTheme="minorHAnsi" w:eastAsiaTheme="minorEastAsia" w:hAnsiTheme="minorHAnsi" w:cstheme="minorBidi"/>
            <w:b w:val="0"/>
            <w:bCs w:val="0"/>
            <w:sz w:val="22"/>
            <w:szCs w:val="22"/>
            <w:lang w:eastAsia="zh-CN"/>
          </w:rPr>
          <w:tab/>
        </w:r>
        <w:r w:rsidRPr="00E1113A">
          <w:rPr>
            <w:rStyle w:val="Hyperlink"/>
            <w:lang w:val="es-ES_tradnl"/>
          </w:rPr>
          <w:t>Antecedentes</w:t>
        </w:r>
        <w:r>
          <w:rPr>
            <w:webHidden/>
          </w:rPr>
          <w:tab/>
        </w:r>
        <w:r>
          <w:rPr>
            <w:webHidden/>
          </w:rPr>
          <w:tab/>
        </w:r>
        <w:r>
          <w:rPr>
            <w:webHidden/>
          </w:rPr>
          <w:fldChar w:fldCharType="begin"/>
        </w:r>
        <w:r>
          <w:rPr>
            <w:webHidden/>
          </w:rPr>
          <w:instrText xml:space="preserve"> PAGEREF _Toc377560448 \h </w:instrText>
        </w:r>
        <w:r>
          <w:rPr>
            <w:webHidden/>
          </w:rPr>
        </w:r>
        <w:r>
          <w:rPr>
            <w:webHidden/>
          </w:rPr>
          <w:fldChar w:fldCharType="separate"/>
        </w:r>
        <w:r w:rsidR="000F2A69">
          <w:rPr>
            <w:webHidden/>
          </w:rPr>
          <w:t>1</w:t>
        </w:r>
        <w:r>
          <w:rPr>
            <w:webHidden/>
          </w:rPr>
          <w:fldChar w:fldCharType="end"/>
        </w:r>
      </w:hyperlink>
    </w:p>
    <w:p w:rsidR="00C84BA8" w:rsidRDefault="007E66A3">
      <w:pPr>
        <w:pStyle w:val="TOC1"/>
        <w:rPr>
          <w:rFonts w:asciiTheme="minorHAnsi" w:eastAsiaTheme="minorEastAsia" w:hAnsiTheme="minorHAnsi" w:cstheme="minorBidi"/>
          <w:b w:val="0"/>
          <w:bCs w:val="0"/>
          <w:sz w:val="22"/>
          <w:szCs w:val="22"/>
          <w:lang w:eastAsia="zh-CN"/>
        </w:rPr>
      </w:pPr>
      <w:hyperlink w:anchor="_Toc377560449" w:history="1">
        <w:r w:rsidR="00C84BA8" w:rsidRPr="00E1113A">
          <w:rPr>
            <w:rStyle w:val="Hyperlink"/>
            <w:lang w:val="es-ES_tradnl"/>
          </w:rPr>
          <w:t>2</w:t>
        </w:r>
        <w:r w:rsidR="00C84BA8">
          <w:rPr>
            <w:rFonts w:asciiTheme="minorHAnsi" w:eastAsiaTheme="minorEastAsia" w:hAnsiTheme="minorHAnsi" w:cstheme="minorBidi"/>
            <w:b w:val="0"/>
            <w:bCs w:val="0"/>
            <w:sz w:val="22"/>
            <w:szCs w:val="22"/>
            <w:lang w:eastAsia="zh-CN"/>
          </w:rPr>
          <w:tab/>
        </w:r>
        <w:r w:rsidR="00C84BA8" w:rsidRPr="00E1113A">
          <w:rPr>
            <w:rStyle w:val="Hyperlink"/>
            <w:lang w:val="es-ES_tradnl"/>
          </w:rPr>
          <w:t>Alcance y objetivos del presente Informe</w:t>
        </w:r>
        <w:r w:rsidR="00C84BA8">
          <w:rPr>
            <w:webHidden/>
          </w:rPr>
          <w:tab/>
        </w:r>
        <w:r w:rsidR="00C84BA8">
          <w:rPr>
            <w:webHidden/>
          </w:rPr>
          <w:tab/>
        </w:r>
        <w:r w:rsidR="00C84BA8">
          <w:rPr>
            <w:webHidden/>
          </w:rPr>
          <w:fldChar w:fldCharType="begin"/>
        </w:r>
        <w:r w:rsidR="00C84BA8">
          <w:rPr>
            <w:webHidden/>
          </w:rPr>
          <w:instrText xml:space="preserve"> PAGEREF _Toc377560449 \h </w:instrText>
        </w:r>
        <w:r w:rsidR="00C84BA8">
          <w:rPr>
            <w:webHidden/>
          </w:rPr>
        </w:r>
        <w:r w:rsidR="00C84BA8">
          <w:rPr>
            <w:webHidden/>
          </w:rPr>
          <w:fldChar w:fldCharType="separate"/>
        </w:r>
        <w:r w:rsidR="000F2A69">
          <w:rPr>
            <w:webHidden/>
          </w:rPr>
          <w:t>2</w:t>
        </w:r>
        <w:r w:rsidR="00C84BA8">
          <w:rPr>
            <w:webHidden/>
          </w:rPr>
          <w:fldChar w:fldCharType="end"/>
        </w:r>
      </w:hyperlink>
    </w:p>
    <w:p w:rsidR="00C84BA8" w:rsidRDefault="007E66A3">
      <w:pPr>
        <w:pStyle w:val="TOC1"/>
        <w:rPr>
          <w:rFonts w:asciiTheme="minorHAnsi" w:eastAsiaTheme="minorEastAsia" w:hAnsiTheme="minorHAnsi" w:cstheme="minorBidi"/>
          <w:b w:val="0"/>
          <w:bCs w:val="0"/>
          <w:sz w:val="22"/>
          <w:szCs w:val="22"/>
          <w:lang w:eastAsia="zh-CN"/>
        </w:rPr>
      </w:pPr>
      <w:hyperlink w:anchor="_Toc377560450" w:history="1">
        <w:r w:rsidR="00C84BA8" w:rsidRPr="00E1113A">
          <w:rPr>
            <w:rStyle w:val="Hyperlink"/>
            <w:lang w:val="es-ES_tradnl"/>
          </w:rPr>
          <w:t>3</w:t>
        </w:r>
        <w:r w:rsidR="00C84BA8">
          <w:rPr>
            <w:rFonts w:asciiTheme="minorHAnsi" w:eastAsiaTheme="minorEastAsia" w:hAnsiTheme="minorHAnsi" w:cstheme="minorBidi"/>
            <w:b w:val="0"/>
            <w:bCs w:val="0"/>
            <w:sz w:val="22"/>
            <w:szCs w:val="22"/>
            <w:lang w:eastAsia="zh-CN"/>
          </w:rPr>
          <w:tab/>
        </w:r>
        <w:r w:rsidR="00C84BA8" w:rsidRPr="00E1113A">
          <w:rPr>
            <w:rStyle w:val="Hyperlink"/>
            <w:lang w:val="es-ES_tradnl"/>
          </w:rPr>
          <w:t>Colaboración con otros Sectores y Organizaciones</w:t>
        </w:r>
        <w:r w:rsidR="00C84BA8">
          <w:rPr>
            <w:webHidden/>
          </w:rPr>
          <w:tab/>
        </w:r>
        <w:r w:rsidR="00C84BA8">
          <w:rPr>
            <w:webHidden/>
          </w:rPr>
          <w:tab/>
        </w:r>
        <w:r w:rsidR="00C84BA8">
          <w:rPr>
            <w:webHidden/>
          </w:rPr>
          <w:fldChar w:fldCharType="begin"/>
        </w:r>
        <w:r w:rsidR="00C84BA8">
          <w:rPr>
            <w:webHidden/>
          </w:rPr>
          <w:instrText xml:space="preserve"> PAGEREF _Toc377560450 \h </w:instrText>
        </w:r>
        <w:r w:rsidR="00C84BA8">
          <w:rPr>
            <w:webHidden/>
          </w:rPr>
        </w:r>
        <w:r w:rsidR="00C84BA8">
          <w:rPr>
            <w:webHidden/>
          </w:rPr>
          <w:fldChar w:fldCharType="separate"/>
        </w:r>
        <w:r w:rsidR="000F2A69">
          <w:rPr>
            <w:webHidden/>
          </w:rPr>
          <w:t>3</w:t>
        </w:r>
        <w:r w:rsidR="00C84BA8">
          <w:rPr>
            <w:webHidden/>
          </w:rPr>
          <w:fldChar w:fldCharType="end"/>
        </w:r>
      </w:hyperlink>
    </w:p>
    <w:p w:rsidR="00C84BA8" w:rsidRDefault="007E66A3">
      <w:pPr>
        <w:pStyle w:val="TOC1"/>
        <w:rPr>
          <w:rFonts w:asciiTheme="minorHAnsi" w:eastAsiaTheme="minorEastAsia" w:hAnsiTheme="minorHAnsi" w:cstheme="minorBidi"/>
          <w:b w:val="0"/>
          <w:bCs w:val="0"/>
          <w:sz w:val="22"/>
          <w:szCs w:val="22"/>
          <w:lang w:eastAsia="zh-CN"/>
        </w:rPr>
      </w:pPr>
      <w:hyperlink w:anchor="_Toc377560451" w:history="1">
        <w:r w:rsidR="00C84BA8" w:rsidRPr="00E1113A">
          <w:rPr>
            <w:rStyle w:val="Hyperlink"/>
            <w:lang w:val="es-ES_tradnl"/>
          </w:rPr>
          <w:t>4</w:t>
        </w:r>
        <w:r w:rsidR="00C84BA8">
          <w:rPr>
            <w:rFonts w:asciiTheme="minorHAnsi" w:eastAsiaTheme="minorEastAsia" w:hAnsiTheme="minorHAnsi" w:cstheme="minorBidi"/>
            <w:b w:val="0"/>
            <w:bCs w:val="0"/>
            <w:sz w:val="22"/>
            <w:szCs w:val="22"/>
            <w:lang w:eastAsia="zh-CN"/>
          </w:rPr>
          <w:tab/>
        </w:r>
        <w:r w:rsidR="00C84BA8" w:rsidRPr="00E1113A">
          <w:rPr>
            <w:rStyle w:val="Hyperlink"/>
            <w:lang w:val="es-ES_tradnl"/>
          </w:rPr>
          <w:t>Principio de precaución aplicado a la exposición de las personas a CEM</w:t>
        </w:r>
        <w:r w:rsidR="00C84BA8">
          <w:rPr>
            <w:webHidden/>
          </w:rPr>
          <w:tab/>
        </w:r>
        <w:r w:rsidR="00C84BA8">
          <w:rPr>
            <w:webHidden/>
          </w:rPr>
          <w:tab/>
        </w:r>
        <w:r w:rsidR="00C84BA8">
          <w:rPr>
            <w:webHidden/>
          </w:rPr>
          <w:fldChar w:fldCharType="begin"/>
        </w:r>
        <w:r w:rsidR="00C84BA8">
          <w:rPr>
            <w:webHidden/>
          </w:rPr>
          <w:instrText xml:space="preserve"> PAGEREF _Toc377560451 \h </w:instrText>
        </w:r>
        <w:r w:rsidR="00C84BA8">
          <w:rPr>
            <w:webHidden/>
          </w:rPr>
        </w:r>
        <w:r w:rsidR="00C84BA8">
          <w:rPr>
            <w:webHidden/>
          </w:rPr>
          <w:fldChar w:fldCharType="separate"/>
        </w:r>
        <w:r w:rsidR="000F2A69">
          <w:rPr>
            <w:webHidden/>
          </w:rPr>
          <w:t>4</w:t>
        </w:r>
        <w:r w:rsidR="00C84BA8">
          <w:rPr>
            <w:webHidden/>
          </w:rPr>
          <w:fldChar w:fldCharType="end"/>
        </w:r>
      </w:hyperlink>
    </w:p>
    <w:p w:rsidR="00C84BA8" w:rsidRDefault="007E66A3">
      <w:pPr>
        <w:pStyle w:val="TOC1"/>
        <w:rPr>
          <w:rFonts w:asciiTheme="minorHAnsi" w:eastAsiaTheme="minorEastAsia" w:hAnsiTheme="minorHAnsi" w:cstheme="minorBidi"/>
          <w:b w:val="0"/>
          <w:bCs w:val="0"/>
          <w:sz w:val="22"/>
          <w:szCs w:val="22"/>
          <w:lang w:eastAsia="zh-CN"/>
        </w:rPr>
      </w:pPr>
      <w:hyperlink w:anchor="_Toc377560452" w:history="1">
        <w:r w:rsidR="00C84BA8" w:rsidRPr="00E1113A">
          <w:rPr>
            <w:rStyle w:val="Hyperlink"/>
            <w:lang w:val="es-ES_tradnl"/>
          </w:rPr>
          <w:t>5</w:t>
        </w:r>
        <w:r w:rsidR="00C84BA8">
          <w:rPr>
            <w:rFonts w:asciiTheme="minorHAnsi" w:eastAsiaTheme="minorEastAsia" w:hAnsiTheme="minorHAnsi" w:cstheme="minorBidi"/>
            <w:b w:val="0"/>
            <w:bCs w:val="0"/>
            <w:sz w:val="22"/>
            <w:szCs w:val="22"/>
            <w:lang w:eastAsia="zh-CN"/>
          </w:rPr>
          <w:tab/>
        </w:r>
        <w:r w:rsidR="00C84BA8" w:rsidRPr="00E1113A">
          <w:rPr>
            <w:rStyle w:val="Hyperlink"/>
            <w:lang w:val="es-ES_tradnl"/>
          </w:rPr>
          <w:t>Análisis sobre las políticas de reglamentación de algunos países</w:t>
        </w:r>
        <w:r w:rsidR="00C84BA8">
          <w:rPr>
            <w:webHidden/>
          </w:rPr>
          <w:tab/>
        </w:r>
        <w:r w:rsidR="00C84BA8">
          <w:rPr>
            <w:webHidden/>
          </w:rPr>
          <w:tab/>
        </w:r>
        <w:r w:rsidR="00C84BA8">
          <w:rPr>
            <w:webHidden/>
          </w:rPr>
          <w:fldChar w:fldCharType="begin"/>
        </w:r>
        <w:r w:rsidR="00C84BA8">
          <w:rPr>
            <w:webHidden/>
          </w:rPr>
          <w:instrText xml:space="preserve"> PAGEREF _Toc377560452 \h </w:instrText>
        </w:r>
        <w:r w:rsidR="00C84BA8">
          <w:rPr>
            <w:webHidden/>
          </w:rPr>
        </w:r>
        <w:r w:rsidR="00C84BA8">
          <w:rPr>
            <w:webHidden/>
          </w:rPr>
          <w:fldChar w:fldCharType="separate"/>
        </w:r>
        <w:r w:rsidR="000F2A69">
          <w:rPr>
            <w:webHidden/>
          </w:rPr>
          <w:t>7</w:t>
        </w:r>
        <w:r w:rsidR="00C84BA8">
          <w:rPr>
            <w:webHidden/>
          </w:rPr>
          <w:fldChar w:fldCharType="end"/>
        </w:r>
      </w:hyperlink>
    </w:p>
    <w:p w:rsidR="00C84BA8" w:rsidRDefault="007E66A3">
      <w:pPr>
        <w:pStyle w:val="TOC2"/>
        <w:rPr>
          <w:rFonts w:asciiTheme="minorHAnsi" w:eastAsiaTheme="minorEastAsia" w:hAnsiTheme="minorHAnsi" w:cstheme="minorBidi"/>
          <w:bCs w:val="0"/>
          <w:sz w:val="22"/>
          <w:szCs w:val="22"/>
          <w:lang w:val="en-US" w:eastAsia="zh-CN"/>
        </w:rPr>
      </w:pPr>
      <w:hyperlink w:anchor="_Toc377560453" w:history="1">
        <w:r w:rsidR="00C84BA8" w:rsidRPr="00E1113A">
          <w:rPr>
            <w:rStyle w:val="Hyperlink"/>
            <w:lang w:val="es-ES_tradnl"/>
          </w:rPr>
          <w:t>5.1</w:t>
        </w:r>
        <w:r w:rsidR="00C84BA8">
          <w:rPr>
            <w:rFonts w:asciiTheme="minorHAnsi" w:eastAsiaTheme="minorEastAsia" w:hAnsiTheme="minorHAnsi" w:cstheme="minorBidi"/>
            <w:bCs w:val="0"/>
            <w:sz w:val="22"/>
            <w:szCs w:val="22"/>
            <w:lang w:val="en-US" w:eastAsia="zh-CN"/>
          </w:rPr>
          <w:tab/>
        </w:r>
        <w:r w:rsidR="00C84BA8" w:rsidRPr="00E1113A">
          <w:rPr>
            <w:rStyle w:val="Hyperlink"/>
            <w:lang w:val="es-ES_tradnl"/>
          </w:rPr>
          <w:t>Côte d’Ivoire</w:t>
        </w:r>
        <w:r w:rsidR="00C84BA8">
          <w:rPr>
            <w:webHidden/>
          </w:rPr>
          <w:tab/>
        </w:r>
        <w:r w:rsidR="00C84BA8">
          <w:rPr>
            <w:webHidden/>
          </w:rPr>
          <w:tab/>
        </w:r>
        <w:r w:rsidR="00C84BA8">
          <w:rPr>
            <w:webHidden/>
          </w:rPr>
          <w:fldChar w:fldCharType="begin"/>
        </w:r>
        <w:r w:rsidR="00C84BA8">
          <w:rPr>
            <w:webHidden/>
          </w:rPr>
          <w:instrText xml:space="preserve"> PAGEREF _Toc377560453 \h </w:instrText>
        </w:r>
        <w:r w:rsidR="00C84BA8">
          <w:rPr>
            <w:webHidden/>
          </w:rPr>
        </w:r>
        <w:r w:rsidR="00C84BA8">
          <w:rPr>
            <w:webHidden/>
          </w:rPr>
          <w:fldChar w:fldCharType="separate"/>
        </w:r>
        <w:r w:rsidR="000F2A69">
          <w:rPr>
            <w:webHidden/>
          </w:rPr>
          <w:t>7</w:t>
        </w:r>
        <w:r w:rsidR="00C84BA8">
          <w:rPr>
            <w:webHidden/>
          </w:rPr>
          <w:fldChar w:fldCharType="end"/>
        </w:r>
      </w:hyperlink>
    </w:p>
    <w:p w:rsidR="00C84BA8" w:rsidRDefault="007E66A3">
      <w:pPr>
        <w:pStyle w:val="TOC2"/>
        <w:rPr>
          <w:rFonts w:asciiTheme="minorHAnsi" w:eastAsiaTheme="minorEastAsia" w:hAnsiTheme="minorHAnsi" w:cstheme="minorBidi"/>
          <w:bCs w:val="0"/>
          <w:sz w:val="22"/>
          <w:szCs w:val="22"/>
          <w:lang w:val="en-US" w:eastAsia="zh-CN"/>
        </w:rPr>
      </w:pPr>
      <w:hyperlink w:anchor="_Toc377560454" w:history="1">
        <w:r w:rsidR="00C84BA8" w:rsidRPr="00E1113A">
          <w:rPr>
            <w:rStyle w:val="Hyperlink"/>
            <w:lang w:val="es-ES_tradnl"/>
          </w:rPr>
          <w:t>5.2</w:t>
        </w:r>
        <w:r w:rsidR="00C84BA8">
          <w:rPr>
            <w:rFonts w:asciiTheme="minorHAnsi" w:eastAsiaTheme="minorEastAsia" w:hAnsiTheme="minorHAnsi" w:cstheme="minorBidi"/>
            <w:bCs w:val="0"/>
            <w:sz w:val="22"/>
            <w:szCs w:val="22"/>
            <w:lang w:val="en-US" w:eastAsia="zh-CN"/>
          </w:rPr>
          <w:tab/>
        </w:r>
        <w:r w:rsidR="00C84BA8" w:rsidRPr="00E1113A">
          <w:rPr>
            <w:rStyle w:val="Hyperlink"/>
            <w:lang w:val="es-ES_tradnl"/>
          </w:rPr>
          <w:t>Brasil</w:t>
        </w:r>
        <w:r w:rsidR="00C84BA8">
          <w:rPr>
            <w:webHidden/>
          </w:rPr>
          <w:tab/>
        </w:r>
        <w:r w:rsidR="00C84BA8">
          <w:rPr>
            <w:webHidden/>
          </w:rPr>
          <w:tab/>
        </w:r>
        <w:r w:rsidR="00C84BA8">
          <w:rPr>
            <w:webHidden/>
          </w:rPr>
          <w:fldChar w:fldCharType="begin"/>
        </w:r>
        <w:r w:rsidR="00C84BA8">
          <w:rPr>
            <w:webHidden/>
          </w:rPr>
          <w:instrText xml:space="preserve"> PAGEREF _Toc377560454 \h </w:instrText>
        </w:r>
        <w:r w:rsidR="00C84BA8">
          <w:rPr>
            <w:webHidden/>
          </w:rPr>
        </w:r>
        <w:r w:rsidR="00C84BA8">
          <w:rPr>
            <w:webHidden/>
          </w:rPr>
          <w:fldChar w:fldCharType="separate"/>
        </w:r>
        <w:r w:rsidR="000F2A69">
          <w:rPr>
            <w:webHidden/>
          </w:rPr>
          <w:t>7</w:t>
        </w:r>
        <w:r w:rsidR="00C84BA8">
          <w:rPr>
            <w:webHidden/>
          </w:rPr>
          <w:fldChar w:fldCharType="end"/>
        </w:r>
      </w:hyperlink>
    </w:p>
    <w:p w:rsidR="00C84BA8" w:rsidRDefault="007E66A3">
      <w:pPr>
        <w:pStyle w:val="TOC2"/>
        <w:rPr>
          <w:rFonts w:asciiTheme="minorHAnsi" w:eastAsiaTheme="minorEastAsia" w:hAnsiTheme="minorHAnsi" w:cstheme="minorBidi"/>
          <w:bCs w:val="0"/>
          <w:sz w:val="22"/>
          <w:szCs w:val="22"/>
          <w:lang w:val="en-US" w:eastAsia="zh-CN"/>
        </w:rPr>
      </w:pPr>
      <w:hyperlink w:anchor="_Toc377560455" w:history="1">
        <w:r w:rsidR="00C84BA8" w:rsidRPr="00E1113A">
          <w:rPr>
            <w:rStyle w:val="Hyperlink"/>
            <w:lang w:val="es-ES_tradnl"/>
          </w:rPr>
          <w:t>5.3</w:t>
        </w:r>
        <w:r w:rsidR="00C84BA8">
          <w:rPr>
            <w:rFonts w:asciiTheme="minorHAnsi" w:eastAsiaTheme="minorEastAsia" w:hAnsiTheme="minorHAnsi" w:cstheme="minorBidi"/>
            <w:bCs w:val="0"/>
            <w:sz w:val="22"/>
            <w:szCs w:val="22"/>
            <w:lang w:val="en-US" w:eastAsia="zh-CN"/>
          </w:rPr>
          <w:tab/>
        </w:r>
        <w:r w:rsidR="00C84BA8" w:rsidRPr="00E1113A">
          <w:rPr>
            <w:rStyle w:val="Hyperlink"/>
            <w:lang w:val="es-ES_tradnl"/>
          </w:rPr>
          <w:t>República de Corea</w:t>
        </w:r>
        <w:r w:rsidR="00C84BA8">
          <w:rPr>
            <w:webHidden/>
          </w:rPr>
          <w:tab/>
        </w:r>
        <w:r w:rsidR="00C84BA8">
          <w:rPr>
            <w:webHidden/>
          </w:rPr>
          <w:tab/>
        </w:r>
        <w:r w:rsidR="00C84BA8">
          <w:rPr>
            <w:webHidden/>
          </w:rPr>
          <w:fldChar w:fldCharType="begin"/>
        </w:r>
        <w:r w:rsidR="00C84BA8">
          <w:rPr>
            <w:webHidden/>
          </w:rPr>
          <w:instrText xml:space="preserve"> PAGEREF _Toc377560455 \h </w:instrText>
        </w:r>
        <w:r w:rsidR="00C84BA8">
          <w:rPr>
            <w:webHidden/>
          </w:rPr>
        </w:r>
        <w:r w:rsidR="00C84BA8">
          <w:rPr>
            <w:webHidden/>
          </w:rPr>
          <w:fldChar w:fldCharType="separate"/>
        </w:r>
        <w:r w:rsidR="000F2A69">
          <w:rPr>
            <w:webHidden/>
          </w:rPr>
          <w:t>8</w:t>
        </w:r>
        <w:r w:rsidR="00C84BA8">
          <w:rPr>
            <w:webHidden/>
          </w:rPr>
          <w:fldChar w:fldCharType="end"/>
        </w:r>
      </w:hyperlink>
    </w:p>
    <w:p w:rsidR="00C84BA8" w:rsidRDefault="007E66A3">
      <w:pPr>
        <w:pStyle w:val="TOC2"/>
        <w:rPr>
          <w:rFonts w:asciiTheme="minorHAnsi" w:eastAsiaTheme="minorEastAsia" w:hAnsiTheme="minorHAnsi" w:cstheme="minorBidi"/>
          <w:bCs w:val="0"/>
          <w:sz w:val="22"/>
          <w:szCs w:val="22"/>
          <w:lang w:val="en-US" w:eastAsia="zh-CN"/>
        </w:rPr>
      </w:pPr>
      <w:hyperlink w:anchor="_Toc377560456" w:history="1">
        <w:r w:rsidR="00C84BA8" w:rsidRPr="00E1113A">
          <w:rPr>
            <w:rStyle w:val="Hyperlink"/>
            <w:lang w:val="es-ES_tradnl"/>
          </w:rPr>
          <w:t>5.4</w:t>
        </w:r>
        <w:r w:rsidR="00C84BA8">
          <w:rPr>
            <w:rFonts w:asciiTheme="minorHAnsi" w:eastAsiaTheme="minorEastAsia" w:hAnsiTheme="minorHAnsi" w:cstheme="minorBidi"/>
            <w:bCs w:val="0"/>
            <w:sz w:val="22"/>
            <w:szCs w:val="22"/>
            <w:lang w:val="en-US" w:eastAsia="zh-CN"/>
          </w:rPr>
          <w:tab/>
        </w:r>
        <w:r w:rsidR="00C84BA8" w:rsidRPr="00E1113A">
          <w:rPr>
            <w:rStyle w:val="Hyperlink"/>
            <w:lang w:val="es-ES_tradnl"/>
          </w:rPr>
          <w:t>Israel</w:t>
        </w:r>
        <w:r w:rsidR="00C84BA8">
          <w:rPr>
            <w:webHidden/>
          </w:rPr>
          <w:tab/>
        </w:r>
        <w:r w:rsidR="00C84BA8">
          <w:rPr>
            <w:webHidden/>
          </w:rPr>
          <w:tab/>
        </w:r>
        <w:r w:rsidR="00C84BA8">
          <w:rPr>
            <w:webHidden/>
          </w:rPr>
          <w:fldChar w:fldCharType="begin"/>
        </w:r>
        <w:r w:rsidR="00C84BA8">
          <w:rPr>
            <w:webHidden/>
          </w:rPr>
          <w:instrText xml:space="preserve"> PAGEREF _Toc377560456 \h </w:instrText>
        </w:r>
        <w:r w:rsidR="00C84BA8">
          <w:rPr>
            <w:webHidden/>
          </w:rPr>
        </w:r>
        <w:r w:rsidR="00C84BA8">
          <w:rPr>
            <w:webHidden/>
          </w:rPr>
          <w:fldChar w:fldCharType="separate"/>
        </w:r>
        <w:r w:rsidR="000F2A69">
          <w:rPr>
            <w:webHidden/>
          </w:rPr>
          <w:t>9</w:t>
        </w:r>
        <w:r w:rsidR="00C84BA8">
          <w:rPr>
            <w:webHidden/>
          </w:rPr>
          <w:fldChar w:fldCharType="end"/>
        </w:r>
      </w:hyperlink>
    </w:p>
    <w:p w:rsidR="00C84BA8" w:rsidRDefault="007E66A3">
      <w:pPr>
        <w:pStyle w:val="TOC2"/>
        <w:rPr>
          <w:rFonts w:asciiTheme="minorHAnsi" w:eastAsiaTheme="minorEastAsia" w:hAnsiTheme="minorHAnsi" w:cstheme="minorBidi"/>
          <w:bCs w:val="0"/>
          <w:sz w:val="22"/>
          <w:szCs w:val="22"/>
          <w:lang w:val="en-US" w:eastAsia="zh-CN"/>
        </w:rPr>
      </w:pPr>
      <w:hyperlink w:anchor="_Toc377560457" w:history="1">
        <w:r w:rsidR="00C84BA8" w:rsidRPr="00E1113A">
          <w:rPr>
            <w:rStyle w:val="Hyperlink"/>
            <w:lang w:val="es-ES_tradnl"/>
          </w:rPr>
          <w:t>5.5</w:t>
        </w:r>
        <w:r w:rsidR="00C84BA8">
          <w:rPr>
            <w:rFonts w:asciiTheme="minorHAnsi" w:eastAsiaTheme="minorEastAsia" w:hAnsiTheme="minorHAnsi" w:cstheme="minorBidi"/>
            <w:bCs w:val="0"/>
            <w:sz w:val="22"/>
            <w:szCs w:val="22"/>
            <w:lang w:val="en-US" w:eastAsia="zh-CN"/>
          </w:rPr>
          <w:tab/>
        </w:r>
        <w:r w:rsidR="00C84BA8" w:rsidRPr="00E1113A">
          <w:rPr>
            <w:rStyle w:val="Hyperlink"/>
            <w:lang w:val="es-ES_tradnl"/>
          </w:rPr>
          <w:t>Venezuela</w:t>
        </w:r>
        <w:r w:rsidR="00C84BA8">
          <w:rPr>
            <w:webHidden/>
          </w:rPr>
          <w:tab/>
        </w:r>
        <w:r w:rsidR="00C84BA8">
          <w:rPr>
            <w:webHidden/>
          </w:rPr>
          <w:tab/>
        </w:r>
        <w:r w:rsidR="00C84BA8">
          <w:rPr>
            <w:webHidden/>
          </w:rPr>
          <w:fldChar w:fldCharType="begin"/>
        </w:r>
        <w:r w:rsidR="00C84BA8">
          <w:rPr>
            <w:webHidden/>
          </w:rPr>
          <w:instrText xml:space="preserve"> PAGEREF _Toc377560457 \h </w:instrText>
        </w:r>
        <w:r w:rsidR="00C84BA8">
          <w:rPr>
            <w:webHidden/>
          </w:rPr>
        </w:r>
        <w:r w:rsidR="00C84BA8">
          <w:rPr>
            <w:webHidden/>
          </w:rPr>
          <w:fldChar w:fldCharType="separate"/>
        </w:r>
        <w:r w:rsidR="000F2A69">
          <w:rPr>
            <w:webHidden/>
          </w:rPr>
          <w:t>9</w:t>
        </w:r>
        <w:r w:rsidR="00C84BA8">
          <w:rPr>
            <w:webHidden/>
          </w:rPr>
          <w:fldChar w:fldCharType="end"/>
        </w:r>
      </w:hyperlink>
    </w:p>
    <w:p w:rsidR="00C84BA8" w:rsidRDefault="007E66A3">
      <w:pPr>
        <w:pStyle w:val="TOC2"/>
        <w:rPr>
          <w:rFonts w:asciiTheme="minorHAnsi" w:eastAsiaTheme="minorEastAsia" w:hAnsiTheme="minorHAnsi" w:cstheme="minorBidi"/>
          <w:bCs w:val="0"/>
          <w:sz w:val="22"/>
          <w:szCs w:val="22"/>
          <w:lang w:val="en-US" w:eastAsia="zh-CN"/>
        </w:rPr>
      </w:pPr>
      <w:hyperlink w:anchor="_Toc377560458" w:history="1">
        <w:r w:rsidR="00C84BA8" w:rsidRPr="00E1113A">
          <w:rPr>
            <w:rStyle w:val="Hyperlink"/>
            <w:lang w:val="es-ES_tradnl"/>
          </w:rPr>
          <w:t>5.6</w:t>
        </w:r>
        <w:r w:rsidR="00C84BA8">
          <w:rPr>
            <w:rFonts w:asciiTheme="minorHAnsi" w:eastAsiaTheme="minorEastAsia" w:hAnsiTheme="minorHAnsi" w:cstheme="minorBidi"/>
            <w:bCs w:val="0"/>
            <w:sz w:val="22"/>
            <w:szCs w:val="22"/>
            <w:lang w:val="en-US" w:eastAsia="zh-CN"/>
          </w:rPr>
          <w:tab/>
        </w:r>
        <w:r w:rsidR="00C84BA8" w:rsidRPr="00E1113A">
          <w:rPr>
            <w:rStyle w:val="Hyperlink"/>
            <w:lang w:val="es-ES_tradnl"/>
          </w:rPr>
          <w:t>Hungría</w:t>
        </w:r>
        <w:r w:rsidR="00C84BA8">
          <w:rPr>
            <w:webHidden/>
          </w:rPr>
          <w:tab/>
        </w:r>
        <w:r w:rsidR="00C84BA8">
          <w:rPr>
            <w:webHidden/>
          </w:rPr>
          <w:tab/>
        </w:r>
        <w:r w:rsidR="00C84BA8">
          <w:rPr>
            <w:webHidden/>
          </w:rPr>
          <w:fldChar w:fldCharType="begin"/>
        </w:r>
        <w:r w:rsidR="00C84BA8">
          <w:rPr>
            <w:webHidden/>
          </w:rPr>
          <w:instrText xml:space="preserve"> PAGEREF _Toc377560458 \h </w:instrText>
        </w:r>
        <w:r w:rsidR="00C84BA8">
          <w:rPr>
            <w:webHidden/>
          </w:rPr>
        </w:r>
        <w:r w:rsidR="00C84BA8">
          <w:rPr>
            <w:webHidden/>
          </w:rPr>
          <w:fldChar w:fldCharType="separate"/>
        </w:r>
        <w:r w:rsidR="000F2A69">
          <w:rPr>
            <w:webHidden/>
          </w:rPr>
          <w:t>10</w:t>
        </w:r>
        <w:r w:rsidR="00C84BA8">
          <w:rPr>
            <w:webHidden/>
          </w:rPr>
          <w:fldChar w:fldCharType="end"/>
        </w:r>
      </w:hyperlink>
    </w:p>
    <w:p w:rsidR="00C84BA8" w:rsidRDefault="007E66A3">
      <w:pPr>
        <w:pStyle w:val="TOC2"/>
        <w:rPr>
          <w:rFonts w:asciiTheme="minorHAnsi" w:eastAsiaTheme="minorEastAsia" w:hAnsiTheme="minorHAnsi" w:cstheme="minorBidi"/>
          <w:bCs w:val="0"/>
          <w:sz w:val="22"/>
          <w:szCs w:val="22"/>
          <w:lang w:val="en-US" w:eastAsia="zh-CN"/>
        </w:rPr>
      </w:pPr>
      <w:hyperlink w:anchor="_Toc377560459" w:history="1">
        <w:r w:rsidR="00C84BA8" w:rsidRPr="00E1113A">
          <w:rPr>
            <w:rStyle w:val="Hyperlink"/>
            <w:lang w:val="es-ES_tradnl"/>
          </w:rPr>
          <w:t>5.7</w:t>
        </w:r>
        <w:r w:rsidR="00C84BA8">
          <w:rPr>
            <w:rFonts w:asciiTheme="minorHAnsi" w:eastAsiaTheme="minorEastAsia" w:hAnsiTheme="minorHAnsi" w:cstheme="minorBidi"/>
            <w:bCs w:val="0"/>
            <w:sz w:val="22"/>
            <w:szCs w:val="22"/>
            <w:lang w:val="en-US" w:eastAsia="zh-CN"/>
          </w:rPr>
          <w:tab/>
        </w:r>
        <w:r w:rsidR="00C84BA8" w:rsidRPr="00E1113A">
          <w:rPr>
            <w:rStyle w:val="Hyperlink"/>
            <w:lang w:val="es-ES_tradnl"/>
          </w:rPr>
          <w:t>Uzbekistán</w:t>
        </w:r>
        <w:r w:rsidR="00C84BA8">
          <w:rPr>
            <w:webHidden/>
          </w:rPr>
          <w:tab/>
        </w:r>
        <w:r w:rsidR="00C84BA8">
          <w:rPr>
            <w:webHidden/>
          </w:rPr>
          <w:tab/>
        </w:r>
        <w:r w:rsidR="00C84BA8">
          <w:rPr>
            <w:webHidden/>
          </w:rPr>
          <w:fldChar w:fldCharType="begin"/>
        </w:r>
        <w:r w:rsidR="00C84BA8">
          <w:rPr>
            <w:webHidden/>
          </w:rPr>
          <w:instrText xml:space="preserve"> PAGEREF _Toc377560459 \h </w:instrText>
        </w:r>
        <w:r w:rsidR="00C84BA8">
          <w:rPr>
            <w:webHidden/>
          </w:rPr>
        </w:r>
        <w:r w:rsidR="00C84BA8">
          <w:rPr>
            <w:webHidden/>
          </w:rPr>
          <w:fldChar w:fldCharType="separate"/>
        </w:r>
        <w:r w:rsidR="000F2A69">
          <w:rPr>
            <w:webHidden/>
          </w:rPr>
          <w:t>11</w:t>
        </w:r>
        <w:r w:rsidR="00C84BA8">
          <w:rPr>
            <w:webHidden/>
          </w:rPr>
          <w:fldChar w:fldCharType="end"/>
        </w:r>
      </w:hyperlink>
    </w:p>
    <w:p w:rsidR="00C84BA8" w:rsidRDefault="007E66A3">
      <w:pPr>
        <w:pStyle w:val="TOC2"/>
        <w:rPr>
          <w:rFonts w:asciiTheme="minorHAnsi" w:eastAsiaTheme="minorEastAsia" w:hAnsiTheme="minorHAnsi" w:cstheme="minorBidi"/>
          <w:bCs w:val="0"/>
          <w:sz w:val="22"/>
          <w:szCs w:val="22"/>
          <w:lang w:val="en-US" w:eastAsia="zh-CN"/>
        </w:rPr>
      </w:pPr>
      <w:hyperlink w:anchor="_Toc377560460" w:history="1">
        <w:r w:rsidR="00C84BA8" w:rsidRPr="00E1113A">
          <w:rPr>
            <w:rStyle w:val="Hyperlink"/>
            <w:lang w:val="es-ES_tradnl"/>
          </w:rPr>
          <w:t>5.8</w:t>
        </w:r>
        <w:r w:rsidR="00C84BA8">
          <w:rPr>
            <w:rFonts w:asciiTheme="minorHAnsi" w:eastAsiaTheme="minorEastAsia" w:hAnsiTheme="minorHAnsi" w:cstheme="minorBidi"/>
            <w:bCs w:val="0"/>
            <w:sz w:val="22"/>
            <w:szCs w:val="22"/>
            <w:lang w:val="en-US" w:eastAsia="zh-CN"/>
          </w:rPr>
          <w:tab/>
        </w:r>
        <w:r w:rsidR="00C84BA8" w:rsidRPr="00E1113A">
          <w:rPr>
            <w:rStyle w:val="Hyperlink"/>
            <w:lang w:val="es-ES_tradnl"/>
          </w:rPr>
          <w:t>Benín</w:t>
        </w:r>
        <w:r w:rsidR="00C84BA8">
          <w:rPr>
            <w:webHidden/>
          </w:rPr>
          <w:tab/>
        </w:r>
        <w:r w:rsidR="00C84BA8">
          <w:rPr>
            <w:webHidden/>
          </w:rPr>
          <w:tab/>
        </w:r>
        <w:r w:rsidR="00C84BA8">
          <w:rPr>
            <w:webHidden/>
          </w:rPr>
          <w:fldChar w:fldCharType="begin"/>
        </w:r>
        <w:r w:rsidR="00C84BA8">
          <w:rPr>
            <w:webHidden/>
          </w:rPr>
          <w:instrText xml:space="preserve"> PAGEREF _Toc377560460 \h </w:instrText>
        </w:r>
        <w:r w:rsidR="00C84BA8">
          <w:rPr>
            <w:webHidden/>
          </w:rPr>
        </w:r>
        <w:r w:rsidR="00C84BA8">
          <w:rPr>
            <w:webHidden/>
          </w:rPr>
          <w:fldChar w:fldCharType="separate"/>
        </w:r>
        <w:r w:rsidR="000F2A69">
          <w:rPr>
            <w:webHidden/>
          </w:rPr>
          <w:t>11</w:t>
        </w:r>
        <w:r w:rsidR="00C84BA8">
          <w:rPr>
            <w:webHidden/>
          </w:rPr>
          <w:fldChar w:fldCharType="end"/>
        </w:r>
      </w:hyperlink>
    </w:p>
    <w:p w:rsidR="00C84BA8" w:rsidRDefault="007E66A3">
      <w:pPr>
        <w:pStyle w:val="TOC2"/>
        <w:rPr>
          <w:rFonts w:asciiTheme="minorHAnsi" w:eastAsiaTheme="minorEastAsia" w:hAnsiTheme="minorHAnsi" w:cstheme="minorBidi"/>
          <w:bCs w:val="0"/>
          <w:sz w:val="22"/>
          <w:szCs w:val="22"/>
          <w:lang w:val="en-US" w:eastAsia="zh-CN"/>
        </w:rPr>
      </w:pPr>
      <w:hyperlink w:anchor="_Toc377560461" w:history="1">
        <w:r w:rsidR="00C84BA8" w:rsidRPr="00E1113A">
          <w:rPr>
            <w:rStyle w:val="Hyperlink"/>
            <w:lang w:val="es-ES_tradnl"/>
          </w:rPr>
          <w:t>5.9</w:t>
        </w:r>
        <w:r w:rsidR="00C84BA8">
          <w:rPr>
            <w:rFonts w:asciiTheme="minorHAnsi" w:eastAsiaTheme="minorEastAsia" w:hAnsiTheme="minorHAnsi" w:cstheme="minorBidi"/>
            <w:bCs w:val="0"/>
            <w:sz w:val="22"/>
            <w:szCs w:val="22"/>
            <w:lang w:val="en-US" w:eastAsia="zh-CN"/>
          </w:rPr>
          <w:tab/>
        </w:r>
        <w:r w:rsidR="00C84BA8" w:rsidRPr="00E1113A">
          <w:rPr>
            <w:rStyle w:val="Hyperlink"/>
            <w:lang w:val="es-ES_tradnl"/>
          </w:rPr>
          <w:t>India</w:t>
        </w:r>
        <w:r w:rsidR="00C84BA8">
          <w:rPr>
            <w:webHidden/>
          </w:rPr>
          <w:tab/>
        </w:r>
        <w:r w:rsidR="00C84BA8">
          <w:rPr>
            <w:webHidden/>
          </w:rPr>
          <w:tab/>
        </w:r>
        <w:r w:rsidR="00C84BA8">
          <w:rPr>
            <w:webHidden/>
          </w:rPr>
          <w:fldChar w:fldCharType="begin"/>
        </w:r>
        <w:r w:rsidR="00C84BA8">
          <w:rPr>
            <w:webHidden/>
          </w:rPr>
          <w:instrText xml:space="preserve"> PAGEREF _Toc377560461 \h </w:instrText>
        </w:r>
        <w:r w:rsidR="00C84BA8">
          <w:rPr>
            <w:webHidden/>
          </w:rPr>
        </w:r>
        <w:r w:rsidR="00C84BA8">
          <w:rPr>
            <w:webHidden/>
          </w:rPr>
          <w:fldChar w:fldCharType="separate"/>
        </w:r>
        <w:r w:rsidR="000F2A69">
          <w:rPr>
            <w:webHidden/>
          </w:rPr>
          <w:t>12</w:t>
        </w:r>
        <w:r w:rsidR="00C84BA8">
          <w:rPr>
            <w:webHidden/>
          </w:rPr>
          <w:fldChar w:fldCharType="end"/>
        </w:r>
      </w:hyperlink>
    </w:p>
    <w:p w:rsidR="00C84BA8" w:rsidRDefault="007E66A3" w:rsidP="00C84BA8">
      <w:pPr>
        <w:pStyle w:val="TOC1"/>
        <w:ind w:left="567" w:hanging="567"/>
        <w:rPr>
          <w:rFonts w:asciiTheme="minorHAnsi" w:eastAsiaTheme="minorEastAsia" w:hAnsiTheme="minorHAnsi" w:cstheme="minorBidi"/>
          <w:b w:val="0"/>
          <w:bCs w:val="0"/>
          <w:sz w:val="22"/>
          <w:szCs w:val="22"/>
          <w:lang w:eastAsia="zh-CN"/>
        </w:rPr>
      </w:pPr>
      <w:hyperlink w:anchor="_Toc377560462" w:history="1">
        <w:r w:rsidR="00C84BA8" w:rsidRPr="00E1113A">
          <w:rPr>
            <w:rStyle w:val="Hyperlink"/>
            <w:lang w:val="es-ES_tradnl"/>
          </w:rPr>
          <w:t>6</w:t>
        </w:r>
        <w:r w:rsidR="00C84BA8">
          <w:rPr>
            <w:rFonts w:asciiTheme="minorHAnsi" w:eastAsiaTheme="minorEastAsia" w:hAnsiTheme="minorHAnsi" w:cstheme="minorBidi"/>
            <w:b w:val="0"/>
            <w:bCs w:val="0"/>
            <w:sz w:val="22"/>
            <w:szCs w:val="22"/>
            <w:lang w:eastAsia="zh-CN"/>
          </w:rPr>
          <w:tab/>
        </w:r>
        <w:r w:rsidR="00C84BA8" w:rsidRPr="00E1113A">
          <w:rPr>
            <w:rStyle w:val="Hyperlink"/>
            <w:lang w:val="es-ES_tradnl"/>
          </w:rPr>
          <w:t xml:space="preserve">Proyecto de la UIT en América Central relativo a las emisiones </w:t>
        </w:r>
        <w:r w:rsidR="00C84BA8" w:rsidRPr="00E1113A">
          <w:rPr>
            <w:rStyle w:val="Hyperlink"/>
          </w:rPr>
          <w:t>electromagnéticas</w:t>
        </w:r>
        <w:r w:rsidR="00C84BA8" w:rsidRPr="00E1113A">
          <w:rPr>
            <w:rStyle w:val="Hyperlink"/>
            <w:lang w:val="es-ES_tradnl"/>
          </w:rPr>
          <w:t xml:space="preserve"> </w:t>
        </w:r>
        <w:r w:rsidR="00C84BA8">
          <w:rPr>
            <w:rStyle w:val="Hyperlink"/>
            <w:lang w:val="es-ES_tradnl"/>
          </w:rPr>
          <w:br/>
        </w:r>
        <w:r w:rsidR="00C84BA8" w:rsidRPr="00E1113A">
          <w:rPr>
            <w:rStyle w:val="Hyperlink"/>
            <w:lang w:val="es-ES_tradnl"/>
          </w:rPr>
          <w:t xml:space="preserve">no ionizantes, la regulación sobre la exposición humana y los despliegues de redes </w:t>
        </w:r>
        <w:r w:rsidR="00C84BA8">
          <w:rPr>
            <w:rStyle w:val="Hyperlink"/>
            <w:lang w:val="es-ES_tradnl"/>
          </w:rPr>
          <w:br/>
        </w:r>
        <w:r w:rsidR="00C84BA8" w:rsidRPr="00E1113A">
          <w:rPr>
            <w:rStyle w:val="Hyperlink"/>
            <w:lang w:val="es-ES_tradnl"/>
          </w:rPr>
          <w:t>inalámbricas y sus infraestructuras asociadas</w:t>
        </w:r>
        <w:r w:rsidR="00C84BA8">
          <w:rPr>
            <w:webHidden/>
          </w:rPr>
          <w:tab/>
        </w:r>
        <w:r w:rsidR="00C84BA8">
          <w:rPr>
            <w:webHidden/>
          </w:rPr>
          <w:tab/>
        </w:r>
        <w:r w:rsidR="00C84BA8">
          <w:rPr>
            <w:webHidden/>
          </w:rPr>
          <w:fldChar w:fldCharType="begin"/>
        </w:r>
        <w:r w:rsidR="00C84BA8">
          <w:rPr>
            <w:webHidden/>
          </w:rPr>
          <w:instrText xml:space="preserve"> PAGEREF _Toc377560462 \h </w:instrText>
        </w:r>
        <w:r w:rsidR="00C84BA8">
          <w:rPr>
            <w:webHidden/>
          </w:rPr>
        </w:r>
        <w:r w:rsidR="00C84BA8">
          <w:rPr>
            <w:webHidden/>
          </w:rPr>
          <w:fldChar w:fldCharType="separate"/>
        </w:r>
        <w:r w:rsidR="000F2A69">
          <w:rPr>
            <w:webHidden/>
          </w:rPr>
          <w:t>13</w:t>
        </w:r>
        <w:r w:rsidR="00C84BA8">
          <w:rPr>
            <w:webHidden/>
          </w:rPr>
          <w:fldChar w:fldCharType="end"/>
        </w:r>
      </w:hyperlink>
    </w:p>
    <w:p w:rsidR="00C84BA8" w:rsidRDefault="007E66A3">
      <w:pPr>
        <w:pStyle w:val="TOC1"/>
        <w:rPr>
          <w:rFonts w:asciiTheme="minorHAnsi" w:eastAsiaTheme="minorEastAsia" w:hAnsiTheme="minorHAnsi" w:cstheme="minorBidi"/>
          <w:b w:val="0"/>
          <w:bCs w:val="0"/>
          <w:sz w:val="22"/>
          <w:szCs w:val="22"/>
          <w:lang w:eastAsia="zh-CN"/>
        </w:rPr>
      </w:pPr>
      <w:hyperlink w:anchor="_Toc377560463" w:history="1">
        <w:r w:rsidR="00C84BA8" w:rsidRPr="00E1113A">
          <w:rPr>
            <w:rStyle w:val="Hyperlink"/>
          </w:rPr>
          <w:t>7</w:t>
        </w:r>
        <w:r w:rsidR="00C84BA8">
          <w:rPr>
            <w:rFonts w:asciiTheme="minorHAnsi" w:eastAsiaTheme="minorEastAsia" w:hAnsiTheme="minorHAnsi" w:cstheme="minorBidi"/>
            <w:b w:val="0"/>
            <w:bCs w:val="0"/>
            <w:sz w:val="22"/>
            <w:szCs w:val="22"/>
            <w:lang w:eastAsia="zh-CN"/>
          </w:rPr>
          <w:tab/>
        </w:r>
        <w:r w:rsidR="00C84BA8" w:rsidRPr="00E1113A">
          <w:rPr>
            <w:rStyle w:val="Hyperlink"/>
          </w:rPr>
          <w:t>Orientación a los Estados Miembros</w:t>
        </w:r>
        <w:r w:rsidR="00C84BA8">
          <w:rPr>
            <w:webHidden/>
          </w:rPr>
          <w:tab/>
        </w:r>
        <w:r w:rsidR="00C84BA8">
          <w:rPr>
            <w:webHidden/>
          </w:rPr>
          <w:tab/>
        </w:r>
        <w:r w:rsidR="00C84BA8">
          <w:rPr>
            <w:webHidden/>
          </w:rPr>
          <w:fldChar w:fldCharType="begin"/>
        </w:r>
        <w:r w:rsidR="00C84BA8">
          <w:rPr>
            <w:webHidden/>
          </w:rPr>
          <w:instrText xml:space="preserve"> PAGEREF _Toc377560463 \h </w:instrText>
        </w:r>
        <w:r w:rsidR="00C84BA8">
          <w:rPr>
            <w:webHidden/>
          </w:rPr>
        </w:r>
        <w:r w:rsidR="00C84BA8">
          <w:rPr>
            <w:webHidden/>
          </w:rPr>
          <w:fldChar w:fldCharType="separate"/>
        </w:r>
        <w:r w:rsidR="000F2A69">
          <w:rPr>
            <w:webHidden/>
          </w:rPr>
          <w:t>17</w:t>
        </w:r>
        <w:r w:rsidR="00C84BA8">
          <w:rPr>
            <w:webHidden/>
          </w:rPr>
          <w:fldChar w:fldCharType="end"/>
        </w:r>
      </w:hyperlink>
    </w:p>
    <w:p w:rsidR="00C84BA8" w:rsidRDefault="007E66A3">
      <w:pPr>
        <w:pStyle w:val="TOC1"/>
        <w:rPr>
          <w:rFonts w:asciiTheme="minorHAnsi" w:eastAsiaTheme="minorEastAsia" w:hAnsiTheme="minorHAnsi" w:cstheme="minorBidi"/>
          <w:b w:val="0"/>
          <w:bCs w:val="0"/>
          <w:sz w:val="22"/>
          <w:szCs w:val="22"/>
          <w:lang w:eastAsia="zh-CN"/>
        </w:rPr>
      </w:pPr>
      <w:hyperlink w:anchor="_Toc377560464" w:history="1">
        <w:r w:rsidR="00C84BA8" w:rsidRPr="00E1113A">
          <w:rPr>
            <w:rStyle w:val="Hyperlink"/>
            <w:lang w:val="es-ES_tradnl"/>
          </w:rPr>
          <w:t>8</w:t>
        </w:r>
        <w:r w:rsidR="00C84BA8">
          <w:rPr>
            <w:rFonts w:asciiTheme="minorHAnsi" w:eastAsiaTheme="minorEastAsia" w:hAnsiTheme="minorHAnsi" w:cstheme="minorBidi"/>
            <w:b w:val="0"/>
            <w:bCs w:val="0"/>
            <w:sz w:val="22"/>
            <w:szCs w:val="22"/>
            <w:lang w:eastAsia="zh-CN"/>
          </w:rPr>
          <w:tab/>
        </w:r>
        <w:r w:rsidR="00C84BA8" w:rsidRPr="00E1113A">
          <w:rPr>
            <w:rStyle w:val="Hyperlink"/>
            <w:lang w:val="es-ES_tradnl"/>
          </w:rPr>
          <w:t>Conclusión</w:t>
        </w:r>
        <w:r w:rsidR="00C84BA8">
          <w:rPr>
            <w:webHidden/>
          </w:rPr>
          <w:tab/>
        </w:r>
        <w:r w:rsidR="00C84BA8">
          <w:rPr>
            <w:webHidden/>
          </w:rPr>
          <w:tab/>
        </w:r>
        <w:r w:rsidR="00C84BA8">
          <w:rPr>
            <w:webHidden/>
          </w:rPr>
          <w:fldChar w:fldCharType="begin"/>
        </w:r>
        <w:r w:rsidR="00C84BA8">
          <w:rPr>
            <w:webHidden/>
          </w:rPr>
          <w:instrText xml:space="preserve"> PAGEREF _Toc377560464 \h </w:instrText>
        </w:r>
        <w:r w:rsidR="00C84BA8">
          <w:rPr>
            <w:webHidden/>
          </w:rPr>
        </w:r>
        <w:r w:rsidR="00C84BA8">
          <w:rPr>
            <w:webHidden/>
          </w:rPr>
          <w:fldChar w:fldCharType="separate"/>
        </w:r>
        <w:r w:rsidR="000F2A69">
          <w:rPr>
            <w:webHidden/>
          </w:rPr>
          <w:t>19</w:t>
        </w:r>
        <w:r w:rsidR="00C84BA8">
          <w:rPr>
            <w:webHidden/>
          </w:rPr>
          <w:fldChar w:fldCharType="end"/>
        </w:r>
      </w:hyperlink>
    </w:p>
    <w:p w:rsidR="00C84BA8" w:rsidRDefault="007E66A3">
      <w:pPr>
        <w:pStyle w:val="TOC1"/>
        <w:rPr>
          <w:rFonts w:asciiTheme="minorHAnsi" w:eastAsiaTheme="minorEastAsia" w:hAnsiTheme="minorHAnsi" w:cstheme="minorBidi"/>
          <w:b w:val="0"/>
          <w:bCs w:val="0"/>
          <w:sz w:val="22"/>
          <w:szCs w:val="22"/>
          <w:lang w:eastAsia="zh-CN"/>
        </w:rPr>
      </w:pPr>
      <w:hyperlink w:anchor="_Toc377560465" w:history="1">
        <w:r w:rsidR="00C84BA8" w:rsidRPr="00E1113A">
          <w:rPr>
            <w:rStyle w:val="Hyperlink"/>
          </w:rPr>
          <w:t>9</w:t>
        </w:r>
        <w:r w:rsidR="00C84BA8">
          <w:rPr>
            <w:rFonts w:asciiTheme="minorHAnsi" w:eastAsiaTheme="minorEastAsia" w:hAnsiTheme="minorHAnsi" w:cstheme="minorBidi"/>
            <w:b w:val="0"/>
            <w:bCs w:val="0"/>
            <w:sz w:val="22"/>
            <w:szCs w:val="22"/>
            <w:lang w:eastAsia="zh-CN"/>
          </w:rPr>
          <w:tab/>
        </w:r>
        <w:r w:rsidR="00C84BA8" w:rsidRPr="00E1113A">
          <w:rPr>
            <w:rStyle w:val="Hyperlink"/>
          </w:rPr>
          <w:t>Directrices</w:t>
        </w:r>
        <w:r w:rsidR="00C84BA8">
          <w:rPr>
            <w:webHidden/>
          </w:rPr>
          <w:tab/>
        </w:r>
        <w:r w:rsidR="00C84BA8">
          <w:rPr>
            <w:webHidden/>
          </w:rPr>
          <w:tab/>
        </w:r>
        <w:r w:rsidR="00C84BA8">
          <w:rPr>
            <w:webHidden/>
          </w:rPr>
          <w:fldChar w:fldCharType="begin"/>
        </w:r>
        <w:r w:rsidR="00C84BA8">
          <w:rPr>
            <w:webHidden/>
          </w:rPr>
          <w:instrText xml:space="preserve"> PAGEREF _Toc377560465 \h </w:instrText>
        </w:r>
        <w:r w:rsidR="00C84BA8">
          <w:rPr>
            <w:webHidden/>
          </w:rPr>
        </w:r>
        <w:r w:rsidR="00C84BA8">
          <w:rPr>
            <w:webHidden/>
          </w:rPr>
          <w:fldChar w:fldCharType="separate"/>
        </w:r>
        <w:r w:rsidR="000F2A69">
          <w:rPr>
            <w:webHidden/>
          </w:rPr>
          <w:t>20</w:t>
        </w:r>
        <w:r w:rsidR="00C84BA8">
          <w:rPr>
            <w:webHidden/>
          </w:rPr>
          <w:fldChar w:fldCharType="end"/>
        </w:r>
      </w:hyperlink>
    </w:p>
    <w:p w:rsidR="00C84BA8" w:rsidRDefault="007E66A3">
      <w:pPr>
        <w:pStyle w:val="TOC2"/>
        <w:rPr>
          <w:rFonts w:asciiTheme="minorHAnsi" w:eastAsiaTheme="minorEastAsia" w:hAnsiTheme="minorHAnsi" w:cstheme="minorBidi"/>
          <w:bCs w:val="0"/>
          <w:sz w:val="22"/>
          <w:szCs w:val="22"/>
          <w:lang w:val="en-US" w:eastAsia="zh-CN"/>
        </w:rPr>
      </w:pPr>
      <w:hyperlink w:anchor="_Toc377560466" w:history="1">
        <w:r w:rsidR="00C84BA8" w:rsidRPr="00E1113A">
          <w:rPr>
            <w:rStyle w:val="Hyperlink"/>
          </w:rPr>
          <w:t>9.1</w:t>
        </w:r>
        <w:r w:rsidR="00C84BA8">
          <w:rPr>
            <w:rFonts w:asciiTheme="minorHAnsi" w:eastAsiaTheme="minorEastAsia" w:hAnsiTheme="minorHAnsi" w:cstheme="minorBidi"/>
            <w:bCs w:val="0"/>
            <w:sz w:val="22"/>
            <w:szCs w:val="22"/>
            <w:lang w:val="en-US" w:eastAsia="zh-CN"/>
          </w:rPr>
          <w:tab/>
        </w:r>
        <w:r w:rsidR="00C84BA8" w:rsidRPr="00E1113A">
          <w:rPr>
            <w:rStyle w:val="Hyperlink"/>
          </w:rPr>
          <w:t>Alcance de las Directrices</w:t>
        </w:r>
        <w:r w:rsidR="00C84BA8">
          <w:rPr>
            <w:webHidden/>
          </w:rPr>
          <w:tab/>
        </w:r>
        <w:r w:rsidR="00C84BA8">
          <w:rPr>
            <w:webHidden/>
          </w:rPr>
          <w:tab/>
        </w:r>
        <w:r w:rsidR="00C84BA8">
          <w:rPr>
            <w:webHidden/>
          </w:rPr>
          <w:fldChar w:fldCharType="begin"/>
        </w:r>
        <w:r w:rsidR="00C84BA8">
          <w:rPr>
            <w:webHidden/>
          </w:rPr>
          <w:instrText xml:space="preserve"> PAGEREF _Toc377560466 \h </w:instrText>
        </w:r>
        <w:r w:rsidR="00C84BA8">
          <w:rPr>
            <w:webHidden/>
          </w:rPr>
        </w:r>
        <w:r w:rsidR="00C84BA8">
          <w:rPr>
            <w:webHidden/>
          </w:rPr>
          <w:fldChar w:fldCharType="separate"/>
        </w:r>
        <w:r w:rsidR="000F2A69">
          <w:rPr>
            <w:webHidden/>
          </w:rPr>
          <w:t>20</w:t>
        </w:r>
        <w:r w:rsidR="00C84BA8">
          <w:rPr>
            <w:webHidden/>
          </w:rPr>
          <w:fldChar w:fldCharType="end"/>
        </w:r>
      </w:hyperlink>
    </w:p>
    <w:p w:rsidR="00C84BA8" w:rsidRDefault="007E66A3">
      <w:pPr>
        <w:pStyle w:val="TOC2"/>
        <w:rPr>
          <w:rFonts w:asciiTheme="minorHAnsi" w:eastAsiaTheme="minorEastAsia" w:hAnsiTheme="minorHAnsi" w:cstheme="minorBidi"/>
          <w:bCs w:val="0"/>
          <w:sz w:val="22"/>
          <w:szCs w:val="22"/>
          <w:lang w:val="en-US" w:eastAsia="zh-CN"/>
        </w:rPr>
      </w:pPr>
      <w:hyperlink w:anchor="_Toc377560467" w:history="1">
        <w:r w:rsidR="00C84BA8" w:rsidRPr="00E1113A">
          <w:rPr>
            <w:rStyle w:val="Hyperlink"/>
          </w:rPr>
          <w:t>9.2</w:t>
        </w:r>
        <w:r w:rsidR="00C84BA8">
          <w:rPr>
            <w:rFonts w:asciiTheme="minorHAnsi" w:eastAsiaTheme="minorEastAsia" w:hAnsiTheme="minorHAnsi" w:cstheme="minorBidi"/>
            <w:bCs w:val="0"/>
            <w:sz w:val="22"/>
            <w:szCs w:val="22"/>
            <w:lang w:val="en-US" w:eastAsia="zh-CN"/>
          </w:rPr>
          <w:tab/>
        </w:r>
        <w:r w:rsidR="00C84BA8" w:rsidRPr="00E1113A">
          <w:rPr>
            <w:rStyle w:val="Hyperlink"/>
          </w:rPr>
          <w:t>Objetivo de las Directrices</w:t>
        </w:r>
        <w:r w:rsidR="00C84BA8">
          <w:rPr>
            <w:webHidden/>
          </w:rPr>
          <w:tab/>
        </w:r>
        <w:r w:rsidR="00C84BA8">
          <w:rPr>
            <w:webHidden/>
          </w:rPr>
          <w:tab/>
        </w:r>
        <w:r w:rsidR="00C84BA8">
          <w:rPr>
            <w:webHidden/>
          </w:rPr>
          <w:fldChar w:fldCharType="begin"/>
        </w:r>
        <w:r w:rsidR="00C84BA8">
          <w:rPr>
            <w:webHidden/>
          </w:rPr>
          <w:instrText xml:space="preserve"> PAGEREF _Toc377560467 \h </w:instrText>
        </w:r>
        <w:r w:rsidR="00C84BA8">
          <w:rPr>
            <w:webHidden/>
          </w:rPr>
        </w:r>
        <w:r w:rsidR="00C84BA8">
          <w:rPr>
            <w:webHidden/>
          </w:rPr>
          <w:fldChar w:fldCharType="separate"/>
        </w:r>
        <w:r w:rsidR="000F2A69">
          <w:rPr>
            <w:webHidden/>
          </w:rPr>
          <w:t>20</w:t>
        </w:r>
        <w:r w:rsidR="00C84BA8">
          <w:rPr>
            <w:webHidden/>
          </w:rPr>
          <w:fldChar w:fldCharType="end"/>
        </w:r>
      </w:hyperlink>
    </w:p>
    <w:p w:rsidR="00C84BA8" w:rsidRDefault="007E66A3">
      <w:pPr>
        <w:pStyle w:val="TOC2"/>
        <w:rPr>
          <w:rFonts w:asciiTheme="minorHAnsi" w:eastAsiaTheme="minorEastAsia" w:hAnsiTheme="minorHAnsi" w:cstheme="minorBidi"/>
          <w:bCs w:val="0"/>
          <w:sz w:val="22"/>
          <w:szCs w:val="22"/>
          <w:lang w:val="en-US" w:eastAsia="zh-CN"/>
        </w:rPr>
      </w:pPr>
      <w:hyperlink w:anchor="_Toc377560468" w:history="1">
        <w:r w:rsidR="00C84BA8" w:rsidRPr="00E1113A">
          <w:rPr>
            <w:rStyle w:val="Hyperlink"/>
            <w:rFonts w:cs="Times New Roman"/>
          </w:rPr>
          <w:t>9.3</w:t>
        </w:r>
        <w:r w:rsidR="00C84BA8">
          <w:rPr>
            <w:rFonts w:asciiTheme="minorHAnsi" w:eastAsiaTheme="minorEastAsia" w:hAnsiTheme="minorHAnsi" w:cstheme="minorBidi"/>
            <w:bCs w:val="0"/>
            <w:sz w:val="22"/>
            <w:szCs w:val="22"/>
            <w:lang w:val="en-US" w:eastAsia="zh-CN"/>
          </w:rPr>
          <w:tab/>
        </w:r>
        <w:r w:rsidR="00C84BA8" w:rsidRPr="00E1113A">
          <w:rPr>
            <w:rStyle w:val="Hyperlink"/>
          </w:rPr>
          <w:t>Principios de elaboración de las Directrices</w:t>
        </w:r>
        <w:r w:rsidR="00C84BA8">
          <w:rPr>
            <w:webHidden/>
          </w:rPr>
          <w:tab/>
        </w:r>
        <w:r w:rsidR="00C84BA8">
          <w:rPr>
            <w:webHidden/>
          </w:rPr>
          <w:tab/>
        </w:r>
        <w:r w:rsidR="00C84BA8">
          <w:rPr>
            <w:webHidden/>
          </w:rPr>
          <w:fldChar w:fldCharType="begin"/>
        </w:r>
        <w:r w:rsidR="00C84BA8">
          <w:rPr>
            <w:webHidden/>
          </w:rPr>
          <w:instrText xml:space="preserve"> PAGEREF _Toc377560468 \h </w:instrText>
        </w:r>
        <w:r w:rsidR="00C84BA8">
          <w:rPr>
            <w:webHidden/>
          </w:rPr>
        </w:r>
        <w:r w:rsidR="00C84BA8">
          <w:rPr>
            <w:webHidden/>
          </w:rPr>
          <w:fldChar w:fldCharType="separate"/>
        </w:r>
        <w:r w:rsidR="000F2A69">
          <w:rPr>
            <w:webHidden/>
          </w:rPr>
          <w:t>21</w:t>
        </w:r>
        <w:r w:rsidR="00C84BA8">
          <w:rPr>
            <w:webHidden/>
          </w:rPr>
          <w:fldChar w:fldCharType="end"/>
        </w:r>
      </w:hyperlink>
    </w:p>
    <w:p w:rsidR="00C84BA8" w:rsidRDefault="007E66A3">
      <w:pPr>
        <w:pStyle w:val="TOC2"/>
        <w:rPr>
          <w:rFonts w:asciiTheme="minorHAnsi" w:eastAsiaTheme="minorEastAsia" w:hAnsiTheme="minorHAnsi" w:cstheme="minorBidi"/>
          <w:bCs w:val="0"/>
          <w:sz w:val="22"/>
          <w:szCs w:val="22"/>
          <w:lang w:val="en-US" w:eastAsia="zh-CN"/>
        </w:rPr>
      </w:pPr>
      <w:hyperlink w:anchor="_Toc377560469" w:history="1">
        <w:r w:rsidR="00C84BA8" w:rsidRPr="00E1113A">
          <w:rPr>
            <w:rStyle w:val="Hyperlink"/>
          </w:rPr>
          <w:t>9.4</w:t>
        </w:r>
        <w:r w:rsidR="00C84BA8">
          <w:rPr>
            <w:rFonts w:asciiTheme="minorHAnsi" w:eastAsiaTheme="minorEastAsia" w:hAnsiTheme="minorHAnsi" w:cstheme="minorBidi"/>
            <w:bCs w:val="0"/>
            <w:sz w:val="22"/>
            <w:szCs w:val="22"/>
            <w:lang w:val="en-US" w:eastAsia="zh-CN"/>
          </w:rPr>
          <w:tab/>
        </w:r>
        <w:r w:rsidR="00C84BA8" w:rsidRPr="00E1113A">
          <w:rPr>
            <w:rStyle w:val="Hyperlink"/>
          </w:rPr>
          <w:t>Obligaciones de los operadores en lo que respecta a la radiación de CEM</w:t>
        </w:r>
        <w:r w:rsidR="00C84BA8">
          <w:rPr>
            <w:webHidden/>
          </w:rPr>
          <w:tab/>
        </w:r>
        <w:r w:rsidR="00C84BA8">
          <w:rPr>
            <w:webHidden/>
          </w:rPr>
          <w:tab/>
        </w:r>
        <w:r w:rsidR="00C84BA8">
          <w:rPr>
            <w:webHidden/>
          </w:rPr>
          <w:fldChar w:fldCharType="begin"/>
        </w:r>
        <w:r w:rsidR="00C84BA8">
          <w:rPr>
            <w:webHidden/>
          </w:rPr>
          <w:instrText xml:space="preserve"> PAGEREF _Toc377560469 \h </w:instrText>
        </w:r>
        <w:r w:rsidR="00C84BA8">
          <w:rPr>
            <w:webHidden/>
          </w:rPr>
        </w:r>
        <w:r w:rsidR="00C84BA8">
          <w:rPr>
            <w:webHidden/>
          </w:rPr>
          <w:fldChar w:fldCharType="separate"/>
        </w:r>
        <w:r w:rsidR="000F2A69">
          <w:rPr>
            <w:webHidden/>
          </w:rPr>
          <w:t>21</w:t>
        </w:r>
        <w:r w:rsidR="00C84BA8">
          <w:rPr>
            <w:webHidden/>
          </w:rPr>
          <w:fldChar w:fldCharType="end"/>
        </w:r>
      </w:hyperlink>
    </w:p>
    <w:p w:rsidR="00C84BA8" w:rsidRDefault="007E66A3">
      <w:pPr>
        <w:pStyle w:val="TOC2"/>
        <w:rPr>
          <w:rFonts w:asciiTheme="minorHAnsi" w:eastAsiaTheme="minorEastAsia" w:hAnsiTheme="minorHAnsi" w:cstheme="minorBidi"/>
          <w:bCs w:val="0"/>
          <w:sz w:val="22"/>
          <w:szCs w:val="22"/>
          <w:lang w:val="en-US" w:eastAsia="zh-CN"/>
        </w:rPr>
      </w:pPr>
      <w:hyperlink w:anchor="_Toc377560470" w:history="1">
        <w:r w:rsidR="00C84BA8" w:rsidRPr="00E1113A">
          <w:rPr>
            <w:rStyle w:val="Hyperlink"/>
            <w:rFonts w:cs="Times New Roman"/>
          </w:rPr>
          <w:t>9.5</w:t>
        </w:r>
        <w:r w:rsidR="00C84BA8">
          <w:rPr>
            <w:rFonts w:asciiTheme="minorHAnsi" w:eastAsiaTheme="minorEastAsia" w:hAnsiTheme="minorHAnsi" w:cstheme="minorBidi"/>
            <w:bCs w:val="0"/>
            <w:sz w:val="22"/>
            <w:szCs w:val="22"/>
            <w:lang w:val="en-US" w:eastAsia="zh-CN"/>
          </w:rPr>
          <w:tab/>
        </w:r>
        <w:r w:rsidR="00C84BA8" w:rsidRPr="00E1113A">
          <w:rPr>
            <w:rStyle w:val="Hyperlink"/>
          </w:rPr>
          <w:t>Objetivos</w:t>
        </w:r>
        <w:r w:rsidR="00C84BA8">
          <w:rPr>
            <w:webHidden/>
          </w:rPr>
          <w:tab/>
        </w:r>
        <w:r w:rsidR="00C84BA8">
          <w:rPr>
            <w:webHidden/>
          </w:rPr>
          <w:tab/>
        </w:r>
        <w:r w:rsidR="00C84BA8">
          <w:rPr>
            <w:webHidden/>
          </w:rPr>
          <w:fldChar w:fldCharType="begin"/>
        </w:r>
        <w:r w:rsidR="00C84BA8">
          <w:rPr>
            <w:webHidden/>
          </w:rPr>
          <w:instrText xml:space="preserve"> PAGEREF _Toc377560470 \h </w:instrText>
        </w:r>
        <w:r w:rsidR="00C84BA8">
          <w:rPr>
            <w:webHidden/>
          </w:rPr>
        </w:r>
        <w:r w:rsidR="00C84BA8">
          <w:rPr>
            <w:webHidden/>
          </w:rPr>
          <w:fldChar w:fldCharType="separate"/>
        </w:r>
        <w:r w:rsidR="000F2A69">
          <w:rPr>
            <w:webHidden/>
          </w:rPr>
          <w:t>21</w:t>
        </w:r>
        <w:r w:rsidR="00C84BA8">
          <w:rPr>
            <w:webHidden/>
          </w:rPr>
          <w:fldChar w:fldCharType="end"/>
        </w:r>
      </w:hyperlink>
    </w:p>
    <w:p w:rsidR="00C84BA8" w:rsidRDefault="007E66A3">
      <w:pPr>
        <w:pStyle w:val="TOC2"/>
        <w:rPr>
          <w:rFonts w:asciiTheme="minorHAnsi" w:eastAsiaTheme="minorEastAsia" w:hAnsiTheme="minorHAnsi" w:cstheme="minorBidi"/>
          <w:bCs w:val="0"/>
          <w:sz w:val="22"/>
          <w:szCs w:val="22"/>
          <w:lang w:val="en-US" w:eastAsia="zh-CN"/>
        </w:rPr>
      </w:pPr>
      <w:hyperlink w:anchor="_Toc377560471" w:history="1">
        <w:r w:rsidR="00C84BA8" w:rsidRPr="00E1113A">
          <w:rPr>
            <w:rStyle w:val="Hyperlink"/>
            <w:rFonts w:cs="Times New Roman"/>
          </w:rPr>
          <w:t>9.6</w:t>
        </w:r>
        <w:r w:rsidR="00C84BA8">
          <w:rPr>
            <w:rFonts w:asciiTheme="minorHAnsi" w:eastAsiaTheme="minorEastAsia" w:hAnsiTheme="minorHAnsi" w:cstheme="minorBidi"/>
            <w:bCs w:val="0"/>
            <w:sz w:val="22"/>
            <w:szCs w:val="22"/>
            <w:lang w:val="en-US" w:eastAsia="zh-CN"/>
          </w:rPr>
          <w:tab/>
        </w:r>
        <w:r w:rsidR="00C84BA8" w:rsidRPr="00E1113A">
          <w:rPr>
            <w:rStyle w:val="Hyperlink"/>
            <w:rFonts w:cs="Times New Roman"/>
          </w:rPr>
          <w:t xml:space="preserve"> </w:t>
        </w:r>
        <w:r w:rsidR="00C84BA8" w:rsidRPr="00E1113A">
          <w:rPr>
            <w:rStyle w:val="Hyperlink"/>
          </w:rPr>
          <w:t>Mediciones</w:t>
        </w:r>
        <w:r w:rsidR="00C84BA8">
          <w:rPr>
            <w:webHidden/>
          </w:rPr>
          <w:tab/>
        </w:r>
        <w:r w:rsidR="00C84BA8">
          <w:rPr>
            <w:webHidden/>
          </w:rPr>
          <w:tab/>
        </w:r>
        <w:r w:rsidR="00C84BA8">
          <w:rPr>
            <w:webHidden/>
          </w:rPr>
          <w:fldChar w:fldCharType="begin"/>
        </w:r>
        <w:r w:rsidR="00C84BA8">
          <w:rPr>
            <w:webHidden/>
          </w:rPr>
          <w:instrText xml:space="preserve"> PAGEREF _Toc377560471 \h </w:instrText>
        </w:r>
        <w:r w:rsidR="00C84BA8">
          <w:rPr>
            <w:webHidden/>
          </w:rPr>
        </w:r>
        <w:r w:rsidR="00C84BA8">
          <w:rPr>
            <w:webHidden/>
          </w:rPr>
          <w:fldChar w:fldCharType="separate"/>
        </w:r>
        <w:r w:rsidR="000F2A69">
          <w:rPr>
            <w:webHidden/>
          </w:rPr>
          <w:t>21</w:t>
        </w:r>
        <w:r w:rsidR="00C84BA8">
          <w:rPr>
            <w:webHidden/>
          </w:rPr>
          <w:fldChar w:fldCharType="end"/>
        </w:r>
      </w:hyperlink>
    </w:p>
    <w:p w:rsidR="00C84BA8" w:rsidRDefault="007E66A3">
      <w:pPr>
        <w:pStyle w:val="TOC2"/>
        <w:rPr>
          <w:rFonts w:asciiTheme="minorHAnsi" w:eastAsiaTheme="minorEastAsia" w:hAnsiTheme="minorHAnsi" w:cstheme="minorBidi"/>
          <w:bCs w:val="0"/>
          <w:sz w:val="22"/>
          <w:szCs w:val="22"/>
          <w:lang w:val="en-US" w:eastAsia="zh-CN"/>
        </w:rPr>
      </w:pPr>
      <w:hyperlink w:anchor="_Toc377560472" w:history="1">
        <w:r w:rsidR="00C84BA8" w:rsidRPr="00E1113A">
          <w:rPr>
            <w:rStyle w:val="Hyperlink"/>
            <w:rFonts w:cs="Times New Roman"/>
          </w:rPr>
          <w:t>9.7</w:t>
        </w:r>
        <w:r w:rsidR="00C84BA8">
          <w:rPr>
            <w:rFonts w:asciiTheme="minorHAnsi" w:eastAsiaTheme="minorEastAsia" w:hAnsiTheme="minorHAnsi" w:cstheme="minorBidi"/>
            <w:bCs w:val="0"/>
            <w:sz w:val="22"/>
            <w:szCs w:val="22"/>
            <w:lang w:val="en-US" w:eastAsia="zh-CN"/>
          </w:rPr>
          <w:tab/>
        </w:r>
        <w:r w:rsidR="00C84BA8" w:rsidRPr="00E1113A">
          <w:rPr>
            <w:rStyle w:val="Hyperlink"/>
            <w:rFonts w:cs="Times New Roman"/>
          </w:rPr>
          <w:t xml:space="preserve"> </w:t>
        </w:r>
        <w:r w:rsidR="00C84BA8" w:rsidRPr="00E1113A">
          <w:rPr>
            <w:rStyle w:val="Hyperlink"/>
          </w:rPr>
          <w:t>Publicación de mediciones por organismos reguladores</w:t>
        </w:r>
        <w:r w:rsidR="00C84BA8">
          <w:rPr>
            <w:webHidden/>
          </w:rPr>
          <w:tab/>
        </w:r>
        <w:r w:rsidR="00C84BA8">
          <w:rPr>
            <w:webHidden/>
          </w:rPr>
          <w:tab/>
        </w:r>
        <w:r w:rsidR="00C84BA8">
          <w:rPr>
            <w:webHidden/>
          </w:rPr>
          <w:fldChar w:fldCharType="begin"/>
        </w:r>
        <w:r w:rsidR="00C84BA8">
          <w:rPr>
            <w:webHidden/>
          </w:rPr>
          <w:instrText xml:space="preserve"> PAGEREF _Toc377560472 \h </w:instrText>
        </w:r>
        <w:r w:rsidR="00C84BA8">
          <w:rPr>
            <w:webHidden/>
          </w:rPr>
        </w:r>
        <w:r w:rsidR="00C84BA8">
          <w:rPr>
            <w:webHidden/>
          </w:rPr>
          <w:fldChar w:fldCharType="separate"/>
        </w:r>
        <w:r w:rsidR="000F2A69">
          <w:rPr>
            <w:webHidden/>
          </w:rPr>
          <w:t>22</w:t>
        </w:r>
        <w:r w:rsidR="00C84BA8">
          <w:rPr>
            <w:webHidden/>
          </w:rPr>
          <w:fldChar w:fldCharType="end"/>
        </w:r>
      </w:hyperlink>
    </w:p>
    <w:p w:rsidR="00C84BA8" w:rsidRDefault="007E66A3">
      <w:pPr>
        <w:pStyle w:val="TOC2"/>
        <w:rPr>
          <w:rFonts w:asciiTheme="minorHAnsi" w:eastAsiaTheme="minorEastAsia" w:hAnsiTheme="minorHAnsi" w:cstheme="minorBidi"/>
          <w:bCs w:val="0"/>
          <w:sz w:val="22"/>
          <w:szCs w:val="22"/>
          <w:lang w:val="en-US" w:eastAsia="zh-CN"/>
        </w:rPr>
      </w:pPr>
      <w:hyperlink w:anchor="_Toc377560473" w:history="1">
        <w:r w:rsidR="00C84BA8" w:rsidRPr="00E1113A">
          <w:rPr>
            <w:rStyle w:val="Hyperlink"/>
            <w:rFonts w:cs="Times New Roman"/>
          </w:rPr>
          <w:t>9.8</w:t>
        </w:r>
        <w:r w:rsidR="00C84BA8">
          <w:rPr>
            <w:rFonts w:asciiTheme="minorHAnsi" w:eastAsiaTheme="minorEastAsia" w:hAnsiTheme="minorHAnsi" w:cstheme="minorBidi"/>
            <w:bCs w:val="0"/>
            <w:sz w:val="22"/>
            <w:szCs w:val="22"/>
            <w:lang w:val="en-US" w:eastAsia="zh-CN"/>
          </w:rPr>
          <w:tab/>
        </w:r>
        <w:r w:rsidR="00C84BA8" w:rsidRPr="00E1113A">
          <w:rPr>
            <w:rStyle w:val="Hyperlink"/>
            <w:rFonts w:cs="Times New Roman"/>
          </w:rPr>
          <w:t>Contenido y formato de la publicación</w:t>
        </w:r>
        <w:r w:rsidR="00C84BA8">
          <w:rPr>
            <w:webHidden/>
          </w:rPr>
          <w:tab/>
        </w:r>
        <w:r w:rsidR="00C84BA8">
          <w:rPr>
            <w:webHidden/>
          </w:rPr>
          <w:tab/>
        </w:r>
        <w:r w:rsidR="00C84BA8">
          <w:rPr>
            <w:webHidden/>
          </w:rPr>
          <w:fldChar w:fldCharType="begin"/>
        </w:r>
        <w:r w:rsidR="00C84BA8">
          <w:rPr>
            <w:webHidden/>
          </w:rPr>
          <w:instrText xml:space="preserve"> PAGEREF _Toc377560473 \h </w:instrText>
        </w:r>
        <w:r w:rsidR="00C84BA8">
          <w:rPr>
            <w:webHidden/>
          </w:rPr>
        </w:r>
        <w:r w:rsidR="00C84BA8">
          <w:rPr>
            <w:webHidden/>
          </w:rPr>
          <w:fldChar w:fldCharType="separate"/>
        </w:r>
        <w:r w:rsidR="000F2A69">
          <w:rPr>
            <w:webHidden/>
          </w:rPr>
          <w:t>22</w:t>
        </w:r>
        <w:r w:rsidR="00C84BA8">
          <w:rPr>
            <w:webHidden/>
          </w:rPr>
          <w:fldChar w:fldCharType="end"/>
        </w:r>
      </w:hyperlink>
    </w:p>
    <w:p w:rsidR="00C84BA8" w:rsidRDefault="007E66A3">
      <w:pPr>
        <w:pStyle w:val="TOC2"/>
        <w:rPr>
          <w:rFonts w:asciiTheme="minorHAnsi" w:eastAsiaTheme="minorEastAsia" w:hAnsiTheme="minorHAnsi" w:cstheme="minorBidi"/>
          <w:bCs w:val="0"/>
          <w:sz w:val="22"/>
          <w:szCs w:val="22"/>
          <w:lang w:val="en-US" w:eastAsia="zh-CN"/>
        </w:rPr>
      </w:pPr>
      <w:hyperlink w:anchor="_Toc377560474" w:history="1">
        <w:r w:rsidR="00C84BA8" w:rsidRPr="00E1113A">
          <w:rPr>
            <w:rStyle w:val="Hyperlink"/>
            <w:rFonts w:cs="Times New Roman"/>
          </w:rPr>
          <w:t>9.9</w:t>
        </w:r>
        <w:r w:rsidR="00C84BA8">
          <w:rPr>
            <w:rFonts w:asciiTheme="minorHAnsi" w:eastAsiaTheme="minorEastAsia" w:hAnsiTheme="minorHAnsi" w:cstheme="minorBidi"/>
            <w:bCs w:val="0"/>
            <w:sz w:val="22"/>
            <w:szCs w:val="22"/>
            <w:lang w:val="en-US" w:eastAsia="zh-CN"/>
          </w:rPr>
          <w:tab/>
        </w:r>
        <w:r w:rsidR="00C84BA8" w:rsidRPr="00E1113A">
          <w:rPr>
            <w:rStyle w:val="Hyperlink"/>
            <w:rFonts w:cs="Times New Roman"/>
          </w:rPr>
          <w:t xml:space="preserve"> </w:t>
        </w:r>
        <w:r w:rsidR="00C84BA8" w:rsidRPr="00E1113A">
          <w:rPr>
            <w:rStyle w:val="Hyperlink"/>
          </w:rPr>
          <w:t>Inspección e investigaciones</w:t>
        </w:r>
        <w:r w:rsidR="00C84BA8">
          <w:rPr>
            <w:webHidden/>
          </w:rPr>
          <w:tab/>
        </w:r>
        <w:r w:rsidR="00C84BA8">
          <w:rPr>
            <w:webHidden/>
          </w:rPr>
          <w:tab/>
        </w:r>
        <w:r w:rsidR="00C84BA8">
          <w:rPr>
            <w:webHidden/>
          </w:rPr>
          <w:fldChar w:fldCharType="begin"/>
        </w:r>
        <w:r w:rsidR="00C84BA8">
          <w:rPr>
            <w:webHidden/>
          </w:rPr>
          <w:instrText xml:space="preserve"> PAGEREF _Toc377560474 \h </w:instrText>
        </w:r>
        <w:r w:rsidR="00C84BA8">
          <w:rPr>
            <w:webHidden/>
          </w:rPr>
        </w:r>
        <w:r w:rsidR="00C84BA8">
          <w:rPr>
            <w:webHidden/>
          </w:rPr>
          <w:fldChar w:fldCharType="separate"/>
        </w:r>
        <w:r w:rsidR="000F2A69">
          <w:rPr>
            <w:webHidden/>
          </w:rPr>
          <w:t>23</w:t>
        </w:r>
        <w:r w:rsidR="00C84BA8">
          <w:rPr>
            <w:webHidden/>
          </w:rPr>
          <w:fldChar w:fldCharType="end"/>
        </w:r>
      </w:hyperlink>
    </w:p>
    <w:p w:rsidR="00C84BA8" w:rsidRDefault="007E66A3">
      <w:pPr>
        <w:pStyle w:val="TOC2"/>
        <w:rPr>
          <w:rStyle w:val="Hyperlink"/>
        </w:rPr>
      </w:pPr>
      <w:hyperlink w:anchor="_Toc377560475" w:history="1">
        <w:r w:rsidR="00C84BA8" w:rsidRPr="00E1113A">
          <w:rPr>
            <w:rStyle w:val="Hyperlink"/>
            <w:rFonts w:cs="Times New Roman"/>
          </w:rPr>
          <w:t>9.10</w:t>
        </w:r>
        <w:r w:rsidR="00C84BA8">
          <w:rPr>
            <w:rFonts w:asciiTheme="minorHAnsi" w:eastAsiaTheme="minorEastAsia" w:hAnsiTheme="minorHAnsi" w:cstheme="minorBidi"/>
            <w:bCs w:val="0"/>
            <w:sz w:val="22"/>
            <w:szCs w:val="22"/>
            <w:lang w:val="en-US" w:eastAsia="zh-CN"/>
          </w:rPr>
          <w:tab/>
        </w:r>
        <w:r w:rsidR="00C84BA8" w:rsidRPr="00E1113A">
          <w:rPr>
            <w:rStyle w:val="Hyperlink"/>
            <w:rFonts w:cs="Times New Roman"/>
          </w:rPr>
          <w:t xml:space="preserve"> Modificación de las Directrices</w:t>
        </w:r>
        <w:r w:rsidR="00C84BA8">
          <w:rPr>
            <w:webHidden/>
          </w:rPr>
          <w:tab/>
        </w:r>
        <w:r w:rsidR="00C84BA8">
          <w:rPr>
            <w:webHidden/>
          </w:rPr>
          <w:tab/>
        </w:r>
        <w:r w:rsidR="00C84BA8">
          <w:rPr>
            <w:webHidden/>
          </w:rPr>
          <w:fldChar w:fldCharType="begin"/>
        </w:r>
        <w:r w:rsidR="00C84BA8">
          <w:rPr>
            <w:webHidden/>
          </w:rPr>
          <w:instrText xml:space="preserve"> PAGEREF _Toc377560475 \h </w:instrText>
        </w:r>
        <w:r w:rsidR="00C84BA8">
          <w:rPr>
            <w:webHidden/>
          </w:rPr>
        </w:r>
        <w:r w:rsidR="00C84BA8">
          <w:rPr>
            <w:webHidden/>
          </w:rPr>
          <w:fldChar w:fldCharType="separate"/>
        </w:r>
        <w:r w:rsidR="000F2A69">
          <w:rPr>
            <w:webHidden/>
          </w:rPr>
          <w:t>23</w:t>
        </w:r>
        <w:r w:rsidR="00C84BA8">
          <w:rPr>
            <w:webHidden/>
          </w:rPr>
          <w:fldChar w:fldCharType="end"/>
        </w:r>
      </w:hyperlink>
    </w:p>
    <w:p w:rsidR="00C84BA8" w:rsidRDefault="00C84BA8" w:rsidP="00C84BA8">
      <w:pPr>
        <w:rPr>
          <w:noProof/>
        </w:rPr>
      </w:pPr>
      <w:r>
        <w:rPr>
          <w:noProof/>
        </w:rPr>
        <w:br w:type="page"/>
      </w:r>
    </w:p>
    <w:p w:rsidR="00C84BA8" w:rsidRPr="00695208" w:rsidRDefault="00C84BA8" w:rsidP="00C84BA8">
      <w:pPr>
        <w:pStyle w:val="Toc0"/>
        <w:tabs>
          <w:tab w:val="clear" w:pos="9071"/>
          <w:tab w:val="right" w:pos="9214"/>
        </w:tabs>
        <w:rPr>
          <w:rFonts w:asciiTheme="minorHAnsi" w:hAnsiTheme="minorHAnsi" w:cstheme="minorBidi"/>
          <w:lang w:val="en-GB" w:eastAsia="zh-CN"/>
        </w:rPr>
      </w:pPr>
      <w:r w:rsidRPr="00DD6562">
        <w:rPr>
          <w:lang w:val="en-GB"/>
        </w:rPr>
        <w:lastRenderedPageBreak/>
        <w:tab/>
      </w:r>
      <w:r>
        <w:rPr>
          <w:lang w:val="en-GB"/>
        </w:rPr>
        <w:t>Página</w:t>
      </w:r>
    </w:p>
    <w:p w:rsidR="00C84BA8" w:rsidRDefault="007E66A3" w:rsidP="00F074C6">
      <w:pPr>
        <w:pStyle w:val="TOC1"/>
        <w:rPr>
          <w:rFonts w:asciiTheme="minorHAnsi" w:eastAsiaTheme="minorEastAsia" w:hAnsiTheme="minorHAnsi" w:cstheme="minorBidi"/>
          <w:b w:val="0"/>
          <w:bCs w:val="0"/>
          <w:sz w:val="22"/>
          <w:szCs w:val="22"/>
          <w:lang w:eastAsia="zh-CN"/>
        </w:rPr>
      </w:pPr>
      <w:hyperlink w:anchor="_Toc377560476" w:history="1">
        <w:r w:rsidR="00C84BA8" w:rsidRPr="00E1113A">
          <w:rPr>
            <w:rStyle w:val="Hyperlink"/>
          </w:rPr>
          <w:t>I.</w:t>
        </w:r>
        <w:r w:rsidR="00C84BA8">
          <w:rPr>
            <w:rFonts w:asciiTheme="minorHAnsi" w:eastAsiaTheme="minorEastAsia" w:hAnsiTheme="minorHAnsi" w:cstheme="minorBidi"/>
            <w:b w:val="0"/>
            <w:bCs w:val="0"/>
            <w:sz w:val="22"/>
            <w:szCs w:val="22"/>
            <w:lang w:eastAsia="zh-CN"/>
          </w:rPr>
          <w:tab/>
        </w:r>
        <w:r w:rsidR="00C84BA8" w:rsidRPr="00E1113A">
          <w:rPr>
            <w:rStyle w:val="Hyperlink"/>
          </w:rPr>
          <w:t>Annexes</w:t>
        </w:r>
        <w:r w:rsidR="00C84BA8">
          <w:rPr>
            <w:webHidden/>
          </w:rPr>
          <w:tab/>
        </w:r>
        <w:r w:rsidR="000F2A69">
          <w:rPr>
            <w:webHidden/>
          </w:rPr>
          <w:tab/>
        </w:r>
        <w:r w:rsidR="00F074C6">
          <w:rPr>
            <w:webHidden/>
          </w:rPr>
          <w:t>25</w:t>
        </w:r>
      </w:hyperlink>
    </w:p>
    <w:p w:rsidR="00C84BA8" w:rsidRPr="000F2A69" w:rsidRDefault="007E66A3" w:rsidP="000F2A69">
      <w:pPr>
        <w:pStyle w:val="TOC1"/>
        <w:tabs>
          <w:tab w:val="left" w:pos="1134"/>
        </w:tabs>
        <w:ind w:left="567" w:hanging="567"/>
        <w:rPr>
          <w:rStyle w:val="Hyperlink"/>
        </w:rPr>
      </w:pPr>
      <w:hyperlink w:anchor="_Toc377560479" w:history="1">
        <w:r w:rsidR="00C84BA8" w:rsidRPr="00E1113A">
          <w:rPr>
            <w:rStyle w:val="Hyperlink"/>
          </w:rPr>
          <w:t xml:space="preserve">Annex 1: </w:t>
        </w:r>
        <w:r w:rsidR="00C84BA8" w:rsidRPr="000F2A69">
          <w:rPr>
            <w:rStyle w:val="Hyperlink"/>
          </w:rPr>
          <w:tab/>
        </w:r>
        <w:r w:rsidR="00C84BA8" w:rsidRPr="00E1113A">
          <w:rPr>
            <w:rStyle w:val="Hyperlink"/>
          </w:rPr>
          <w:t>RF Exposure Units and Standards</w:t>
        </w:r>
        <w:r w:rsidR="00C84BA8" w:rsidRPr="000F2A69">
          <w:rPr>
            <w:rStyle w:val="Hyperlink"/>
            <w:webHidden/>
          </w:rPr>
          <w:tab/>
        </w:r>
        <w:r w:rsidR="00F074C6">
          <w:rPr>
            <w:rStyle w:val="Hyperlink"/>
            <w:webHidden/>
          </w:rPr>
          <w:tab/>
        </w:r>
        <w:r w:rsidR="00C84BA8" w:rsidRPr="000F2A69">
          <w:rPr>
            <w:rStyle w:val="Hyperlink"/>
            <w:webHidden/>
          </w:rPr>
          <w:fldChar w:fldCharType="begin"/>
        </w:r>
        <w:r w:rsidR="00C84BA8" w:rsidRPr="000F2A69">
          <w:rPr>
            <w:rStyle w:val="Hyperlink"/>
            <w:webHidden/>
          </w:rPr>
          <w:instrText xml:space="preserve"> PAGEREF _Toc377560479 \h </w:instrText>
        </w:r>
        <w:r w:rsidR="00C84BA8" w:rsidRPr="000F2A69">
          <w:rPr>
            <w:rStyle w:val="Hyperlink"/>
            <w:webHidden/>
          </w:rPr>
        </w:r>
        <w:r w:rsidR="00C84BA8" w:rsidRPr="000F2A69">
          <w:rPr>
            <w:rStyle w:val="Hyperlink"/>
            <w:webHidden/>
          </w:rPr>
          <w:fldChar w:fldCharType="separate"/>
        </w:r>
        <w:r w:rsidR="000F2A69" w:rsidRPr="000F2A69">
          <w:rPr>
            <w:rStyle w:val="Hyperlink"/>
            <w:webHidden/>
          </w:rPr>
          <w:t>27</w:t>
        </w:r>
        <w:r w:rsidR="00C84BA8" w:rsidRPr="000F2A69">
          <w:rPr>
            <w:rStyle w:val="Hyperlink"/>
            <w:webHidden/>
          </w:rPr>
          <w:fldChar w:fldCharType="end"/>
        </w:r>
      </w:hyperlink>
    </w:p>
    <w:p w:rsidR="00C84BA8" w:rsidRPr="000F2A69" w:rsidRDefault="007E66A3" w:rsidP="000F2A69">
      <w:pPr>
        <w:pStyle w:val="TOC1"/>
        <w:tabs>
          <w:tab w:val="left" w:pos="1134"/>
        </w:tabs>
        <w:ind w:left="567" w:hanging="567"/>
        <w:rPr>
          <w:rStyle w:val="Hyperlink"/>
        </w:rPr>
      </w:pPr>
      <w:hyperlink w:anchor="_Toc377560480" w:history="1">
        <w:r w:rsidR="00C84BA8" w:rsidRPr="00E1113A">
          <w:rPr>
            <w:rStyle w:val="Hyperlink"/>
          </w:rPr>
          <w:t xml:space="preserve">Annex 2: </w:t>
        </w:r>
        <w:r w:rsidR="00C84BA8" w:rsidRPr="000F2A69">
          <w:rPr>
            <w:rStyle w:val="Hyperlink"/>
          </w:rPr>
          <w:tab/>
        </w:r>
        <w:r w:rsidR="00C84BA8" w:rsidRPr="00E1113A">
          <w:rPr>
            <w:rStyle w:val="Hyperlink"/>
          </w:rPr>
          <w:t>ICNIRP 1998 Exposure Levels and IEEE Levels</w:t>
        </w:r>
        <w:r w:rsidR="00C84BA8" w:rsidRPr="000F2A69">
          <w:rPr>
            <w:rStyle w:val="Hyperlink"/>
            <w:webHidden/>
          </w:rPr>
          <w:tab/>
        </w:r>
        <w:r w:rsidR="00F074C6">
          <w:rPr>
            <w:rStyle w:val="Hyperlink"/>
            <w:webHidden/>
          </w:rPr>
          <w:tab/>
        </w:r>
        <w:r w:rsidR="00C84BA8" w:rsidRPr="000F2A69">
          <w:rPr>
            <w:rStyle w:val="Hyperlink"/>
            <w:webHidden/>
          </w:rPr>
          <w:fldChar w:fldCharType="begin"/>
        </w:r>
        <w:r w:rsidR="00C84BA8" w:rsidRPr="000F2A69">
          <w:rPr>
            <w:rStyle w:val="Hyperlink"/>
            <w:webHidden/>
          </w:rPr>
          <w:instrText xml:space="preserve"> PAGEREF _Toc377560480 \h </w:instrText>
        </w:r>
        <w:r w:rsidR="00C84BA8" w:rsidRPr="000F2A69">
          <w:rPr>
            <w:rStyle w:val="Hyperlink"/>
            <w:webHidden/>
          </w:rPr>
        </w:r>
        <w:r w:rsidR="00C84BA8" w:rsidRPr="000F2A69">
          <w:rPr>
            <w:rStyle w:val="Hyperlink"/>
            <w:webHidden/>
          </w:rPr>
          <w:fldChar w:fldCharType="separate"/>
        </w:r>
        <w:r w:rsidR="000F2A69" w:rsidRPr="000F2A69">
          <w:rPr>
            <w:rStyle w:val="Hyperlink"/>
            <w:webHidden/>
          </w:rPr>
          <w:t>28</w:t>
        </w:r>
        <w:r w:rsidR="00C84BA8" w:rsidRPr="000F2A69">
          <w:rPr>
            <w:rStyle w:val="Hyperlink"/>
            <w:webHidden/>
          </w:rPr>
          <w:fldChar w:fldCharType="end"/>
        </w:r>
      </w:hyperlink>
    </w:p>
    <w:p w:rsidR="00C84BA8" w:rsidRDefault="007E66A3" w:rsidP="000F2A69">
      <w:pPr>
        <w:pStyle w:val="TOC1"/>
        <w:tabs>
          <w:tab w:val="left" w:pos="1134"/>
        </w:tabs>
        <w:ind w:left="567" w:hanging="567"/>
        <w:rPr>
          <w:rFonts w:asciiTheme="minorHAnsi" w:eastAsiaTheme="minorEastAsia" w:hAnsiTheme="minorHAnsi" w:cstheme="minorBidi"/>
          <w:b w:val="0"/>
          <w:bCs w:val="0"/>
          <w:sz w:val="22"/>
          <w:szCs w:val="22"/>
          <w:lang w:eastAsia="zh-CN"/>
        </w:rPr>
      </w:pPr>
      <w:hyperlink w:anchor="_Toc377560483" w:history="1">
        <w:r w:rsidR="00C84BA8" w:rsidRPr="00E1113A">
          <w:rPr>
            <w:rStyle w:val="Hyperlink"/>
          </w:rPr>
          <w:t xml:space="preserve">Annex 3: </w:t>
        </w:r>
        <w:r w:rsidR="00C84BA8">
          <w:rPr>
            <w:rFonts w:asciiTheme="minorHAnsi" w:eastAsiaTheme="minorEastAsia" w:hAnsiTheme="minorHAnsi" w:cstheme="minorBidi"/>
            <w:b w:val="0"/>
            <w:bCs w:val="0"/>
            <w:sz w:val="22"/>
            <w:szCs w:val="22"/>
            <w:lang w:eastAsia="zh-CN"/>
          </w:rPr>
          <w:tab/>
        </w:r>
        <w:r w:rsidR="00C84BA8" w:rsidRPr="00E1113A">
          <w:rPr>
            <w:rStyle w:val="Hyperlink"/>
          </w:rPr>
          <w:t>Mandate of Question 23/1 (WTDC-10/139 (Rev.1))*.</w:t>
        </w:r>
        <w:r w:rsidR="00C84BA8">
          <w:rPr>
            <w:webHidden/>
          </w:rPr>
          <w:tab/>
        </w:r>
        <w:r w:rsidR="00F074C6">
          <w:rPr>
            <w:webHidden/>
          </w:rPr>
          <w:tab/>
        </w:r>
        <w:r w:rsidR="00C84BA8">
          <w:rPr>
            <w:webHidden/>
          </w:rPr>
          <w:fldChar w:fldCharType="begin"/>
        </w:r>
        <w:r w:rsidR="00C84BA8">
          <w:rPr>
            <w:webHidden/>
          </w:rPr>
          <w:instrText xml:space="preserve"> PAGEREF _Toc377560483 \h </w:instrText>
        </w:r>
        <w:r w:rsidR="00C84BA8">
          <w:rPr>
            <w:webHidden/>
          </w:rPr>
        </w:r>
        <w:r w:rsidR="00C84BA8">
          <w:rPr>
            <w:webHidden/>
          </w:rPr>
          <w:fldChar w:fldCharType="separate"/>
        </w:r>
        <w:r w:rsidR="000F2A69">
          <w:rPr>
            <w:webHidden/>
          </w:rPr>
          <w:t>31</w:t>
        </w:r>
        <w:r w:rsidR="00C84BA8">
          <w:rPr>
            <w:webHidden/>
          </w:rPr>
          <w:fldChar w:fldCharType="end"/>
        </w:r>
      </w:hyperlink>
    </w:p>
    <w:p w:rsidR="00C84BA8" w:rsidRDefault="007E66A3" w:rsidP="007C225B">
      <w:pPr>
        <w:pStyle w:val="TOC1"/>
        <w:tabs>
          <w:tab w:val="left" w:pos="1134"/>
        </w:tabs>
        <w:ind w:left="1134" w:hanging="1134"/>
        <w:rPr>
          <w:rFonts w:asciiTheme="minorHAnsi" w:eastAsiaTheme="minorEastAsia" w:hAnsiTheme="minorHAnsi" w:cstheme="minorBidi"/>
          <w:b w:val="0"/>
          <w:bCs w:val="0"/>
          <w:sz w:val="22"/>
          <w:szCs w:val="22"/>
          <w:lang w:eastAsia="zh-CN"/>
        </w:rPr>
      </w:pPr>
      <w:hyperlink w:anchor="_Toc377560484" w:history="1">
        <w:r w:rsidR="00C84BA8" w:rsidRPr="00E1113A">
          <w:rPr>
            <w:rStyle w:val="Hyperlink"/>
          </w:rPr>
          <w:t xml:space="preserve">Annex 4: </w:t>
        </w:r>
        <w:r w:rsidR="00C84BA8">
          <w:rPr>
            <w:rFonts w:asciiTheme="minorHAnsi" w:eastAsiaTheme="minorEastAsia" w:hAnsiTheme="minorHAnsi" w:cstheme="minorBidi"/>
            <w:b w:val="0"/>
            <w:bCs w:val="0"/>
            <w:sz w:val="22"/>
            <w:szCs w:val="22"/>
            <w:lang w:eastAsia="zh-CN"/>
          </w:rPr>
          <w:tab/>
        </w:r>
        <w:r w:rsidR="00C84BA8" w:rsidRPr="00E1113A">
          <w:rPr>
            <w:rStyle w:val="Hyperlink"/>
          </w:rPr>
          <w:t>WTSA-12 Resolution 72 on “Measurement concerns related to human exposure to electromagnetic fields”'</w:t>
        </w:r>
        <w:r w:rsidR="00C84BA8">
          <w:rPr>
            <w:webHidden/>
          </w:rPr>
          <w:tab/>
        </w:r>
        <w:r w:rsidR="00F074C6">
          <w:rPr>
            <w:webHidden/>
          </w:rPr>
          <w:tab/>
        </w:r>
        <w:r w:rsidR="00C84BA8">
          <w:rPr>
            <w:webHidden/>
          </w:rPr>
          <w:fldChar w:fldCharType="begin"/>
        </w:r>
        <w:r w:rsidR="00C84BA8">
          <w:rPr>
            <w:webHidden/>
          </w:rPr>
          <w:instrText xml:space="preserve"> PAGEREF _Toc377560484 \h </w:instrText>
        </w:r>
        <w:r w:rsidR="00C84BA8">
          <w:rPr>
            <w:webHidden/>
          </w:rPr>
        </w:r>
        <w:r w:rsidR="00C84BA8">
          <w:rPr>
            <w:webHidden/>
          </w:rPr>
          <w:fldChar w:fldCharType="separate"/>
        </w:r>
        <w:r w:rsidR="000F2A69">
          <w:rPr>
            <w:webHidden/>
          </w:rPr>
          <w:t>32</w:t>
        </w:r>
        <w:r w:rsidR="00C84BA8">
          <w:rPr>
            <w:webHidden/>
          </w:rPr>
          <w:fldChar w:fldCharType="end"/>
        </w:r>
      </w:hyperlink>
    </w:p>
    <w:p w:rsidR="00C84BA8" w:rsidRDefault="007E66A3" w:rsidP="00D3765F">
      <w:pPr>
        <w:pStyle w:val="TOC1"/>
        <w:tabs>
          <w:tab w:val="left" w:pos="1134"/>
        </w:tabs>
        <w:ind w:left="1134" w:hanging="1134"/>
        <w:rPr>
          <w:rFonts w:asciiTheme="minorHAnsi" w:eastAsiaTheme="minorEastAsia" w:hAnsiTheme="minorHAnsi" w:cstheme="minorBidi"/>
          <w:b w:val="0"/>
          <w:bCs w:val="0"/>
          <w:sz w:val="22"/>
          <w:szCs w:val="22"/>
          <w:lang w:eastAsia="zh-CN"/>
        </w:rPr>
      </w:pPr>
      <w:hyperlink w:anchor="_Toc377560485" w:history="1">
        <w:r w:rsidR="00C84BA8" w:rsidRPr="00E1113A">
          <w:rPr>
            <w:rStyle w:val="Hyperlink"/>
          </w:rPr>
          <w:t xml:space="preserve">Annex 5: </w:t>
        </w:r>
        <w:r w:rsidR="00C84BA8">
          <w:rPr>
            <w:rFonts w:asciiTheme="minorHAnsi" w:eastAsiaTheme="minorEastAsia" w:hAnsiTheme="minorHAnsi" w:cstheme="minorBidi"/>
            <w:b w:val="0"/>
            <w:bCs w:val="0"/>
            <w:sz w:val="22"/>
            <w:szCs w:val="22"/>
            <w:lang w:eastAsia="zh-CN"/>
          </w:rPr>
          <w:tab/>
        </w:r>
        <w:r w:rsidR="00C84BA8" w:rsidRPr="00E1113A">
          <w:rPr>
            <w:rStyle w:val="Hyperlink"/>
          </w:rPr>
          <w:t xml:space="preserve">WTDC-10 Resolution 62 on "Measurement concerns related to human exposure </w:t>
        </w:r>
        <w:r w:rsidR="00D3765F">
          <w:rPr>
            <w:rStyle w:val="Hyperlink"/>
          </w:rPr>
          <w:br/>
        </w:r>
        <w:r w:rsidR="00C84BA8" w:rsidRPr="00E1113A">
          <w:rPr>
            <w:rStyle w:val="Hyperlink"/>
          </w:rPr>
          <w:t>to EMF"</w:t>
        </w:r>
        <w:r w:rsidR="00C84BA8">
          <w:rPr>
            <w:webHidden/>
          </w:rPr>
          <w:tab/>
        </w:r>
        <w:r w:rsidR="00D3765F">
          <w:rPr>
            <w:webHidden/>
          </w:rPr>
          <w:tab/>
        </w:r>
        <w:r w:rsidR="00C84BA8">
          <w:rPr>
            <w:webHidden/>
          </w:rPr>
          <w:fldChar w:fldCharType="begin"/>
        </w:r>
        <w:r w:rsidR="00C84BA8">
          <w:rPr>
            <w:webHidden/>
          </w:rPr>
          <w:instrText xml:space="preserve"> PAGEREF _Toc377560485 \h </w:instrText>
        </w:r>
        <w:r w:rsidR="00C84BA8">
          <w:rPr>
            <w:webHidden/>
          </w:rPr>
        </w:r>
        <w:r w:rsidR="00C84BA8">
          <w:rPr>
            <w:webHidden/>
          </w:rPr>
          <w:fldChar w:fldCharType="separate"/>
        </w:r>
        <w:r w:rsidR="000F2A69">
          <w:rPr>
            <w:webHidden/>
          </w:rPr>
          <w:t>35</w:t>
        </w:r>
        <w:r w:rsidR="00C84BA8">
          <w:rPr>
            <w:webHidden/>
          </w:rPr>
          <w:fldChar w:fldCharType="end"/>
        </w:r>
      </w:hyperlink>
    </w:p>
    <w:p w:rsidR="00C84BA8" w:rsidRDefault="007E66A3" w:rsidP="000F2A69">
      <w:pPr>
        <w:pStyle w:val="TOC1"/>
        <w:tabs>
          <w:tab w:val="left" w:pos="1134"/>
        </w:tabs>
        <w:ind w:left="1134" w:hanging="1134"/>
        <w:rPr>
          <w:rFonts w:asciiTheme="minorHAnsi" w:eastAsiaTheme="minorEastAsia" w:hAnsiTheme="minorHAnsi" w:cstheme="minorBidi"/>
          <w:b w:val="0"/>
          <w:bCs w:val="0"/>
          <w:sz w:val="22"/>
          <w:szCs w:val="22"/>
          <w:lang w:eastAsia="zh-CN"/>
        </w:rPr>
      </w:pPr>
      <w:hyperlink w:anchor="_Toc377560486" w:history="1">
        <w:r w:rsidR="00C84BA8" w:rsidRPr="00E1113A">
          <w:rPr>
            <w:rStyle w:val="Hyperlink"/>
          </w:rPr>
          <w:t xml:space="preserve">Annex 6: </w:t>
        </w:r>
        <w:r w:rsidR="00C84BA8">
          <w:rPr>
            <w:rFonts w:asciiTheme="minorHAnsi" w:eastAsiaTheme="minorEastAsia" w:hAnsiTheme="minorHAnsi" w:cstheme="minorBidi"/>
            <w:b w:val="0"/>
            <w:bCs w:val="0"/>
            <w:sz w:val="22"/>
            <w:szCs w:val="22"/>
            <w:lang w:eastAsia="zh-CN"/>
          </w:rPr>
          <w:tab/>
        </w:r>
        <w:r w:rsidR="00C84BA8" w:rsidRPr="00E1113A">
          <w:rPr>
            <w:rStyle w:val="Hyperlink"/>
          </w:rPr>
          <w:t>Plenipotentiary Conference (PP-10) Resolution 176 on "Human exposure to and measurement of electromagnetic fields".</w:t>
        </w:r>
        <w:r w:rsidR="00C84BA8">
          <w:rPr>
            <w:webHidden/>
          </w:rPr>
          <w:tab/>
        </w:r>
        <w:r w:rsidR="00F074C6">
          <w:rPr>
            <w:webHidden/>
          </w:rPr>
          <w:tab/>
        </w:r>
        <w:r w:rsidR="00C84BA8">
          <w:rPr>
            <w:webHidden/>
          </w:rPr>
          <w:fldChar w:fldCharType="begin"/>
        </w:r>
        <w:r w:rsidR="00C84BA8">
          <w:rPr>
            <w:webHidden/>
          </w:rPr>
          <w:instrText xml:space="preserve"> PAGEREF _Toc377560486 \h </w:instrText>
        </w:r>
        <w:r w:rsidR="00C84BA8">
          <w:rPr>
            <w:webHidden/>
          </w:rPr>
        </w:r>
        <w:r w:rsidR="00C84BA8">
          <w:rPr>
            <w:webHidden/>
          </w:rPr>
          <w:fldChar w:fldCharType="separate"/>
        </w:r>
        <w:r w:rsidR="000F2A69">
          <w:rPr>
            <w:webHidden/>
          </w:rPr>
          <w:t>37</w:t>
        </w:r>
        <w:r w:rsidR="00C84BA8">
          <w:rPr>
            <w:webHidden/>
          </w:rPr>
          <w:fldChar w:fldCharType="end"/>
        </w:r>
      </w:hyperlink>
    </w:p>
    <w:p w:rsidR="00C84BA8" w:rsidRDefault="007E66A3" w:rsidP="000F2A69">
      <w:pPr>
        <w:pStyle w:val="TOC1"/>
        <w:tabs>
          <w:tab w:val="left" w:pos="1134"/>
        </w:tabs>
        <w:ind w:left="567" w:hanging="567"/>
        <w:rPr>
          <w:rFonts w:asciiTheme="minorHAnsi" w:eastAsiaTheme="minorEastAsia" w:hAnsiTheme="minorHAnsi" w:cstheme="minorBidi"/>
          <w:b w:val="0"/>
          <w:bCs w:val="0"/>
          <w:sz w:val="22"/>
          <w:szCs w:val="22"/>
          <w:lang w:eastAsia="zh-CN"/>
        </w:rPr>
      </w:pPr>
      <w:hyperlink w:anchor="_Toc377560487" w:history="1">
        <w:r w:rsidR="00C84BA8" w:rsidRPr="00E1113A">
          <w:rPr>
            <w:rStyle w:val="Hyperlink"/>
          </w:rPr>
          <w:t xml:space="preserve">Annex 7: </w:t>
        </w:r>
        <w:r w:rsidR="00C84BA8">
          <w:rPr>
            <w:rFonts w:asciiTheme="minorHAnsi" w:eastAsiaTheme="minorEastAsia" w:hAnsiTheme="minorHAnsi" w:cstheme="minorBidi"/>
            <w:b w:val="0"/>
            <w:bCs w:val="0"/>
            <w:sz w:val="22"/>
            <w:szCs w:val="22"/>
            <w:lang w:eastAsia="zh-CN"/>
          </w:rPr>
          <w:tab/>
        </w:r>
        <w:r w:rsidR="00C84BA8" w:rsidRPr="00E1113A">
          <w:rPr>
            <w:rStyle w:val="Hyperlink"/>
          </w:rPr>
          <w:t>ITU Project in Central America Document</w:t>
        </w:r>
        <w:r w:rsidR="00C84BA8">
          <w:rPr>
            <w:webHidden/>
          </w:rPr>
          <w:tab/>
        </w:r>
        <w:r w:rsidR="00F074C6">
          <w:rPr>
            <w:webHidden/>
          </w:rPr>
          <w:tab/>
        </w:r>
        <w:r w:rsidR="00C84BA8">
          <w:rPr>
            <w:webHidden/>
          </w:rPr>
          <w:fldChar w:fldCharType="begin"/>
        </w:r>
        <w:r w:rsidR="00C84BA8">
          <w:rPr>
            <w:webHidden/>
          </w:rPr>
          <w:instrText xml:space="preserve"> PAGEREF _Toc377560487 \h </w:instrText>
        </w:r>
        <w:r w:rsidR="00C84BA8">
          <w:rPr>
            <w:webHidden/>
          </w:rPr>
        </w:r>
        <w:r w:rsidR="00C84BA8">
          <w:rPr>
            <w:webHidden/>
          </w:rPr>
          <w:fldChar w:fldCharType="separate"/>
        </w:r>
        <w:r w:rsidR="000F2A69">
          <w:rPr>
            <w:webHidden/>
          </w:rPr>
          <w:t>39</w:t>
        </w:r>
        <w:r w:rsidR="00C84BA8">
          <w:rPr>
            <w:webHidden/>
          </w:rPr>
          <w:fldChar w:fldCharType="end"/>
        </w:r>
      </w:hyperlink>
    </w:p>
    <w:p w:rsidR="00C84BA8" w:rsidRDefault="007E66A3" w:rsidP="000F2A69">
      <w:pPr>
        <w:pStyle w:val="TOC1"/>
        <w:tabs>
          <w:tab w:val="left" w:pos="1134"/>
        </w:tabs>
        <w:ind w:left="567" w:hanging="567"/>
        <w:rPr>
          <w:rFonts w:asciiTheme="minorHAnsi" w:eastAsiaTheme="minorEastAsia" w:hAnsiTheme="minorHAnsi" w:cstheme="minorBidi"/>
          <w:b w:val="0"/>
          <w:bCs w:val="0"/>
          <w:sz w:val="22"/>
          <w:szCs w:val="22"/>
          <w:lang w:eastAsia="zh-CN"/>
        </w:rPr>
      </w:pPr>
      <w:hyperlink w:anchor="_Toc377560488" w:history="1">
        <w:r w:rsidR="00C84BA8" w:rsidRPr="00E1113A">
          <w:rPr>
            <w:rStyle w:val="Hyperlink"/>
          </w:rPr>
          <w:t xml:space="preserve">Annex 8: </w:t>
        </w:r>
        <w:r w:rsidR="00C84BA8">
          <w:rPr>
            <w:rFonts w:asciiTheme="minorHAnsi" w:eastAsiaTheme="minorEastAsia" w:hAnsiTheme="minorHAnsi" w:cstheme="minorBidi"/>
            <w:b w:val="0"/>
            <w:bCs w:val="0"/>
            <w:sz w:val="22"/>
            <w:szCs w:val="22"/>
            <w:lang w:eastAsia="zh-CN"/>
          </w:rPr>
          <w:tab/>
        </w:r>
        <w:r w:rsidR="00C84BA8" w:rsidRPr="00E1113A">
          <w:rPr>
            <w:rStyle w:val="Hyperlink"/>
          </w:rPr>
          <w:t>Q23/1 Work Plan</w:t>
        </w:r>
        <w:r w:rsidR="00C84BA8">
          <w:rPr>
            <w:webHidden/>
          </w:rPr>
          <w:tab/>
        </w:r>
        <w:r w:rsidR="00F074C6">
          <w:rPr>
            <w:webHidden/>
          </w:rPr>
          <w:tab/>
        </w:r>
        <w:r w:rsidR="00C84BA8">
          <w:rPr>
            <w:webHidden/>
          </w:rPr>
          <w:fldChar w:fldCharType="begin"/>
        </w:r>
        <w:r w:rsidR="00C84BA8">
          <w:rPr>
            <w:webHidden/>
          </w:rPr>
          <w:instrText xml:space="preserve"> PAGEREF _Toc377560488 \h </w:instrText>
        </w:r>
        <w:r w:rsidR="00C84BA8">
          <w:rPr>
            <w:webHidden/>
          </w:rPr>
        </w:r>
        <w:r w:rsidR="00C84BA8">
          <w:rPr>
            <w:webHidden/>
          </w:rPr>
          <w:fldChar w:fldCharType="separate"/>
        </w:r>
        <w:r w:rsidR="000F2A69">
          <w:rPr>
            <w:webHidden/>
          </w:rPr>
          <w:t>40</w:t>
        </w:r>
        <w:r w:rsidR="00C84BA8">
          <w:rPr>
            <w:webHidden/>
          </w:rPr>
          <w:fldChar w:fldCharType="end"/>
        </w:r>
      </w:hyperlink>
    </w:p>
    <w:p w:rsidR="00C84BA8" w:rsidRDefault="007E66A3" w:rsidP="000F2A69">
      <w:pPr>
        <w:pStyle w:val="TOC1"/>
        <w:tabs>
          <w:tab w:val="left" w:pos="1134"/>
        </w:tabs>
        <w:ind w:left="567" w:hanging="567"/>
        <w:rPr>
          <w:rFonts w:asciiTheme="minorHAnsi" w:eastAsiaTheme="minorEastAsia" w:hAnsiTheme="minorHAnsi" w:cstheme="minorBidi"/>
          <w:b w:val="0"/>
          <w:bCs w:val="0"/>
          <w:sz w:val="22"/>
          <w:szCs w:val="22"/>
          <w:lang w:eastAsia="zh-CN"/>
        </w:rPr>
      </w:pPr>
      <w:hyperlink w:anchor="_Toc377560489" w:history="1">
        <w:r w:rsidR="00C84BA8" w:rsidRPr="00E1113A">
          <w:rPr>
            <w:rStyle w:val="Hyperlink"/>
          </w:rPr>
          <w:t xml:space="preserve">Annex 9: </w:t>
        </w:r>
        <w:r w:rsidR="00C84BA8">
          <w:rPr>
            <w:rFonts w:asciiTheme="minorHAnsi" w:eastAsiaTheme="minorEastAsia" w:hAnsiTheme="minorHAnsi" w:cstheme="minorBidi"/>
            <w:b w:val="0"/>
            <w:bCs w:val="0"/>
            <w:sz w:val="22"/>
            <w:szCs w:val="22"/>
            <w:lang w:eastAsia="zh-CN"/>
          </w:rPr>
          <w:tab/>
        </w:r>
        <w:r w:rsidR="00C84BA8" w:rsidRPr="00E1113A">
          <w:rPr>
            <w:rStyle w:val="Hyperlink"/>
          </w:rPr>
          <w:t>Documents for Q23/1</w:t>
        </w:r>
        <w:r w:rsidR="00C84BA8">
          <w:rPr>
            <w:webHidden/>
          </w:rPr>
          <w:tab/>
        </w:r>
        <w:r w:rsidR="00F074C6">
          <w:rPr>
            <w:webHidden/>
          </w:rPr>
          <w:tab/>
        </w:r>
        <w:r w:rsidR="00C84BA8">
          <w:rPr>
            <w:webHidden/>
          </w:rPr>
          <w:fldChar w:fldCharType="begin"/>
        </w:r>
        <w:r w:rsidR="00C84BA8">
          <w:rPr>
            <w:webHidden/>
          </w:rPr>
          <w:instrText xml:space="preserve"> PAGEREF _Toc377560489 \h </w:instrText>
        </w:r>
        <w:r w:rsidR="00C84BA8">
          <w:rPr>
            <w:webHidden/>
          </w:rPr>
        </w:r>
        <w:r w:rsidR="00C84BA8">
          <w:rPr>
            <w:webHidden/>
          </w:rPr>
          <w:fldChar w:fldCharType="separate"/>
        </w:r>
        <w:r w:rsidR="000F2A69">
          <w:rPr>
            <w:webHidden/>
          </w:rPr>
          <w:t>42</w:t>
        </w:r>
        <w:r w:rsidR="00C84BA8">
          <w:rPr>
            <w:webHidden/>
          </w:rPr>
          <w:fldChar w:fldCharType="end"/>
        </w:r>
      </w:hyperlink>
    </w:p>
    <w:p w:rsidR="00C84BA8" w:rsidRDefault="007E66A3" w:rsidP="000F2A69">
      <w:pPr>
        <w:pStyle w:val="TOC1"/>
        <w:tabs>
          <w:tab w:val="left" w:pos="1134"/>
        </w:tabs>
        <w:ind w:left="567" w:hanging="567"/>
        <w:rPr>
          <w:rFonts w:asciiTheme="minorHAnsi" w:eastAsiaTheme="minorEastAsia" w:hAnsiTheme="minorHAnsi" w:cstheme="minorBidi"/>
          <w:b w:val="0"/>
          <w:bCs w:val="0"/>
          <w:sz w:val="22"/>
          <w:szCs w:val="22"/>
          <w:lang w:eastAsia="zh-CN"/>
        </w:rPr>
      </w:pPr>
      <w:hyperlink w:anchor="_Toc377560490" w:history="1">
        <w:r w:rsidR="00C84BA8" w:rsidRPr="00E1113A">
          <w:rPr>
            <w:rStyle w:val="Hyperlink"/>
          </w:rPr>
          <w:t xml:space="preserve">Annex 10: </w:t>
        </w:r>
        <w:r w:rsidR="00C84BA8">
          <w:rPr>
            <w:rFonts w:asciiTheme="minorHAnsi" w:eastAsiaTheme="minorEastAsia" w:hAnsiTheme="minorHAnsi" w:cstheme="minorBidi"/>
            <w:b w:val="0"/>
            <w:bCs w:val="0"/>
            <w:sz w:val="22"/>
            <w:szCs w:val="22"/>
            <w:lang w:eastAsia="zh-CN"/>
          </w:rPr>
          <w:tab/>
        </w:r>
        <w:r w:rsidR="00C84BA8" w:rsidRPr="00E1113A">
          <w:rPr>
            <w:rStyle w:val="Hyperlink"/>
          </w:rPr>
          <w:t>A case study from India on EMF</w:t>
        </w:r>
        <w:r w:rsidR="00C84BA8">
          <w:rPr>
            <w:webHidden/>
          </w:rPr>
          <w:tab/>
        </w:r>
        <w:r w:rsidR="00F074C6">
          <w:rPr>
            <w:webHidden/>
          </w:rPr>
          <w:tab/>
        </w:r>
        <w:r w:rsidR="00C84BA8">
          <w:rPr>
            <w:webHidden/>
          </w:rPr>
          <w:fldChar w:fldCharType="begin"/>
        </w:r>
        <w:r w:rsidR="00C84BA8">
          <w:rPr>
            <w:webHidden/>
          </w:rPr>
          <w:instrText xml:space="preserve"> PAGEREF _Toc377560490 \h </w:instrText>
        </w:r>
        <w:r w:rsidR="00C84BA8">
          <w:rPr>
            <w:webHidden/>
          </w:rPr>
        </w:r>
        <w:r w:rsidR="00C84BA8">
          <w:rPr>
            <w:webHidden/>
          </w:rPr>
          <w:fldChar w:fldCharType="separate"/>
        </w:r>
        <w:r w:rsidR="000F2A69">
          <w:rPr>
            <w:webHidden/>
          </w:rPr>
          <w:t>43</w:t>
        </w:r>
        <w:r w:rsidR="00C84BA8">
          <w:rPr>
            <w:webHidden/>
          </w:rPr>
          <w:fldChar w:fldCharType="end"/>
        </w:r>
      </w:hyperlink>
    </w:p>
    <w:p w:rsidR="00C84BA8" w:rsidRDefault="007E66A3">
      <w:pPr>
        <w:pStyle w:val="TOC1"/>
        <w:rPr>
          <w:rFonts w:asciiTheme="minorHAnsi" w:eastAsiaTheme="minorEastAsia" w:hAnsiTheme="minorHAnsi" w:cstheme="minorBidi"/>
          <w:b w:val="0"/>
          <w:bCs w:val="0"/>
          <w:sz w:val="22"/>
          <w:szCs w:val="22"/>
          <w:lang w:eastAsia="zh-CN"/>
        </w:rPr>
      </w:pPr>
      <w:hyperlink w:anchor="_Toc377560494" w:history="1">
        <w:r w:rsidR="00C84BA8" w:rsidRPr="00E1113A">
          <w:rPr>
            <w:rStyle w:val="Hyperlink"/>
          </w:rPr>
          <w:t>II.</w:t>
        </w:r>
        <w:r w:rsidR="00C84BA8">
          <w:rPr>
            <w:rFonts w:asciiTheme="minorHAnsi" w:eastAsiaTheme="minorEastAsia" w:hAnsiTheme="minorHAnsi" w:cstheme="minorBidi"/>
            <w:b w:val="0"/>
            <w:bCs w:val="0"/>
            <w:sz w:val="22"/>
            <w:szCs w:val="22"/>
            <w:lang w:eastAsia="zh-CN"/>
          </w:rPr>
          <w:tab/>
        </w:r>
        <w:r w:rsidR="00C84BA8" w:rsidRPr="00E1113A">
          <w:rPr>
            <w:rStyle w:val="Hyperlink"/>
          </w:rPr>
          <w:t>List of Contributions</w:t>
        </w:r>
        <w:r w:rsidR="00C84BA8">
          <w:rPr>
            <w:webHidden/>
          </w:rPr>
          <w:tab/>
        </w:r>
        <w:r w:rsidR="000F2A69">
          <w:rPr>
            <w:webHidden/>
          </w:rPr>
          <w:tab/>
        </w:r>
        <w:r w:rsidR="00C84BA8">
          <w:rPr>
            <w:webHidden/>
          </w:rPr>
          <w:fldChar w:fldCharType="begin"/>
        </w:r>
        <w:r w:rsidR="00C84BA8">
          <w:rPr>
            <w:webHidden/>
          </w:rPr>
          <w:instrText xml:space="preserve"> PAGEREF _Toc377560494 \h </w:instrText>
        </w:r>
        <w:r w:rsidR="00C84BA8">
          <w:rPr>
            <w:webHidden/>
          </w:rPr>
        </w:r>
        <w:r w:rsidR="00C84BA8">
          <w:rPr>
            <w:webHidden/>
          </w:rPr>
          <w:fldChar w:fldCharType="separate"/>
        </w:r>
        <w:r w:rsidR="000F2A69">
          <w:rPr>
            <w:webHidden/>
          </w:rPr>
          <w:t>54</w:t>
        </w:r>
        <w:r w:rsidR="00C84BA8">
          <w:rPr>
            <w:webHidden/>
          </w:rPr>
          <w:fldChar w:fldCharType="end"/>
        </w:r>
      </w:hyperlink>
    </w:p>
    <w:p w:rsidR="00C84BA8" w:rsidRDefault="007E66A3">
      <w:pPr>
        <w:pStyle w:val="TOC1"/>
        <w:rPr>
          <w:rFonts w:asciiTheme="minorHAnsi" w:eastAsiaTheme="minorEastAsia" w:hAnsiTheme="minorHAnsi" w:cstheme="minorBidi"/>
          <w:b w:val="0"/>
          <w:bCs w:val="0"/>
          <w:sz w:val="22"/>
          <w:szCs w:val="22"/>
          <w:lang w:eastAsia="zh-CN"/>
        </w:rPr>
      </w:pPr>
      <w:hyperlink w:anchor="_Toc377560495" w:history="1">
        <w:r w:rsidR="00C84BA8" w:rsidRPr="00E1113A">
          <w:rPr>
            <w:rStyle w:val="Hyperlink"/>
          </w:rPr>
          <w:t>III.</w:t>
        </w:r>
        <w:r w:rsidR="00C84BA8">
          <w:rPr>
            <w:rFonts w:asciiTheme="minorHAnsi" w:eastAsiaTheme="minorEastAsia" w:hAnsiTheme="minorHAnsi" w:cstheme="minorBidi"/>
            <w:b w:val="0"/>
            <w:bCs w:val="0"/>
            <w:sz w:val="22"/>
            <w:szCs w:val="22"/>
            <w:lang w:eastAsia="zh-CN"/>
          </w:rPr>
          <w:tab/>
        </w:r>
        <w:r w:rsidR="00C84BA8" w:rsidRPr="00E1113A">
          <w:rPr>
            <w:rStyle w:val="Hyperlink"/>
          </w:rPr>
          <w:t>References</w:t>
        </w:r>
        <w:r w:rsidR="00C84BA8">
          <w:rPr>
            <w:webHidden/>
          </w:rPr>
          <w:tab/>
        </w:r>
        <w:r w:rsidR="000F2A69">
          <w:rPr>
            <w:webHidden/>
          </w:rPr>
          <w:tab/>
        </w:r>
        <w:r w:rsidR="00C84BA8">
          <w:rPr>
            <w:webHidden/>
          </w:rPr>
          <w:fldChar w:fldCharType="begin"/>
        </w:r>
        <w:r w:rsidR="00C84BA8">
          <w:rPr>
            <w:webHidden/>
          </w:rPr>
          <w:instrText xml:space="preserve"> PAGEREF _Toc377560495 \h </w:instrText>
        </w:r>
        <w:r w:rsidR="00C84BA8">
          <w:rPr>
            <w:webHidden/>
          </w:rPr>
        </w:r>
        <w:r w:rsidR="00C84BA8">
          <w:rPr>
            <w:webHidden/>
          </w:rPr>
          <w:fldChar w:fldCharType="separate"/>
        </w:r>
        <w:r w:rsidR="000F2A69">
          <w:rPr>
            <w:webHidden/>
          </w:rPr>
          <w:t>55</w:t>
        </w:r>
        <w:r w:rsidR="00C84BA8">
          <w:rPr>
            <w:webHidden/>
          </w:rPr>
          <w:fldChar w:fldCharType="end"/>
        </w:r>
      </w:hyperlink>
    </w:p>
    <w:p w:rsidR="00C84BA8" w:rsidRDefault="00C84BA8" w:rsidP="002A45D1">
      <w:pPr>
        <w:rPr>
          <w:lang w:val="es-ES_tradnl"/>
        </w:rPr>
      </w:pPr>
      <w:r>
        <w:rPr>
          <w:lang w:val="es-ES_tradnl"/>
        </w:rPr>
        <w:fldChar w:fldCharType="end"/>
      </w:r>
    </w:p>
    <w:p w:rsidR="007C225B" w:rsidRDefault="007C225B" w:rsidP="002A45D1">
      <w:pPr>
        <w:rPr>
          <w:lang w:val="es-ES_tradnl"/>
        </w:rPr>
      </w:pPr>
    </w:p>
    <w:p w:rsidR="007C225B" w:rsidRDefault="007C225B" w:rsidP="007C225B">
      <w:pPr>
        <w:pStyle w:val="HeadingB"/>
        <w:rPr>
          <w:noProof/>
          <w:lang w:eastAsia="zh-CN"/>
        </w:rPr>
      </w:pPr>
      <w:r>
        <w:t>FIGURA</w:t>
      </w:r>
      <w:r w:rsidRPr="00F22C89">
        <w:t>S</w:t>
      </w:r>
    </w:p>
    <w:p w:rsidR="007C225B" w:rsidRPr="00695208" w:rsidRDefault="007C225B" w:rsidP="001D7C2C">
      <w:pPr>
        <w:pStyle w:val="Toc0"/>
        <w:tabs>
          <w:tab w:val="clear" w:pos="9071"/>
          <w:tab w:val="right" w:pos="9214"/>
        </w:tabs>
        <w:rPr>
          <w:rFonts w:asciiTheme="minorHAnsi" w:hAnsiTheme="minorHAnsi" w:cstheme="minorBidi"/>
          <w:lang w:val="en-GB" w:eastAsia="zh-CN"/>
        </w:rPr>
      </w:pPr>
      <w:r w:rsidRPr="00695208">
        <w:rPr>
          <w:lang w:val="en-GB"/>
        </w:rPr>
        <w:t>P</w:t>
      </w:r>
      <w:r w:rsidR="001D7C2C">
        <w:rPr>
          <w:lang w:val="en-GB"/>
        </w:rPr>
        <w:t>ágina</w:t>
      </w:r>
    </w:p>
    <w:p w:rsidR="007C225B" w:rsidRPr="00F22C89" w:rsidRDefault="007C225B" w:rsidP="00320089">
      <w:pPr>
        <w:pStyle w:val="TOC1"/>
        <w:tabs>
          <w:tab w:val="left" w:pos="993"/>
        </w:tabs>
        <w:ind w:left="993" w:hanging="993"/>
        <w:rPr>
          <w:rFonts w:asciiTheme="minorHAnsi" w:eastAsiaTheme="minorEastAsia" w:hAnsiTheme="minorHAnsi" w:cstheme="minorBidi"/>
          <w:b w:val="0"/>
          <w:bCs w:val="0"/>
          <w:sz w:val="22"/>
          <w:szCs w:val="22"/>
          <w:lang w:eastAsia="zh-CN"/>
        </w:rPr>
      </w:pPr>
      <w:r w:rsidRPr="00F22C89">
        <w:rPr>
          <w:b w:val="0"/>
          <w:bCs w:val="0"/>
          <w:lang w:val="en-GB" w:eastAsia="zh-CN"/>
        </w:rPr>
        <w:fldChar w:fldCharType="begin"/>
      </w:r>
      <w:r w:rsidRPr="00F22C89">
        <w:rPr>
          <w:b w:val="0"/>
          <w:bCs w:val="0"/>
          <w:lang w:val="en-GB" w:eastAsia="zh-CN"/>
        </w:rPr>
        <w:instrText xml:space="preserve"> TOC \h \z \t "Figure title;1" </w:instrText>
      </w:r>
      <w:r w:rsidRPr="00F22C89">
        <w:rPr>
          <w:b w:val="0"/>
          <w:bCs w:val="0"/>
          <w:lang w:val="en-GB" w:eastAsia="zh-CN"/>
        </w:rPr>
        <w:fldChar w:fldCharType="separate"/>
      </w:r>
      <w:hyperlink w:anchor="_Toc375239129" w:history="1">
        <w:r w:rsidRPr="00F22C89">
          <w:rPr>
            <w:rStyle w:val="Hyperlink"/>
            <w:b w:val="0"/>
            <w:bCs w:val="0"/>
          </w:rPr>
          <w:t>Figur</w:t>
        </w:r>
        <w:r>
          <w:rPr>
            <w:rStyle w:val="Hyperlink"/>
            <w:b w:val="0"/>
            <w:bCs w:val="0"/>
          </w:rPr>
          <w:t>a</w:t>
        </w:r>
        <w:r w:rsidR="00D16568">
          <w:rPr>
            <w:rStyle w:val="Hyperlink"/>
            <w:b w:val="0"/>
            <w:bCs w:val="0"/>
          </w:rPr>
          <w:t xml:space="preserve"> 1:</w:t>
        </w:r>
        <w:r>
          <w:rPr>
            <w:rStyle w:val="Hyperlink"/>
            <w:b w:val="0"/>
            <w:bCs w:val="0"/>
          </w:rPr>
          <w:tab/>
        </w:r>
        <w:r w:rsidR="001D7C2C" w:rsidRPr="001D7C2C">
          <w:rPr>
            <w:rStyle w:val="Hyperlink"/>
            <w:b w:val="0"/>
            <w:bCs w:val="0"/>
          </w:rPr>
          <w:t xml:space="preserve">Mapa de RNI de San Salvador, no publicado en el momento de la elaboración de este </w:t>
        </w:r>
        <w:r w:rsidR="00320089">
          <w:rPr>
            <w:rStyle w:val="Hyperlink"/>
            <w:b w:val="0"/>
            <w:bCs w:val="0"/>
          </w:rPr>
          <w:br/>
        </w:r>
        <w:r w:rsidR="001D7C2C" w:rsidRPr="001D7C2C">
          <w:rPr>
            <w:rStyle w:val="Hyperlink"/>
            <w:b w:val="0"/>
            <w:bCs w:val="0"/>
          </w:rPr>
          <w:t>Informe</w:t>
        </w:r>
        <w:r w:rsidRPr="00F22C89">
          <w:rPr>
            <w:b w:val="0"/>
            <w:bCs w:val="0"/>
            <w:webHidden/>
          </w:rPr>
          <w:tab/>
        </w:r>
        <w:r>
          <w:rPr>
            <w:b w:val="0"/>
            <w:bCs w:val="0"/>
            <w:webHidden/>
          </w:rPr>
          <w:tab/>
        </w:r>
        <w:r w:rsidR="001D7C2C">
          <w:rPr>
            <w:b w:val="0"/>
            <w:bCs w:val="0"/>
            <w:webHidden/>
          </w:rPr>
          <w:t>16</w:t>
        </w:r>
      </w:hyperlink>
    </w:p>
    <w:p w:rsidR="007C225B" w:rsidRPr="00F22C89" w:rsidRDefault="007E66A3" w:rsidP="00320089">
      <w:pPr>
        <w:pStyle w:val="TOC1"/>
        <w:tabs>
          <w:tab w:val="left" w:pos="993"/>
        </w:tabs>
        <w:ind w:left="567" w:hanging="567"/>
        <w:rPr>
          <w:rFonts w:asciiTheme="minorHAnsi" w:eastAsiaTheme="minorEastAsia" w:hAnsiTheme="minorHAnsi" w:cstheme="minorBidi"/>
          <w:b w:val="0"/>
          <w:bCs w:val="0"/>
          <w:sz w:val="22"/>
          <w:szCs w:val="22"/>
          <w:lang w:eastAsia="zh-CN"/>
        </w:rPr>
      </w:pPr>
      <w:hyperlink w:anchor="_Toc375239130" w:history="1">
        <w:r w:rsidR="007C225B">
          <w:rPr>
            <w:rStyle w:val="Hyperlink"/>
            <w:b w:val="0"/>
            <w:bCs w:val="0"/>
          </w:rPr>
          <w:t>Figura</w:t>
        </w:r>
        <w:r w:rsidR="007C225B" w:rsidRPr="00F22C89">
          <w:rPr>
            <w:rStyle w:val="Hyperlink"/>
            <w:b w:val="0"/>
            <w:bCs w:val="0"/>
          </w:rPr>
          <w:t xml:space="preserve"> 2:</w:t>
        </w:r>
        <w:r w:rsidR="007C225B">
          <w:rPr>
            <w:rStyle w:val="Hyperlink"/>
            <w:b w:val="0"/>
            <w:bCs w:val="0"/>
          </w:rPr>
          <w:tab/>
        </w:r>
        <w:r w:rsidR="001D7C2C" w:rsidRPr="001D7C2C">
          <w:rPr>
            <w:rStyle w:val="Hyperlink"/>
            <w:b w:val="0"/>
            <w:bCs w:val="0"/>
          </w:rPr>
          <w:t>Sistema de Monitoreo Continuo - “Control popular de las RNI”</w:t>
        </w:r>
        <w:r w:rsidR="007C225B" w:rsidRPr="00F22C89">
          <w:rPr>
            <w:b w:val="0"/>
            <w:bCs w:val="0"/>
            <w:webHidden/>
          </w:rPr>
          <w:tab/>
        </w:r>
        <w:r w:rsidR="007C225B">
          <w:rPr>
            <w:b w:val="0"/>
            <w:bCs w:val="0"/>
            <w:webHidden/>
          </w:rPr>
          <w:tab/>
        </w:r>
        <w:r w:rsidR="00D16568">
          <w:rPr>
            <w:b w:val="0"/>
            <w:bCs w:val="0"/>
            <w:webHidden/>
          </w:rPr>
          <w:t>16</w:t>
        </w:r>
      </w:hyperlink>
    </w:p>
    <w:p w:rsidR="007C225B" w:rsidRPr="00F22C89" w:rsidRDefault="007E66A3" w:rsidP="00320089">
      <w:pPr>
        <w:pStyle w:val="TOC1"/>
        <w:tabs>
          <w:tab w:val="left" w:pos="993"/>
        </w:tabs>
        <w:ind w:left="567" w:hanging="567"/>
        <w:rPr>
          <w:rFonts w:asciiTheme="minorHAnsi" w:eastAsiaTheme="minorEastAsia" w:hAnsiTheme="minorHAnsi" w:cstheme="minorBidi"/>
          <w:b w:val="0"/>
          <w:bCs w:val="0"/>
          <w:sz w:val="22"/>
          <w:szCs w:val="22"/>
          <w:lang w:eastAsia="zh-CN"/>
        </w:rPr>
      </w:pPr>
      <w:hyperlink w:anchor="_Toc375239131" w:history="1">
        <w:r w:rsidR="007C225B">
          <w:rPr>
            <w:rStyle w:val="Hyperlink"/>
            <w:b w:val="0"/>
            <w:bCs w:val="0"/>
          </w:rPr>
          <w:t>Figura</w:t>
        </w:r>
        <w:r w:rsidR="007C225B" w:rsidRPr="00F22C89">
          <w:rPr>
            <w:rStyle w:val="Hyperlink"/>
            <w:b w:val="0"/>
            <w:bCs w:val="0"/>
          </w:rPr>
          <w:t xml:space="preserve"> 3:</w:t>
        </w:r>
        <w:r w:rsidR="007C225B">
          <w:rPr>
            <w:rStyle w:val="Hyperlink"/>
            <w:b w:val="0"/>
            <w:bCs w:val="0"/>
          </w:rPr>
          <w:tab/>
        </w:r>
        <w:r w:rsidR="00D16568" w:rsidRPr="00D16568">
          <w:rPr>
            <w:rStyle w:val="Hyperlink"/>
            <w:b w:val="0"/>
            <w:bCs w:val="0"/>
          </w:rPr>
          <w:t>Sistema de Monitoreo Continuo de El Salvador, Proyecto conjunto con la UIT</w:t>
        </w:r>
        <w:r w:rsidR="007C225B" w:rsidRPr="00F22C89">
          <w:rPr>
            <w:b w:val="0"/>
            <w:bCs w:val="0"/>
            <w:webHidden/>
          </w:rPr>
          <w:tab/>
        </w:r>
        <w:r w:rsidR="007C225B">
          <w:rPr>
            <w:b w:val="0"/>
            <w:bCs w:val="0"/>
            <w:webHidden/>
          </w:rPr>
          <w:tab/>
        </w:r>
        <w:r w:rsidR="00D16568">
          <w:rPr>
            <w:b w:val="0"/>
            <w:bCs w:val="0"/>
            <w:webHidden/>
          </w:rPr>
          <w:t>17</w:t>
        </w:r>
      </w:hyperlink>
    </w:p>
    <w:p w:rsidR="007C225B" w:rsidRDefault="007C225B" w:rsidP="007C225B">
      <w:pPr>
        <w:rPr>
          <w:lang w:val="es-ES_tradnl"/>
        </w:rPr>
      </w:pPr>
      <w:r w:rsidRPr="00F22C89">
        <w:rPr>
          <w:noProof/>
          <w:lang w:val="en-GB" w:eastAsia="zh-CN"/>
        </w:rPr>
        <w:fldChar w:fldCharType="end"/>
      </w:r>
    </w:p>
    <w:p w:rsidR="00C84BA8" w:rsidRDefault="00C84BA8" w:rsidP="002A45D1">
      <w:pPr>
        <w:rPr>
          <w:lang w:val="es-ES_tradnl"/>
        </w:rPr>
      </w:pPr>
    </w:p>
    <w:p w:rsidR="00C84BA8" w:rsidRDefault="00C84BA8" w:rsidP="002A45D1">
      <w:pPr>
        <w:rPr>
          <w:lang w:val="es-ES_tradnl"/>
        </w:rPr>
        <w:sectPr w:rsidR="00C84BA8" w:rsidSect="00C84BA8">
          <w:headerReference w:type="even" r:id="rId16"/>
          <w:headerReference w:type="default" r:id="rId17"/>
          <w:footerReference w:type="even" r:id="rId18"/>
          <w:footerReference w:type="default" r:id="rId19"/>
          <w:endnotePr>
            <w:numFmt w:val="decimal"/>
          </w:endnotePr>
          <w:pgSz w:w="11907" w:h="16840" w:code="9"/>
          <w:pgMar w:top="1418" w:right="1418" w:bottom="1418" w:left="1418" w:header="709" w:footer="709" w:gutter="0"/>
          <w:pgNumType w:fmt="lowerRoman" w:start="3"/>
          <w:cols w:space="708"/>
          <w:docGrid w:linePitch="360"/>
        </w:sectPr>
      </w:pPr>
    </w:p>
    <w:p w:rsidR="00ED3677" w:rsidRPr="00096D28" w:rsidRDefault="00EA013E" w:rsidP="00C84BA8">
      <w:pPr>
        <w:pStyle w:val="Chapttitle"/>
        <w:spacing w:before="400"/>
        <w:rPr>
          <w:lang w:val="es-ES_tradnl"/>
        </w:rPr>
      </w:pPr>
      <w:bookmarkStart w:id="8" w:name="_Toc377560447"/>
      <w:r>
        <w:rPr>
          <w:lang w:val="es-ES_tradnl"/>
        </w:rPr>
        <w:lastRenderedPageBreak/>
        <w:t>CUESTIÓN</w:t>
      </w:r>
      <w:r w:rsidR="00ED3677" w:rsidRPr="00096D28">
        <w:rPr>
          <w:lang w:val="es-ES_tradnl"/>
        </w:rPr>
        <w:t xml:space="preserve"> </w:t>
      </w:r>
      <w:bookmarkEnd w:id="6"/>
      <w:r w:rsidR="0028348F" w:rsidRPr="00096D28">
        <w:rPr>
          <w:lang w:val="es-ES_tradnl"/>
        </w:rPr>
        <w:t>23/1</w:t>
      </w:r>
      <w:bookmarkEnd w:id="8"/>
      <w:r w:rsidR="007134EA" w:rsidRPr="00096D28">
        <w:rPr>
          <w:lang w:val="es-ES_tradnl"/>
        </w:rPr>
        <w:br/>
      </w:r>
    </w:p>
    <w:p w:rsidR="00181C1A" w:rsidRPr="00096D28" w:rsidRDefault="00096D28" w:rsidP="00096D28">
      <w:pPr>
        <w:pStyle w:val="Heading1"/>
        <w:rPr>
          <w:lang w:val="es-ES_tradnl"/>
        </w:rPr>
      </w:pPr>
      <w:bookmarkStart w:id="9" w:name="_Toc370824994"/>
      <w:bookmarkStart w:id="10" w:name="_Toc377560448"/>
      <w:bookmarkEnd w:id="7"/>
      <w:r w:rsidRPr="00096D28">
        <w:rPr>
          <w:lang w:val="es-ES_tradnl"/>
        </w:rPr>
        <w:t>1</w:t>
      </w:r>
      <w:r w:rsidRPr="00096D28">
        <w:rPr>
          <w:lang w:val="es-ES_tradnl"/>
        </w:rPr>
        <w:tab/>
        <w:t>A</w:t>
      </w:r>
      <w:r w:rsidR="00181C1A" w:rsidRPr="00096D28">
        <w:rPr>
          <w:lang w:val="es-ES_tradnl"/>
        </w:rPr>
        <w:t>ntecedentes</w:t>
      </w:r>
      <w:bookmarkEnd w:id="9"/>
      <w:bookmarkEnd w:id="10"/>
    </w:p>
    <w:p w:rsidR="00181C1A" w:rsidRPr="00096D28" w:rsidRDefault="00181C1A" w:rsidP="00096D28">
      <w:pPr>
        <w:ind w:hanging="11"/>
        <w:rPr>
          <w:rFonts w:eastAsia="Times New Roman"/>
          <w:lang w:val="es-ES_tradnl"/>
        </w:rPr>
      </w:pPr>
      <w:r w:rsidRPr="00096D28">
        <w:rPr>
          <w:rFonts w:eastAsia="Times New Roman"/>
          <w:lang w:val="es-ES_tradnl"/>
        </w:rPr>
        <w:t>1.1</w:t>
      </w:r>
      <w:r w:rsidRPr="00096D28">
        <w:rPr>
          <w:rFonts w:eastAsia="Times New Roman"/>
          <w:lang w:val="es-ES_tradnl"/>
        </w:rPr>
        <w:tab/>
        <w:t>El despliegue de diversas fuentes de campos electromagnéticos (CEM) de radiofrecuencia (RF) destinadas a satisfacer las necesidades en materia de telecomunicaciones y tecnologías de la información y la comunicación (TIC) de las comunidades rurales y urbanas se ha acelerado durante los últimos años. La competencia, el crecimiento del tráfico, las exigencias de calidad de servicio, la cobertura de las redes y la introducción de nuevas tecnologías son el resultado de este aumento de la demanda de comunicaciones. Dicho fenómeno ha suscitado cierta inquietud entre los ciudadanos ante los posibles peligros que la exposición prolongada a las señales radioeléctricas emitidas por las instalaciones de comunicaciones pueda acarrear para la salud de las personas.</w:t>
      </w:r>
    </w:p>
    <w:p w:rsidR="00181C1A" w:rsidRPr="00096D28" w:rsidRDefault="00181C1A" w:rsidP="00096D28">
      <w:pPr>
        <w:ind w:hanging="11"/>
        <w:rPr>
          <w:rFonts w:eastAsia="Times New Roman"/>
          <w:lang w:val="es-ES_tradnl"/>
        </w:rPr>
      </w:pPr>
      <w:r w:rsidRPr="00096D28">
        <w:rPr>
          <w:rFonts w:eastAsia="Times New Roman"/>
          <w:lang w:val="es-ES_tradnl"/>
        </w:rPr>
        <w:t>1.2</w:t>
      </w:r>
      <w:r w:rsidRPr="00096D28">
        <w:rPr>
          <w:rFonts w:eastAsia="Times New Roman"/>
          <w:lang w:val="es-ES_tradnl"/>
        </w:rPr>
        <w:tab/>
        <w:t>La base de datos estadísticos de la Unión Internacional de Telecomunicaciones (UIT) correspondiente a 2011 indica la existencia de cerca de 6 000 millones de abonos a la telefonía móvil. Los 5 900 millones de abonos celulares móviles suponen una tasa de penetración mundial del 87%, y del 79% en el mundo en desarrollo</w:t>
      </w:r>
      <w:r w:rsidRPr="00096D28">
        <w:rPr>
          <w:rFonts w:eastAsia="Times New Roman"/>
          <w:lang w:val="es-ES_tradnl"/>
        </w:rPr>
        <w:footnoteReference w:id="2"/>
      </w:r>
      <w:r w:rsidRPr="00096D28">
        <w:rPr>
          <w:rFonts w:eastAsia="Times New Roman"/>
          <w:lang w:val="es-ES_tradnl"/>
        </w:rPr>
        <w:t>. Con el crecimiento de los sistemas móviles, se prevé un incremento del número de usuarios de teléfonos móviles a nivel mundial, lo que entrañará un aumento de las estaciones de base.</w:t>
      </w:r>
    </w:p>
    <w:p w:rsidR="00181C1A" w:rsidRPr="00D15FE4" w:rsidRDefault="00181C1A" w:rsidP="0028348F">
      <w:pPr>
        <w:ind w:hanging="11"/>
        <w:rPr>
          <w:rFonts w:cs="Arial"/>
          <w:b/>
          <w:szCs w:val="19"/>
          <w:lang w:val="es-ES_tradnl"/>
        </w:rPr>
      </w:pPr>
      <w:r w:rsidRPr="003D0645">
        <w:rPr>
          <w:rFonts w:cs="Arial"/>
          <w:bCs/>
          <w:szCs w:val="19"/>
          <w:lang w:val="es-ES_tradnl"/>
        </w:rPr>
        <w:t>1.3</w:t>
      </w:r>
      <w:r w:rsidRPr="00D15FE4">
        <w:rPr>
          <w:rFonts w:cs="Arial"/>
          <w:szCs w:val="19"/>
          <w:lang w:val="es-ES_tradnl"/>
        </w:rPr>
        <w:tab/>
        <w:t>La inquietud de la sociedad sobre l</w:t>
      </w:r>
      <w:r>
        <w:rPr>
          <w:rFonts w:cs="Arial"/>
          <w:szCs w:val="19"/>
          <w:lang w:val="es-ES_tradnl"/>
        </w:rPr>
        <w:t>o</w:t>
      </w:r>
      <w:r w:rsidRPr="00D15FE4">
        <w:rPr>
          <w:rFonts w:cs="Arial"/>
          <w:szCs w:val="19"/>
          <w:lang w:val="es-ES_tradnl"/>
        </w:rPr>
        <w:t xml:space="preserve">s posibles efectos perjudiciales de la exposición a las señales radioeléctricas procedentes de las instalaciones de telecomunicación se ve agravada por el hecho de que el montaje de estos equipos no siempre vaya precedido de consultas. </w:t>
      </w:r>
      <w:r w:rsidRPr="00D15FE4">
        <w:rPr>
          <w:rFonts w:eastAsia="Times New Roman"/>
          <w:lang w:val="es-ES_tradnl"/>
        </w:rPr>
        <w:t>El hecho de que las pruebas de posibles efectos nocivos de la exposición a las RF sean inclusivas conduce a muchas conclusiones, tales como que podrían poner en peligro la salud, y esa impresión se considera grave en la mayoría de los países del mundo. Este Informe se ve reforzado por el</w:t>
      </w:r>
      <w:r>
        <w:rPr>
          <w:rFonts w:eastAsia="Times New Roman"/>
          <w:lang w:val="es-ES_tradnl"/>
        </w:rPr>
        <w:t xml:space="preserve"> </w:t>
      </w:r>
      <w:r w:rsidRPr="00D15FE4">
        <w:rPr>
          <w:rFonts w:eastAsia="Times New Roman"/>
          <w:lang w:val="es-ES_tradnl"/>
        </w:rPr>
        <w:t>estudio de los métodos utilizados por algunos países a fin de frenar esa impresión negativa sobre la exposición a las RF.</w:t>
      </w:r>
    </w:p>
    <w:p w:rsidR="00181C1A" w:rsidRPr="00D15FE4" w:rsidRDefault="00181C1A" w:rsidP="0028348F">
      <w:pPr>
        <w:ind w:hanging="11"/>
        <w:rPr>
          <w:rFonts w:cs="Arial"/>
          <w:szCs w:val="19"/>
          <w:lang w:val="es-ES_tradnl"/>
        </w:rPr>
      </w:pPr>
      <w:r w:rsidRPr="003D0645">
        <w:rPr>
          <w:rFonts w:cs="Arial"/>
          <w:bCs/>
          <w:szCs w:val="19"/>
          <w:lang w:val="es-ES_tradnl"/>
        </w:rPr>
        <w:t>1.4</w:t>
      </w:r>
      <w:r w:rsidRPr="00D15FE4">
        <w:rPr>
          <w:rFonts w:cs="Arial"/>
          <w:szCs w:val="19"/>
          <w:lang w:val="es-ES_tradnl"/>
        </w:rPr>
        <w:tab/>
        <w:t>Existe un tráfico de teléfonos celulares de unos países a otros cuyo control y seguimiento son ciertamente complejos. Asimismo, se ha despertado cierta preocupación relativa a la dificultad que se presenta a la hora de verificar el respeto y la conformidad de l</w:t>
      </w:r>
      <w:r w:rsidRPr="00D15FE4">
        <w:rPr>
          <w:rFonts w:eastAsia="Times New Roman"/>
          <w:lang w:val="es-ES_tradnl"/>
        </w:rPr>
        <w:t>a tasa de absorción específica</w:t>
      </w:r>
      <w:r w:rsidRPr="00D15FE4">
        <w:rPr>
          <w:rFonts w:cs="Arial"/>
          <w:szCs w:val="19"/>
          <w:lang w:val="es-ES_tradnl"/>
        </w:rPr>
        <w:t xml:space="preserve"> (SAR) de los teléfonos celulares, puesto que los dispositivos diseñados a tal fin pueden ser difíciles de adquirir. Las emisiones de las estaciones de base han de ser supervisadas, lo cual también requiere herramientas de seguimiento y expertos capaces de utilizar tales dispositivos.</w:t>
      </w:r>
    </w:p>
    <w:p w:rsidR="00181C1A" w:rsidRPr="00D15FE4" w:rsidRDefault="00181C1A" w:rsidP="0028348F">
      <w:pPr>
        <w:ind w:hanging="11"/>
        <w:rPr>
          <w:rFonts w:cs="Arial"/>
          <w:szCs w:val="19"/>
          <w:lang w:val="es-ES_tradnl"/>
        </w:rPr>
      </w:pPr>
      <w:r w:rsidRPr="003D0645">
        <w:rPr>
          <w:rFonts w:cs="Arial"/>
          <w:bCs/>
          <w:szCs w:val="19"/>
          <w:lang w:val="es-ES_tradnl"/>
        </w:rPr>
        <w:t>1.5</w:t>
      </w:r>
      <w:r w:rsidRPr="00D15FE4">
        <w:rPr>
          <w:rFonts w:cs="Arial"/>
          <w:szCs w:val="19"/>
          <w:lang w:val="es-ES_tradnl"/>
        </w:rPr>
        <w:tab/>
        <w:t>Con objeto de ganarse la confianza de las personas (consumidores), lo cual resulta indispensable dada la necesidad de seguir desarrollando las radiocomunicaciones, la Comisión de Estudio 5 (CE 5) del Sector de Normalización de la UIT (UIT</w:t>
      </w:r>
      <w:r w:rsidRPr="00D15FE4">
        <w:rPr>
          <w:rFonts w:cs="Arial"/>
          <w:szCs w:val="19"/>
          <w:lang w:val="es-ES_tradnl"/>
        </w:rPr>
        <w:noBreakHyphen/>
        <w:t>T) y el Grupo de Trabajo 1C (GT 1C) de la Comisión de Estudio 1 (CE 1) del Sector de Radiocomunicaciones de la UIT (UIT-R) han llevado a cabo estudios de mediciones de radiaciones no ionizantes para proporcionar en particular información sobre los equipos/instrumentos y procedimientos utilizados en las mediciones.</w:t>
      </w:r>
    </w:p>
    <w:p w:rsidR="00181C1A" w:rsidRPr="00D15FE4" w:rsidRDefault="00181C1A" w:rsidP="0028348F">
      <w:pPr>
        <w:rPr>
          <w:rFonts w:cs="Arial"/>
          <w:szCs w:val="19"/>
          <w:lang w:val="es-ES_tradnl"/>
        </w:rPr>
      </w:pPr>
      <w:r w:rsidRPr="003D0645">
        <w:rPr>
          <w:rFonts w:cs="Arial"/>
          <w:bCs/>
          <w:szCs w:val="19"/>
          <w:lang w:val="es-ES_tradnl"/>
        </w:rPr>
        <w:t>1.6</w:t>
      </w:r>
      <w:r w:rsidRPr="00D15FE4">
        <w:rPr>
          <w:rFonts w:cs="Arial"/>
          <w:szCs w:val="19"/>
          <w:lang w:val="es-ES_tradnl"/>
        </w:rPr>
        <w:tab/>
        <w:t>La Cuestión 23/1 (C23/1) de la Comisión de Estudio 1 (CE 1) del Sector de Desarrollo de la UIT (UIT</w:t>
      </w:r>
      <w:r w:rsidRPr="00D15FE4">
        <w:rPr>
          <w:rFonts w:cs="Arial"/>
          <w:szCs w:val="19"/>
          <w:lang w:val="es-ES_tradnl"/>
        </w:rPr>
        <w:noBreakHyphen/>
        <w:t xml:space="preserve">D) realiza estudios </w:t>
      </w:r>
      <w:r w:rsidRPr="00D15FE4">
        <w:rPr>
          <w:rStyle w:val="hps"/>
          <w:rFonts w:eastAsia="Times New Roman"/>
          <w:lang w:val="es-ES_tradnl"/>
        </w:rPr>
        <w:t>sobre los diferentes</w:t>
      </w:r>
      <w:r w:rsidRPr="00D15FE4">
        <w:rPr>
          <w:rFonts w:eastAsia="Times New Roman"/>
          <w:lang w:val="es-ES_tradnl"/>
        </w:rPr>
        <w:t xml:space="preserve"> </w:t>
      </w:r>
      <w:r w:rsidRPr="00D15FE4">
        <w:rPr>
          <w:rStyle w:val="hps"/>
          <w:rFonts w:eastAsia="Times New Roman"/>
          <w:lang w:val="es-ES_tradnl"/>
        </w:rPr>
        <w:t>mecanismos de regulación</w:t>
      </w:r>
      <w:r w:rsidRPr="00D15FE4">
        <w:rPr>
          <w:rFonts w:eastAsia="Times New Roman"/>
          <w:lang w:val="es-ES_tradnl"/>
        </w:rPr>
        <w:t xml:space="preserve"> </w:t>
      </w:r>
      <w:r w:rsidRPr="00D15FE4">
        <w:rPr>
          <w:rStyle w:val="hps"/>
          <w:rFonts w:eastAsia="Times New Roman"/>
          <w:lang w:val="es-ES_tradnl"/>
        </w:rPr>
        <w:t>y comunicación</w:t>
      </w:r>
      <w:r w:rsidRPr="00D15FE4">
        <w:rPr>
          <w:rFonts w:eastAsia="Times New Roman"/>
          <w:lang w:val="es-ES_tradnl"/>
        </w:rPr>
        <w:t xml:space="preserve"> </w:t>
      </w:r>
      <w:r w:rsidRPr="00D15FE4">
        <w:rPr>
          <w:rStyle w:val="hps"/>
          <w:rFonts w:eastAsia="Times New Roman"/>
          <w:lang w:val="es-ES_tradnl"/>
        </w:rPr>
        <w:t>desarrollados</w:t>
      </w:r>
      <w:r w:rsidRPr="00D15FE4">
        <w:rPr>
          <w:rFonts w:eastAsia="Times New Roman"/>
          <w:lang w:val="es-ES_tradnl"/>
        </w:rPr>
        <w:t xml:space="preserve"> </w:t>
      </w:r>
      <w:r w:rsidRPr="00D15FE4">
        <w:rPr>
          <w:rStyle w:val="hps"/>
          <w:rFonts w:eastAsia="Times New Roman"/>
          <w:lang w:val="es-ES_tradnl"/>
        </w:rPr>
        <w:t>por distintos países</w:t>
      </w:r>
      <w:r w:rsidRPr="00D15FE4">
        <w:rPr>
          <w:rFonts w:cs="Arial"/>
          <w:szCs w:val="19"/>
          <w:lang w:val="es-ES_tradnl"/>
        </w:rPr>
        <w:t xml:space="preserve"> con objeto de </w:t>
      </w:r>
      <w:r w:rsidRPr="00D15FE4">
        <w:rPr>
          <w:szCs w:val="19"/>
          <w:lang w:val="es-ES_tradnl"/>
        </w:rPr>
        <w:t>sensibilizar a la población e informar a la misma</w:t>
      </w:r>
      <w:r w:rsidRPr="00D15FE4">
        <w:rPr>
          <w:rFonts w:cs="Arial"/>
          <w:szCs w:val="19"/>
          <w:lang w:val="es-ES_tradnl"/>
        </w:rPr>
        <w:t>, así como de facilitar el despliegue y la explotación de los sistemas de radiocomunicación.</w:t>
      </w:r>
    </w:p>
    <w:p w:rsidR="00181C1A" w:rsidRPr="00D15FE4" w:rsidRDefault="00181C1A" w:rsidP="0028348F">
      <w:pPr>
        <w:rPr>
          <w:szCs w:val="19"/>
          <w:lang w:val="es-ES_tradnl"/>
        </w:rPr>
      </w:pPr>
      <w:r w:rsidRPr="003D0645">
        <w:rPr>
          <w:bCs/>
          <w:szCs w:val="19"/>
          <w:lang w:val="es-ES_tradnl"/>
        </w:rPr>
        <w:lastRenderedPageBreak/>
        <w:t>1.7</w:t>
      </w:r>
      <w:r w:rsidRPr="00D15FE4">
        <w:rPr>
          <w:szCs w:val="19"/>
          <w:lang w:val="es-ES_tradnl"/>
        </w:rPr>
        <w:tab/>
        <w:t>La Cuestión 23/1 sobre “</w:t>
      </w:r>
      <w:r w:rsidRPr="00D15FE4">
        <w:rPr>
          <w:rFonts w:eastAsia="Times New Roman"/>
          <w:lang w:val="es-ES_tradnl"/>
        </w:rPr>
        <w:t>estrategias y políticas relativas a la exposición de las personas a los campos electromagnéticos” recopila y analiza las políticas de reglamentación que han sido adoptadas o están siendo estudiadas por diferentes países con el objetivo de autorizar la instalación de equipos de radiocomunicaciones. Este proyecto nace de la percepción de que existe un riesgo derivado de la exposición prolongada a las emisiones de los equipos de radiocomunicaciones.</w:t>
      </w:r>
    </w:p>
    <w:p w:rsidR="00181C1A" w:rsidRPr="00D15FE4" w:rsidRDefault="00181C1A" w:rsidP="0028348F">
      <w:pPr>
        <w:rPr>
          <w:szCs w:val="19"/>
          <w:lang w:val="es-ES_tradnl"/>
        </w:rPr>
      </w:pPr>
      <w:r w:rsidRPr="003D0645">
        <w:rPr>
          <w:bCs/>
          <w:szCs w:val="19"/>
          <w:lang w:val="es-ES_tradnl"/>
        </w:rPr>
        <w:t>1.8</w:t>
      </w:r>
      <w:r w:rsidRPr="00D15FE4">
        <w:rPr>
          <w:szCs w:val="19"/>
          <w:lang w:val="es-ES_tradnl"/>
        </w:rPr>
        <w:tab/>
        <w:t>Dado que los estudios actuales no muestran de forma concluyente que la exposición de las personas a los CEM provoque perjuicio alguno, es importante transmitir este mensaje a los consumidores en aras de frenar su reticencia y permitir el despliegue progresivo de los equipos de radiocomunicaciones. Se ha comprobado que en algunos países los operadores públicos de telecomunicaciones han rechazado las aplicaciones terrenales (a efectos de instalación de la red). En ciertos casos, las personas que enfermaron culparon a los proveedores de servicios de comunicación y alegaron que la exposición a radiofrecuencias procedentes de sus equipos eran las causantes de sus enfermedades.</w:t>
      </w:r>
    </w:p>
    <w:p w:rsidR="00181C1A" w:rsidRPr="00D15FE4" w:rsidRDefault="00181C1A" w:rsidP="0028348F">
      <w:pPr>
        <w:rPr>
          <w:szCs w:val="19"/>
          <w:lang w:val="es-ES_tradnl"/>
        </w:rPr>
      </w:pPr>
      <w:r w:rsidRPr="008F5E41">
        <w:rPr>
          <w:bCs/>
          <w:szCs w:val="19"/>
          <w:lang w:val="es-ES_tradnl"/>
        </w:rPr>
        <w:t>1.9</w:t>
      </w:r>
      <w:r w:rsidRPr="00D15FE4">
        <w:rPr>
          <w:szCs w:val="19"/>
          <w:lang w:val="es-ES_tradnl"/>
        </w:rPr>
        <w:tab/>
        <w:t>Por tanto, era imperativo que la UIT adoptara una postura a fin de proporcionar directrices a los Estados Miembros para evitar el rechazo del despliegue de las redes de comunicación y, al mismo tiempo, tomara medidas de precaución con objeto de evitar cualquier daño causado por la exposición prolongada a radiofrecuencias.</w:t>
      </w:r>
    </w:p>
    <w:p w:rsidR="00181C1A" w:rsidRPr="00D15FE4" w:rsidRDefault="00181C1A" w:rsidP="0028348F">
      <w:pPr>
        <w:rPr>
          <w:rFonts w:cs="Arial"/>
          <w:szCs w:val="19"/>
          <w:lang w:val="es-ES_tradnl"/>
        </w:rPr>
      </w:pPr>
      <w:r w:rsidRPr="008F5E41">
        <w:rPr>
          <w:rFonts w:cs="Arial"/>
          <w:bCs/>
          <w:szCs w:val="19"/>
          <w:lang w:val="es-ES_tradnl"/>
        </w:rPr>
        <w:t>1.10</w:t>
      </w:r>
      <w:r w:rsidRPr="00D15FE4">
        <w:rPr>
          <w:rFonts w:cs="Arial"/>
          <w:szCs w:val="19"/>
          <w:lang w:val="es-ES_tradnl"/>
        </w:rPr>
        <w:tab/>
      </w:r>
      <w:r w:rsidRPr="00D15FE4">
        <w:rPr>
          <w:szCs w:val="19"/>
          <w:lang w:val="es-ES_tradnl"/>
        </w:rPr>
        <w:t>La Asamblea Mundial de Normalización de las Telecomunicaciones, celebrada en Dub</w:t>
      </w:r>
      <w:r>
        <w:rPr>
          <w:szCs w:val="19"/>
          <w:lang w:val="es-ES_tradnl"/>
        </w:rPr>
        <w:t>a</w:t>
      </w:r>
      <w:r w:rsidRPr="00D15FE4">
        <w:rPr>
          <w:szCs w:val="19"/>
          <w:lang w:val="es-ES_tradnl"/>
        </w:rPr>
        <w:t>i en 2012 (AMNT-12), adoptó la siguiente Resolución</w:t>
      </w:r>
      <w:r w:rsidRPr="00D15FE4">
        <w:rPr>
          <w:rFonts w:cs="Arial"/>
          <w:szCs w:val="19"/>
          <w:lang w:val="es-ES_tradnl"/>
        </w:rPr>
        <w:t>:</w:t>
      </w:r>
    </w:p>
    <w:p w:rsidR="00181C1A" w:rsidRPr="008F5E41" w:rsidRDefault="008F5E41" w:rsidP="008F5E41">
      <w:pPr>
        <w:pStyle w:val="Enumlevel1"/>
        <w:rPr>
          <w:lang w:val="es-ES_tradnl"/>
        </w:rPr>
      </w:pPr>
      <w:r w:rsidRPr="008F5E41">
        <w:rPr>
          <w:lang w:val="es-ES_tradnl"/>
        </w:rPr>
        <w:t>–</w:t>
      </w:r>
      <w:r w:rsidRPr="008F5E41">
        <w:rPr>
          <w:lang w:val="es-ES_tradnl"/>
        </w:rPr>
        <w:tab/>
      </w:r>
      <w:r w:rsidR="00181C1A" w:rsidRPr="008F5E41">
        <w:rPr>
          <w:lang w:val="es-ES_tradnl"/>
        </w:rPr>
        <w:t>Resolución 72 sobre “Problemas de medición relativos a la exposición de las personas a los campos electromagnéticos”.</w:t>
      </w:r>
    </w:p>
    <w:p w:rsidR="00181C1A" w:rsidRPr="00D15FE4" w:rsidRDefault="00181C1A" w:rsidP="0028348F">
      <w:pPr>
        <w:rPr>
          <w:rFonts w:cs="Arial"/>
          <w:szCs w:val="19"/>
          <w:lang w:val="es-ES_tradnl"/>
        </w:rPr>
      </w:pPr>
      <w:r w:rsidRPr="008F5E41">
        <w:rPr>
          <w:rFonts w:cs="Arial"/>
          <w:bCs/>
          <w:szCs w:val="19"/>
          <w:lang w:val="es-ES_tradnl"/>
        </w:rPr>
        <w:t>1.11</w:t>
      </w:r>
      <w:r w:rsidRPr="00D15FE4">
        <w:rPr>
          <w:rFonts w:cs="Arial"/>
          <w:szCs w:val="19"/>
          <w:lang w:val="es-ES_tradnl"/>
        </w:rPr>
        <w:tab/>
        <w:t>Asimismo, la quinta Conferencia Mundial de Desarrollo de las Telecomunicaciones, que tuvo lugar en Hyderabad (India) en 2010 (CMDT-10), aprobó lo siguiente:</w:t>
      </w:r>
    </w:p>
    <w:p w:rsidR="00181C1A" w:rsidRPr="008F5E41" w:rsidRDefault="00181C1A" w:rsidP="00FD027D">
      <w:pPr>
        <w:pStyle w:val="Enumlevel1"/>
        <w:numPr>
          <w:ilvl w:val="0"/>
          <w:numId w:val="13"/>
        </w:numPr>
        <w:ind w:left="567" w:hanging="567"/>
        <w:rPr>
          <w:lang w:val="es-ES_tradnl"/>
        </w:rPr>
      </w:pPr>
      <w:r w:rsidRPr="008F5E41">
        <w:rPr>
          <w:lang w:val="es-ES_tradnl"/>
        </w:rPr>
        <w:t>Resolución 62 sobre "Problemas de medición relativos a la exposición de las personas a los campos electromagnéticos"; y</w:t>
      </w:r>
    </w:p>
    <w:p w:rsidR="00181C1A" w:rsidRPr="008F5E41" w:rsidRDefault="00181C1A" w:rsidP="00FD027D">
      <w:pPr>
        <w:pStyle w:val="Enumlevel1"/>
        <w:numPr>
          <w:ilvl w:val="0"/>
          <w:numId w:val="13"/>
        </w:numPr>
        <w:ind w:left="567" w:hanging="567"/>
        <w:rPr>
          <w:lang w:val="es-ES_tradnl"/>
        </w:rPr>
      </w:pPr>
      <w:r w:rsidRPr="008F5E41">
        <w:rPr>
          <w:lang w:val="es-ES_tradnl"/>
        </w:rPr>
        <w:t xml:space="preserve">Cuestión 23/1 de la Comisión de Estudio 1 del UIT-D sobre "Estrategias y políticas relativas a la exposición de las personas a los campos electromagnéticos". </w:t>
      </w:r>
    </w:p>
    <w:p w:rsidR="00181C1A" w:rsidRPr="00D15FE4" w:rsidRDefault="00181C1A" w:rsidP="0028348F">
      <w:pPr>
        <w:rPr>
          <w:szCs w:val="19"/>
          <w:lang w:val="es-ES_tradnl"/>
        </w:rPr>
      </w:pPr>
      <w:r w:rsidRPr="008F5E41">
        <w:rPr>
          <w:bCs/>
          <w:szCs w:val="19"/>
          <w:lang w:val="es-ES_tradnl"/>
        </w:rPr>
        <w:t>1.12</w:t>
      </w:r>
      <w:r w:rsidRPr="00D15FE4">
        <w:rPr>
          <w:szCs w:val="19"/>
          <w:lang w:val="es-ES_tradnl"/>
        </w:rPr>
        <w:tab/>
      </w:r>
      <w:r>
        <w:rPr>
          <w:szCs w:val="19"/>
          <w:lang w:val="es-ES_tradnl"/>
        </w:rPr>
        <w:t xml:space="preserve"> </w:t>
      </w:r>
      <w:r w:rsidRPr="00D15FE4">
        <w:rPr>
          <w:szCs w:val="19"/>
          <w:lang w:val="es-ES_tradnl"/>
        </w:rPr>
        <w:t>La Conferencia de Plenipotenciarios (PP-10), celebrada en Guadalajara (México), adoptó la nueva Resolución 176 sobre "Exposición de las personas a los campos electromagnéticos y medición de los mismos", y animó a los Estados Miembros de las diversas regiones del mundo a cooperar intercambiando conocimientos técnicos especializados y ayudando en ciertos aspectos de la realización de mediciones y de la formación.</w:t>
      </w:r>
    </w:p>
    <w:p w:rsidR="00181C1A" w:rsidRPr="00D15FE4" w:rsidRDefault="00181C1A" w:rsidP="0028348F">
      <w:pPr>
        <w:rPr>
          <w:rFonts w:cs="Arial"/>
          <w:szCs w:val="19"/>
          <w:lang w:val="es-ES_tradnl"/>
        </w:rPr>
      </w:pPr>
      <w:r w:rsidRPr="008F5E41">
        <w:rPr>
          <w:rFonts w:cs="Arial"/>
          <w:bCs/>
          <w:szCs w:val="19"/>
          <w:lang w:val="es-ES_tradnl"/>
        </w:rPr>
        <w:t>1.13</w:t>
      </w:r>
      <w:r w:rsidRPr="008F5E41">
        <w:rPr>
          <w:rFonts w:cs="Arial"/>
          <w:bCs/>
          <w:szCs w:val="19"/>
          <w:lang w:val="es-ES_tradnl"/>
        </w:rPr>
        <w:tab/>
      </w:r>
      <w:r>
        <w:rPr>
          <w:rFonts w:cs="Arial"/>
          <w:b/>
          <w:szCs w:val="19"/>
          <w:lang w:val="es-ES_tradnl"/>
        </w:rPr>
        <w:t xml:space="preserve"> </w:t>
      </w:r>
      <w:r w:rsidRPr="00D15FE4">
        <w:rPr>
          <w:rFonts w:cs="Arial"/>
          <w:szCs w:val="19"/>
          <w:lang w:val="es-ES_tradnl"/>
        </w:rPr>
        <w:t>En la Resolución 176 de la PP-10 se encarga al Director de la Oficina de Desarrollo de las Telecomunicaciones (BDT) que, en colaboración con los Directores de la Oficina de Radiocomunicaciones (BR) y de la Oficina de Normalización de las Telecomunicaciones (TSB):</w:t>
      </w:r>
    </w:p>
    <w:p w:rsidR="00181C1A" w:rsidRPr="008F5E41" w:rsidRDefault="00181C1A" w:rsidP="00FD027D">
      <w:pPr>
        <w:pStyle w:val="Enumlevel1"/>
        <w:numPr>
          <w:ilvl w:val="0"/>
          <w:numId w:val="13"/>
        </w:numPr>
        <w:ind w:left="567" w:hanging="567"/>
        <w:rPr>
          <w:lang w:val="es-ES_tradnl"/>
        </w:rPr>
      </w:pPr>
      <w:r w:rsidRPr="008F5E41">
        <w:rPr>
          <w:lang w:val="es-ES_tradnl"/>
        </w:rPr>
        <w:t>anime a los Estados Miembros a cooperar en el intercambio de experiencias y recursos; y</w:t>
      </w:r>
    </w:p>
    <w:p w:rsidR="00181C1A" w:rsidRPr="008F5E41" w:rsidRDefault="00181C1A" w:rsidP="00FD027D">
      <w:pPr>
        <w:pStyle w:val="Enumlevel1"/>
        <w:numPr>
          <w:ilvl w:val="0"/>
          <w:numId w:val="13"/>
        </w:numPr>
        <w:ind w:left="567" w:hanging="567"/>
        <w:rPr>
          <w:lang w:val="es-ES_tradnl"/>
        </w:rPr>
      </w:pPr>
      <w:r w:rsidRPr="008F5E41">
        <w:rPr>
          <w:lang w:val="es-ES_tradnl"/>
        </w:rPr>
        <w:t>organice seminarios y talleres de ámbito regional.</w:t>
      </w:r>
    </w:p>
    <w:p w:rsidR="00181C1A" w:rsidRPr="00574A00" w:rsidRDefault="009E7CB7" w:rsidP="009E7CB7">
      <w:pPr>
        <w:pStyle w:val="Heading1"/>
        <w:rPr>
          <w:lang w:val="es-ES_tradnl"/>
        </w:rPr>
      </w:pPr>
      <w:bookmarkStart w:id="11" w:name="_Toc370824996"/>
      <w:bookmarkStart w:id="12" w:name="_Toc377560449"/>
      <w:r w:rsidRPr="00574A00">
        <w:rPr>
          <w:lang w:val="es-ES_tradnl"/>
        </w:rPr>
        <w:t>2</w:t>
      </w:r>
      <w:r w:rsidR="00181C1A" w:rsidRPr="00574A00">
        <w:rPr>
          <w:lang w:val="es-ES_tradnl"/>
        </w:rPr>
        <w:tab/>
        <w:t>Alcance y objetivos del presente Informe</w:t>
      </w:r>
      <w:bookmarkEnd w:id="11"/>
      <w:bookmarkEnd w:id="12"/>
    </w:p>
    <w:p w:rsidR="00181C1A" w:rsidRPr="00D15FE4" w:rsidRDefault="00181C1A" w:rsidP="0028348F">
      <w:pPr>
        <w:keepNext/>
        <w:keepLines/>
        <w:rPr>
          <w:rFonts w:cs="Arial"/>
          <w:szCs w:val="19"/>
          <w:lang w:val="es-ES_tradnl"/>
        </w:rPr>
      </w:pPr>
      <w:r w:rsidRPr="00D15FE4">
        <w:rPr>
          <w:rFonts w:cs="Arial"/>
          <w:szCs w:val="19"/>
          <w:lang w:val="es-ES_tradnl"/>
        </w:rPr>
        <w:t>Se prevé que el presente Informe contemple lo siguiente:</w:t>
      </w:r>
    </w:p>
    <w:p w:rsidR="00181C1A" w:rsidRPr="00D15FE4" w:rsidRDefault="00181C1A" w:rsidP="0028348F">
      <w:pPr>
        <w:rPr>
          <w:szCs w:val="19"/>
          <w:lang w:val="es-ES_tradnl"/>
        </w:rPr>
      </w:pPr>
      <w:r w:rsidRPr="001D348F">
        <w:rPr>
          <w:bCs/>
          <w:szCs w:val="19"/>
          <w:lang w:val="es-ES_tradnl"/>
        </w:rPr>
        <w:t>2.1</w:t>
      </w:r>
      <w:r w:rsidRPr="00D15FE4">
        <w:rPr>
          <w:szCs w:val="19"/>
          <w:lang w:val="es-ES_tradnl"/>
        </w:rPr>
        <w:tab/>
        <w:t>La recopilación de políticas de reglamentación de la exposición de las personas a los campos electromagnéticos de RF que deban considerarse o estén vigentes, para autorizar la instalación de emplazamientos de radiocomunicación</w:t>
      </w:r>
      <w:r>
        <w:rPr>
          <w:szCs w:val="19"/>
          <w:lang w:val="es-ES_tradnl"/>
        </w:rPr>
        <w:t>.</w:t>
      </w:r>
    </w:p>
    <w:p w:rsidR="00181C1A" w:rsidRPr="00D15FE4" w:rsidRDefault="00181C1A" w:rsidP="0028348F">
      <w:pPr>
        <w:rPr>
          <w:szCs w:val="19"/>
          <w:lang w:val="es-ES_tradnl"/>
        </w:rPr>
      </w:pPr>
      <w:r w:rsidRPr="001D348F">
        <w:rPr>
          <w:bCs/>
          <w:szCs w:val="19"/>
          <w:lang w:val="es-ES_tradnl"/>
        </w:rPr>
        <w:t>2.2</w:t>
      </w:r>
      <w:r w:rsidRPr="00D15FE4">
        <w:rPr>
          <w:szCs w:val="19"/>
          <w:lang w:val="es-ES_tradnl"/>
        </w:rPr>
        <w:tab/>
        <w:t>La descripción de las estrategias y métodos destinados a sensibilizar a la población e informar a la misma de los efectos de los campos electromagnéticos de RF generados por los sistemas de radiocomunicación que se hayan detectado</w:t>
      </w:r>
      <w:r>
        <w:rPr>
          <w:szCs w:val="19"/>
          <w:lang w:val="es-ES_tradnl"/>
        </w:rPr>
        <w:t>.</w:t>
      </w:r>
    </w:p>
    <w:p w:rsidR="00181C1A" w:rsidRPr="00D15FE4" w:rsidRDefault="00181C1A" w:rsidP="0028348F">
      <w:pPr>
        <w:rPr>
          <w:szCs w:val="19"/>
          <w:lang w:val="es-ES_tradnl"/>
        </w:rPr>
      </w:pPr>
      <w:r w:rsidRPr="001D348F">
        <w:rPr>
          <w:bCs/>
          <w:szCs w:val="19"/>
          <w:lang w:val="es-ES_tradnl"/>
        </w:rPr>
        <w:lastRenderedPageBreak/>
        <w:t>2.3</w:t>
      </w:r>
      <w:r w:rsidRPr="00D15FE4">
        <w:rPr>
          <w:szCs w:val="19"/>
          <w:lang w:val="es-ES_tradnl"/>
        </w:rPr>
        <w:tab/>
        <w:t xml:space="preserve">La aportación de directrices sobre posibles métodos para sensibilizar a la población, junto con </w:t>
      </w:r>
      <w:r w:rsidRPr="00D15FE4">
        <w:rPr>
          <w:rFonts w:eastAsia="Times New Roman"/>
          <w:lang w:val="es-ES_tradnl"/>
        </w:rPr>
        <w:t>prácticas idóneas basadas</w:t>
      </w:r>
      <w:r w:rsidRPr="00D15FE4">
        <w:rPr>
          <w:szCs w:val="19"/>
          <w:lang w:val="es-ES_tradnl"/>
        </w:rPr>
        <w:t xml:space="preserve"> en la experiencia de los países en este ámbito.</w:t>
      </w:r>
    </w:p>
    <w:p w:rsidR="00181C1A" w:rsidRPr="00D15FE4" w:rsidRDefault="00181C1A" w:rsidP="0028348F">
      <w:pPr>
        <w:rPr>
          <w:rFonts w:cs="Arial"/>
          <w:szCs w:val="19"/>
          <w:lang w:val="es-ES_tradnl"/>
        </w:rPr>
      </w:pPr>
      <w:r w:rsidRPr="001D348F">
        <w:rPr>
          <w:rFonts w:cs="Arial"/>
          <w:bCs/>
          <w:szCs w:val="19"/>
          <w:lang w:val="es-ES_tradnl"/>
        </w:rPr>
        <w:t>2.4</w:t>
      </w:r>
      <w:r w:rsidRPr="00D15FE4">
        <w:rPr>
          <w:rFonts w:cs="Arial"/>
          <w:szCs w:val="19"/>
          <w:lang w:val="es-ES_tradnl"/>
        </w:rPr>
        <w:tab/>
        <w:t>Este Informe tiene por objeto orientar a los Estados Miembros en su esfuerzo por lograr la conformidad con las normas de exposición a la RF y responder a las percepciones sobre la expo</w:t>
      </w:r>
      <w:r w:rsidR="001D348F">
        <w:rPr>
          <w:rFonts w:cs="Arial"/>
          <w:szCs w:val="19"/>
          <w:lang w:val="es-ES_tradnl"/>
        </w:rPr>
        <w:t>sición de las personas a la RF.</w:t>
      </w:r>
    </w:p>
    <w:p w:rsidR="00181C1A" w:rsidRPr="00D15FE4" w:rsidRDefault="00181C1A" w:rsidP="0028348F">
      <w:pPr>
        <w:rPr>
          <w:rFonts w:cs="Arial"/>
          <w:szCs w:val="19"/>
          <w:lang w:val="es-ES_tradnl"/>
        </w:rPr>
      </w:pPr>
      <w:r w:rsidRPr="001D348F">
        <w:rPr>
          <w:rFonts w:cs="Arial"/>
          <w:bCs/>
          <w:szCs w:val="19"/>
          <w:lang w:val="es-ES_tradnl"/>
        </w:rPr>
        <w:t>2.5</w:t>
      </w:r>
      <w:r w:rsidRPr="00D15FE4">
        <w:rPr>
          <w:rFonts w:cs="Arial"/>
          <w:szCs w:val="19"/>
          <w:lang w:val="es-ES_tradnl"/>
        </w:rPr>
        <w:tab/>
        <w:t>El presente Informe contiene:</w:t>
      </w:r>
    </w:p>
    <w:p w:rsidR="00181C1A" w:rsidRPr="001D348F" w:rsidRDefault="00181C1A" w:rsidP="00FD027D">
      <w:pPr>
        <w:pStyle w:val="Enumlevel1"/>
        <w:numPr>
          <w:ilvl w:val="0"/>
          <w:numId w:val="13"/>
        </w:numPr>
        <w:ind w:left="567" w:hanging="567"/>
        <w:rPr>
          <w:lang w:val="es-ES_tradnl"/>
        </w:rPr>
      </w:pPr>
      <w:r w:rsidRPr="001D348F">
        <w:rPr>
          <w:lang w:val="es-ES_tradnl"/>
        </w:rPr>
        <w:t>información sobre parámetros técnicos (por ejemplo, valores límite de exposición a la RF, distancia mínima y altura de las antenas sobre el tejado);</w:t>
      </w:r>
    </w:p>
    <w:p w:rsidR="00181C1A" w:rsidRPr="001D348F" w:rsidRDefault="00181C1A" w:rsidP="00FD027D">
      <w:pPr>
        <w:pStyle w:val="Enumlevel1"/>
        <w:numPr>
          <w:ilvl w:val="0"/>
          <w:numId w:val="13"/>
        </w:numPr>
        <w:ind w:left="567" w:hanging="567"/>
        <w:rPr>
          <w:lang w:val="es-ES_tradnl"/>
        </w:rPr>
      </w:pPr>
      <w:r w:rsidRPr="001D348F">
        <w:rPr>
          <w:lang w:val="es-ES_tradnl"/>
        </w:rPr>
        <w:t>evaluaciones técnicas para establecer la conformidad de las antenas transmisoras con los límites pertinentes de exposición a la RF;</w:t>
      </w:r>
    </w:p>
    <w:p w:rsidR="00181C1A" w:rsidRPr="001D348F" w:rsidRDefault="00181C1A" w:rsidP="00FD027D">
      <w:pPr>
        <w:pStyle w:val="Enumlevel1"/>
        <w:numPr>
          <w:ilvl w:val="0"/>
          <w:numId w:val="13"/>
        </w:numPr>
        <w:ind w:left="567" w:hanging="567"/>
        <w:rPr>
          <w:lang w:val="es-ES_tradnl"/>
        </w:rPr>
      </w:pPr>
      <w:r w:rsidRPr="001D348F">
        <w:rPr>
          <w:lang w:val="es-ES_tradnl"/>
        </w:rPr>
        <w:t>información detallada sobre cómo resolver el problema de la proximidad de los emplazamientos a las instalaciones comunitarias;</w:t>
      </w:r>
    </w:p>
    <w:p w:rsidR="00181C1A" w:rsidRPr="001D348F" w:rsidRDefault="00181C1A" w:rsidP="00FD027D">
      <w:pPr>
        <w:pStyle w:val="Enumlevel1"/>
        <w:numPr>
          <w:ilvl w:val="0"/>
          <w:numId w:val="13"/>
        </w:numPr>
        <w:ind w:left="567" w:hanging="567"/>
        <w:rPr>
          <w:lang w:val="es-ES_tradnl"/>
        </w:rPr>
      </w:pPr>
      <w:r w:rsidRPr="001D348F">
        <w:rPr>
          <w:lang w:val="es-ES_tradnl"/>
        </w:rPr>
        <w:t>comprobación técnica de la conformidad de las instalaciones con los límites de exposición a la RF; e</w:t>
      </w:r>
    </w:p>
    <w:p w:rsidR="00181C1A" w:rsidRPr="001D348F" w:rsidRDefault="00181C1A" w:rsidP="00FD027D">
      <w:pPr>
        <w:pStyle w:val="Enumlevel1"/>
        <w:numPr>
          <w:ilvl w:val="0"/>
          <w:numId w:val="13"/>
        </w:numPr>
        <w:ind w:left="567" w:hanging="567"/>
        <w:rPr>
          <w:lang w:val="es-ES_tradnl"/>
        </w:rPr>
      </w:pPr>
      <w:r w:rsidRPr="001D348F">
        <w:rPr>
          <w:lang w:val="es-ES_tradnl"/>
        </w:rPr>
        <w:t>instrucciones para la medición de los niveles de exposición a la RF.</w:t>
      </w:r>
    </w:p>
    <w:p w:rsidR="00181C1A" w:rsidRPr="00574A00" w:rsidRDefault="00D465FD" w:rsidP="00D465FD">
      <w:pPr>
        <w:pStyle w:val="Heading1"/>
        <w:rPr>
          <w:lang w:val="es-ES_tradnl"/>
        </w:rPr>
      </w:pPr>
      <w:bookmarkStart w:id="13" w:name="_Toc370824997"/>
      <w:bookmarkStart w:id="14" w:name="_Toc377560450"/>
      <w:r w:rsidRPr="00574A00">
        <w:rPr>
          <w:lang w:val="es-ES_tradnl"/>
        </w:rPr>
        <w:t>3</w:t>
      </w:r>
      <w:r w:rsidR="00181C1A" w:rsidRPr="00574A00">
        <w:rPr>
          <w:lang w:val="es-ES_tradnl"/>
        </w:rPr>
        <w:tab/>
        <w:t>Colaboración con otros Sectores y Organizaciones</w:t>
      </w:r>
      <w:bookmarkEnd w:id="13"/>
      <w:bookmarkEnd w:id="14"/>
    </w:p>
    <w:p w:rsidR="00181C1A" w:rsidRPr="00D15FE4" w:rsidRDefault="00181C1A" w:rsidP="00D465FD">
      <w:pPr>
        <w:rPr>
          <w:lang w:val="es-ES_tradnl"/>
        </w:rPr>
      </w:pPr>
      <w:r w:rsidRPr="00D15FE4">
        <w:rPr>
          <w:lang w:val="es-ES_tradnl"/>
        </w:rPr>
        <w:t>3.1</w:t>
      </w:r>
      <w:r w:rsidRPr="00D15FE4">
        <w:rPr>
          <w:lang w:val="es-ES_tradnl"/>
        </w:rPr>
        <w:tab/>
        <w:t>A lo largo del período de estudio, esta cuestión ha sido desarrollada en colaboración con otros Sectores y Organizaciones, tales como la CE 5 del UIT-T, el GT 1C de la CE 1 del UIT-R y la OMS.</w:t>
      </w:r>
    </w:p>
    <w:p w:rsidR="00181C1A" w:rsidRPr="00D15FE4" w:rsidRDefault="00181C1A" w:rsidP="00D465FD">
      <w:pPr>
        <w:rPr>
          <w:lang w:val="es-ES_tradnl"/>
        </w:rPr>
      </w:pPr>
      <w:r w:rsidRPr="00D15FE4">
        <w:rPr>
          <w:lang w:val="es-ES_tradnl"/>
        </w:rPr>
        <w:t>3.2</w:t>
      </w:r>
      <w:r w:rsidRPr="00D15FE4">
        <w:rPr>
          <w:lang w:val="es-ES_tradnl"/>
        </w:rPr>
        <w:tab/>
      </w:r>
      <w:r w:rsidRPr="00D15FE4">
        <w:rPr>
          <w:rFonts w:cs="Arial"/>
          <w:lang w:val="es-ES_tradnl"/>
        </w:rPr>
        <w:t>Se han entregado a la CE 5 del UIT-T y al GT 1C de la CE 1 del UIT</w:t>
      </w:r>
      <w:r w:rsidRPr="00D15FE4">
        <w:rPr>
          <w:rFonts w:cs="Arial"/>
          <w:lang w:val="es-ES_tradnl"/>
        </w:rPr>
        <w:noBreakHyphen/>
        <w:t>R sendas Declaraciones de Coordinación solicitando información sobre un resumen de las conclusiones técnicas, e informes periódicos sobre el progreso de los trabajos relativos a los CEM. Las CE proporcionaron información detallada sobre las actividades pertinentes; asimismo, afirmaron que la estrecha colaboración en los temas relacionados con los CEM y, especialmente, el hecho de que los expertos hubieran participado en todos los grupos, había garantizado que no se produjera una duplicación de esfuerzos, lo cual benefició a todos los grupos.</w:t>
      </w:r>
    </w:p>
    <w:p w:rsidR="00181C1A" w:rsidRPr="00D15FE4" w:rsidRDefault="00181C1A" w:rsidP="00D465FD">
      <w:pPr>
        <w:rPr>
          <w:rFonts w:cs="Arial"/>
          <w:lang w:val="es-ES_tradnl"/>
        </w:rPr>
      </w:pPr>
      <w:r w:rsidRPr="00D15FE4">
        <w:rPr>
          <w:rFonts w:cs="Arial"/>
          <w:lang w:val="es-ES_tradnl"/>
        </w:rPr>
        <w:t>3.3</w:t>
      </w:r>
      <w:r w:rsidRPr="00D15FE4">
        <w:rPr>
          <w:rFonts w:cs="Arial"/>
          <w:lang w:val="es-ES_tradnl"/>
        </w:rPr>
        <w:tab/>
        <w:t>Como parte de su iniciativa sobre reducción de la disparidad en materia de normalización, el UIT-T organizó diversos eventos de creación de capacidades en todo el mundo, con objeto de ayudar a los distintos países a aplicar las normas del UIT-T. Asimismo, se celebraron talleres destinados a aumentar la sensibilización sobre los temas relacionados con los CEM, el último de los cuales tuvo lugar en Turín (Italia) el 9 de mayo de 2013 y efectuó un llamamiento a la acción</w:t>
      </w:r>
      <w:r w:rsidRPr="00C7152A">
        <w:rPr>
          <w:vertAlign w:val="superscript"/>
        </w:rPr>
        <w:footnoteReference w:id="3"/>
      </w:r>
      <w:r w:rsidRPr="00D15FE4">
        <w:rPr>
          <w:rFonts w:cs="Arial"/>
          <w:lang w:val="es-ES_tradnl"/>
        </w:rPr>
        <w:t>.</w:t>
      </w:r>
    </w:p>
    <w:p w:rsidR="00181C1A" w:rsidRPr="00D15FE4" w:rsidRDefault="00181C1A" w:rsidP="00D465FD">
      <w:pPr>
        <w:rPr>
          <w:rFonts w:cs="Arial"/>
          <w:szCs w:val="19"/>
          <w:lang w:val="es-ES_tradnl"/>
        </w:rPr>
      </w:pPr>
      <w:r w:rsidRPr="00D15FE4">
        <w:rPr>
          <w:rFonts w:cs="Arial"/>
          <w:lang w:val="es-ES_tradnl"/>
        </w:rPr>
        <w:t>3.4</w:t>
      </w:r>
      <w:r w:rsidRPr="00D15FE4">
        <w:rPr>
          <w:rFonts w:cs="Arial"/>
          <w:lang w:val="es-ES_tradnl"/>
        </w:rPr>
        <w:tab/>
      </w:r>
      <w:r w:rsidRPr="00D15FE4">
        <w:rPr>
          <w:rFonts w:cs="Arial"/>
          <w:szCs w:val="19"/>
          <w:lang w:val="es-ES_tradnl"/>
        </w:rPr>
        <w:t>El GT 1C de la CE 1 del UIT</w:t>
      </w:r>
      <w:r w:rsidRPr="00D15FE4">
        <w:rPr>
          <w:rFonts w:cs="Arial"/>
          <w:szCs w:val="19"/>
          <w:lang w:val="es-ES_tradnl"/>
        </w:rPr>
        <w:noBreakHyphen/>
        <w:t xml:space="preserve">R sobre </w:t>
      </w:r>
      <w:r w:rsidRPr="00D15FE4">
        <w:rPr>
          <w:lang w:val="es-ES_tradnl"/>
        </w:rPr>
        <w:t>"</w:t>
      </w:r>
      <w:r w:rsidRPr="00D15FE4">
        <w:rPr>
          <w:rFonts w:cs="Arial"/>
          <w:szCs w:val="19"/>
          <w:lang w:val="es-ES_tradnl"/>
        </w:rPr>
        <w:t>Comprobación técnica del espectro</w:t>
      </w:r>
      <w:r w:rsidRPr="00D15FE4">
        <w:rPr>
          <w:lang w:val="es-ES_tradnl"/>
        </w:rPr>
        <w:t>"</w:t>
      </w:r>
      <w:r w:rsidRPr="00D15FE4">
        <w:rPr>
          <w:rFonts w:cs="Arial"/>
          <w:szCs w:val="19"/>
          <w:lang w:val="es-ES_tradnl"/>
        </w:rPr>
        <w:t xml:space="preserve"> aprobó la edición de 2011 del Manual de Comprobación Técnica del Espectro de la UIT, el cual contiene información sobre mediciones de la radiación no ionizante.</w:t>
      </w:r>
    </w:p>
    <w:p w:rsidR="00181C1A" w:rsidRPr="00D15FE4" w:rsidRDefault="00181C1A" w:rsidP="00D465FD">
      <w:pPr>
        <w:rPr>
          <w:rFonts w:cs="Arial"/>
          <w:szCs w:val="19"/>
          <w:lang w:val="es-ES_tradnl"/>
        </w:rPr>
      </w:pPr>
      <w:r w:rsidRPr="00D15FE4">
        <w:rPr>
          <w:rFonts w:cs="Arial"/>
          <w:szCs w:val="19"/>
          <w:lang w:val="es-ES_tradnl"/>
        </w:rPr>
        <w:t>3.5</w:t>
      </w:r>
      <w:r w:rsidRPr="00D15FE4">
        <w:rPr>
          <w:rFonts w:cs="Arial"/>
          <w:szCs w:val="19"/>
          <w:lang w:val="es-ES_tradnl"/>
        </w:rPr>
        <w:tab/>
        <w:t>La CE 6 del UIT-R ha publicado además la Recomendación UIT</w:t>
      </w:r>
      <w:r w:rsidRPr="00D15FE4">
        <w:rPr>
          <w:rFonts w:cs="Arial"/>
          <w:szCs w:val="19"/>
          <w:lang w:val="es-ES_tradnl"/>
        </w:rPr>
        <w:noBreakHyphen/>
        <w:t>R BS.1698 (2005) sobre "Evaluación de los campos procedentes de los sistemas de transmisión de radiodifusión terrenal que funcionan en cualquier banda de frecuencias para determinar la exposición a radiaciones no ionizantes". En esta Recomendación, se estiman los valores de la exposición a las RF de las estaciones de radiodifusión, a fin de contribuir al desarrollo de normas de protección de las personas frente a su exposición a los efectos potencialmente perjudiciales de las mismas.</w:t>
      </w:r>
    </w:p>
    <w:p w:rsidR="00181C1A" w:rsidRPr="00D15FE4" w:rsidRDefault="00181C1A" w:rsidP="00D465FD">
      <w:pPr>
        <w:rPr>
          <w:rFonts w:cs="Arial"/>
          <w:szCs w:val="19"/>
          <w:lang w:val="es-ES_tradnl"/>
        </w:rPr>
      </w:pPr>
      <w:r w:rsidRPr="00D15FE4">
        <w:rPr>
          <w:rFonts w:cs="Arial"/>
          <w:szCs w:val="19"/>
          <w:lang w:val="es-ES_tradnl"/>
        </w:rPr>
        <w:t>3.6</w:t>
      </w:r>
      <w:r w:rsidRPr="00D15FE4">
        <w:rPr>
          <w:rFonts w:cs="Arial"/>
          <w:szCs w:val="19"/>
          <w:lang w:val="es-ES_tradnl"/>
        </w:rPr>
        <w:tab/>
        <w:t>La CE 5 del UIT-T ha informado al UIT-D sobre la disponibilidad de nuevas Recomendaciones, a saber:</w:t>
      </w:r>
    </w:p>
    <w:p w:rsidR="00181C1A" w:rsidRPr="00D465FD" w:rsidRDefault="00181C1A" w:rsidP="00FD027D">
      <w:pPr>
        <w:pStyle w:val="Enumlevel1"/>
        <w:numPr>
          <w:ilvl w:val="0"/>
          <w:numId w:val="13"/>
        </w:numPr>
        <w:ind w:left="567" w:hanging="567"/>
        <w:rPr>
          <w:lang w:val="es-ES_tradnl"/>
        </w:rPr>
      </w:pPr>
      <w:r w:rsidRPr="00D465FD">
        <w:rPr>
          <w:lang w:val="es-ES_tradnl"/>
        </w:rPr>
        <w:lastRenderedPageBreak/>
        <w:t xml:space="preserve">la Recomendación K.91 sobre </w:t>
      </w:r>
      <w:r w:rsidRPr="00D15FE4">
        <w:rPr>
          <w:lang w:val="es-ES_tradnl"/>
        </w:rPr>
        <w:t>"</w:t>
      </w:r>
      <w:r w:rsidRPr="00D465FD">
        <w:rPr>
          <w:lang w:val="es-ES_tradnl"/>
        </w:rPr>
        <w:t>Orientación para la valoración, la evaluación y el seguimiento de la exposición humana a los campos electromagnéticos de las radiofrecuencias</w:t>
      </w:r>
      <w:r w:rsidRPr="00D15FE4">
        <w:rPr>
          <w:lang w:val="es-ES_tradnl"/>
        </w:rPr>
        <w:t>"</w:t>
      </w:r>
      <w:r w:rsidRPr="00D465FD">
        <w:rPr>
          <w:lang w:val="es-ES_tradnl"/>
        </w:rPr>
        <w:t>;</w:t>
      </w:r>
    </w:p>
    <w:p w:rsidR="00181C1A" w:rsidRPr="00D465FD" w:rsidRDefault="00181C1A" w:rsidP="00FD027D">
      <w:pPr>
        <w:pStyle w:val="Enumlevel1"/>
        <w:numPr>
          <w:ilvl w:val="0"/>
          <w:numId w:val="13"/>
        </w:numPr>
        <w:ind w:left="567" w:hanging="567"/>
        <w:rPr>
          <w:lang w:val="es-ES_tradnl"/>
        </w:rPr>
      </w:pPr>
      <w:r w:rsidRPr="00D465FD">
        <w:rPr>
          <w:lang w:val="es-ES_tradnl"/>
        </w:rPr>
        <w:t>la Recomendación K.83 sobre "Supervisión de los niveles de intensidad del campo electromagnético";</w:t>
      </w:r>
    </w:p>
    <w:p w:rsidR="00181C1A" w:rsidRPr="00D465FD" w:rsidRDefault="00181C1A" w:rsidP="00FD027D">
      <w:pPr>
        <w:pStyle w:val="Enumlevel1"/>
        <w:numPr>
          <w:ilvl w:val="0"/>
          <w:numId w:val="13"/>
        </w:numPr>
        <w:ind w:left="567" w:hanging="567"/>
        <w:rPr>
          <w:lang w:val="es-ES_tradnl"/>
        </w:rPr>
      </w:pPr>
      <w:r w:rsidRPr="00D465FD">
        <w:rPr>
          <w:lang w:val="es-ES_tradnl"/>
        </w:rPr>
        <w:t>la Recomendación K.70 (06/2007) sobre "Técnicas para limitar la exposición humana a los campos electromagnéticos en cercanías a estaciones de radiocomunicaciones"; y</w:t>
      </w:r>
    </w:p>
    <w:p w:rsidR="00181C1A" w:rsidRPr="00D465FD" w:rsidRDefault="00181C1A" w:rsidP="00FD027D">
      <w:pPr>
        <w:pStyle w:val="Enumlevel1"/>
        <w:numPr>
          <w:ilvl w:val="0"/>
          <w:numId w:val="13"/>
        </w:numPr>
        <w:ind w:left="567" w:hanging="567"/>
        <w:rPr>
          <w:lang w:val="es-ES_tradnl"/>
        </w:rPr>
      </w:pPr>
      <w:r w:rsidRPr="00D465FD">
        <w:rPr>
          <w:lang w:val="es-ES_tradnl"/>
        </w:rPr>
        <w:t>la nueva Cuestión 7/5 del UIT-T sobre exposición de las personas.</w:t>
      </w:r>
    </w:p>
    <w:p w:rsidR="00181C1A" w:rsidRPr="00D15FE4" w:rsidRDefault="00181C1A" w:rsidP="003B3164">
      <w:pPr>
        <w:rPr>
          <w:smallCaps/>
          <w:lang w:val="es-ES_tradnl"/>
        </w:rPr>
      </w:pPr>
      <w:r w:rsidRPr="00D465FD">
        <w:rPr>
          <w:smallCaps/>
          <w:lang w:val="es-ES_tradnl"/>
        </w:rPr>
        <w:t>3.7</w:t>
      </w:r>
      <w:r w:rsidRPr="00D15FE4">
        <w:rPr>
          <w:lang w:val="es-ES_tradnl"/>
        </w:rPr>
        <w:tab/>
        <w:t>Perspectivas de la Organización Mundial de la Salud (OMS)</w:t>
      </w:r>
      <w:r>
        <w:rPr>
          <w:lang w:val="es-ES_tradnl"/>
        </w:rPr>
        <w:t>.</w:t>
      </w:r>
    </w:p>
    <w:p w:rsidR="00181C1A" w:rsidRPr="00D15FE4" w:rsidRDefault="00181C1A" w:rsidP="00D465FD">
      <w:pPr>
        <w:rPr>
          <w:b/>
          <w:lang w:val="es-ES_tradnl"/>
        </w:rPr>
      </w:pPr>
      <w:r w:rsidRPr="00D465FD">
        <w:rPr>
          <w:bCs/>
          <w:lang w:val="es-ES_tradnl"/>
        </w:rPr>
        <w:t>3.7.1</w:t>
      </w:r>
      <w:r w:rsidRPr="00D15FE4">
        <w:rPr>
          <w:b/>
          <w:lang w:val="es-ES_tradnl"/>
        </w:rPr>
        <w:tab/>
      </w:r>
      <w:r w:rsidRPr="00D15FE4">
        <w:rPr>
          <w:lang w:val="es-ES_tradnl"/>
        </w:rPr>
        <w:t>El proyecto internacional sobre CEM de la OMS se inició en 1996. Entre sus objetivos cabe citar el análisis de las obras existentes sobre los efectos para la salud de la exposición a los CEM, y el impulso a la definición de normas armonizadas aceptables a nivel internacional. Entre los asociados de la OMS para la realización de este proyecto se encuentran la UIT, la Organización Internacional del Trabajo (OIT), la Comisión Internacional para la Protección contra las Radiaciones No Ionizantes (ICNIRP), el Programa de las Naciones Unidas para el Medioambiente (UNEP) y varios más. La OMS no efectúa trabajos de investigación ni los subvenciona, por el contrario, lleva a cabo evaluaciones de las investigaciones mediante talleres científicos, así como estimaciones de los riesgos para la salud.</w:t>
      </w:r>
    </w:p>
    <w:p w:rsidR="00181C1A" w:rsidRPr="00D15FE4" w:rsidRDefault="00181C1A" w:rsidP="00D465FD">
      <w:pPr>
        <w:rPr>
          <w:lang w:val="es-ES_tradnl"/>
        </w:rPr>
      </w:pPr>
      <w:r w:rsidRPr="00D465FD">
        <w:rPr>
          <w:bCs/>
          <w:lang w:val="es-ES_tradnl"/>
        </w:rPr>
        <w:t>3.7.2</w:t>
      </w:r>
      <w:r w:rsidRPr="00D15FE4">
        <w:rPr>
          <w:lang w:val="es-ES_tradnl"/>
        </w:rPr>
        <w:tab/>
        <w:t>Según la nota descriptiva de la OMS Nº 193 de 2011</w:t>
      </w:r>
      <w:r w:rsidRPr="00C7152A">
        <w:rPr>
          <w:b/>
          <w:vertAlign w:val="superscript"/>
          <w:lang w:val="en-GB" w:eastAsia="en-US"/>
        </w:rPr>
        <w:footnoteReference w:id="4"/>
      </w:r>
      <w:r w:rsidRPr="00D15FE4">
        <w:rPr>
          <w:lang w:val="es-ES_tradnl"/>
        </w:rPr>
        <w:t>, no se han constatado efectos nocivos para la salud debidos a la utilización del teléfono móvil y se están elaborando estudios para evaluar los posibles efectos perjudiciales derivados del uso del mismo a largo plazo. La conclusión de la nota descriptiva 304 de la OMS es que hasta el momento no existe una evidencia científica convincente de que las señales de RF de las estaciones de base y las redes inalámbricas ocasionen efectos nocivos para la salud</w:t>
      </w:r>
      <w:r w:rsidRPr="00C7152A">
        <w:rPr>
          <w:b/>
          <w:vertAlign w:val="superscript"/>
          <w:lang w:val="en-GB" w:eastAsia="en-US"/>
        </w:rPr>
        <w:footnoteReference w:id="5"/>
      </w:r>
      <w:r w:rsidRPr="00D15FE4">
        <w:rPr>
          <w:lang w:val="es-ES_tradnl"/>
        </w:rPr>
        <w:t>.</w:t>
      </w:r>
    </w:p>
    <w:p w:rsidR="00181C1A" w:rsidRPr="00574A00" w:rsidRDefault="00D465FD" w:rsidP="00D465FD">
      <w:pPr>
        <w:pStyle w:val="Heading1"/>
        <w:rPr>
          <w:lang w:val="es-ES_tradnl"/>
        </w:rPr>
      </w:pPr>
      <w:bookmarkStart w:id="15" w:name="_Toc360793149"/>
      <w:bookmarkStart w:id="16" w:name="_Toc370824998"/>
      <w:bookmarkStart w:id="17" w:name="_Toc377560451"/>
      <w:r w:rsidRPr="00574A00">
        <w:rPr>
          <w:lang w:val="es-ES_tradnl"/>
        </w:rPr>
        <w:t>4</w:t>
      </w:r>
      <w:r w:rsidR="00181C1A" w:rsidRPr="00574A00">
        <w:rPr>
          <w:lang w:val="es-ES_tradnl"/>
        </w:rPr>
        <w:tab/>
      </w:r>
      <w:bookmarkEnd w:id="15"/>
      <w:r w:rsidR="00181C1A" w:rsidRPr="00574A00">
        <w:rPr>
          <w:lang w:val="es-ES_tradnl"/>
        </w:rPr>
        <w:t>Principio de precaución aplicado a la exposición de las personas a CEM</w:t>
      </w:r>
      <w:bookmarkEnd w:id="16"/>
      <w:bookmarkEnd w:id="17"/>
    </w:p>
    <w:p w:rsidR="00181C1A" w:rsidRPr="00D15FE4" w:rsidRDefault="00181C1A" w:rsidP="00D465FD">
      <w:pPr>
        <w:rPr>
          <w:lang w:val="es-ES_tradnl"/>
        </w:rPr>
      </w:pPr>
      <w:r w:rsidRPr="00D465FD">
        <w:rPr>
          <w:bCs/>
          <w:szCs w:val="19"/>
          <w:lang w:val="es-ES_tradnl"/>
        </w:rPr>
        <w:t>4.1</w:t>
      </w:r>
      <w:r w:rsidRPr="00D15FE4">
        <w:rPr>
          <w:szCs w:val="19"/>
          <w:lang w:val="es-ES_tradnl"/>
        </w:rPr>
        <w:tab/>
        <w:t xml:space="preserve">La </w:t>
      </w:r>
      <w:r w:rsidRPr="00D15FE4">
        <w:rPr>
          <w:rStyle w:val="hps"/>
          <w:rFonts w:eastAsia="Times New Roman"/>
          <w:lang w:val="es-ES_tradnl"/>
        </w:rPr>
        <w:t>preocupación pública</w:t>
      </w:r>
      <w:r w:rsidRPr="00D15FE4">
        <w:rPr>
          <w:lang w:val="es-ES_tradnl"/>
        </w:rPr>
        <w:t xml:space="preserve"> </w:t>
      </w:r>
      <w:r w:rsidRPr="00D15FE4">
        <w:rPr>
          <w:rStyle w:val="hps"/>
          <w:rFonts w:eastAsia="Times New Roman"/>
          <w:lang w:val="es-ES_tradnl"/>
        </w:rPr>
        <w:t>actual</w:t>
      </w:r>
      <w:r w:rsidRPr="00D15FE4">
        <w:rPr>
          <w:lang w:val="es-ES_tradnl"/>
        </w:rPr>
        <w:t xml:space="preserve"> </w:t>
      </w:r>
      <w:r w:rsidRPr="00D15FE4">
        <w:rPr>
          <w:rStyle w:val="hps"/>
          <w:rFonts w:eastAsia="Times New Roman"/>
          <w:lang w:val="es-ES_tradnl"/>
        </w:rPr>
        <w:t>gira en torno a</w:t>
      </w:r>
      <w:r w:rsidRPr="00D15FE4">
        <w:rPr>
          <w:lang w:val="es-ES_tradnl"/>
        </w:rPr>
        <w:t xml:space="preserve"> </w:t>
      </w:r>
      <w:r w:rsidRPr="00D15FE4">
        <w:rPr>
          <w:rStyle w:val="hps"/>
          <w:rFonts w:eastAsia="Times New Roman"/>
          <w:lang w:val="es-ES_tradnl"/>
        </w:rPr>
        <w:t>los posibles</w:t>
      </w:r>
      <w:r w:rsidRPr="00D15FE4">
        <w:rPr>
          <w:lang w:val="es-ES_tradnl"/>
        </w:rPr>
        <w:t xml:space="preserve"> </w:t>
      </w:r>
      <w:r w:rsidRPr="00D15FE4">
        <w:rPr>
          <w:rStyle w:val="hps"/>
          <w:rFonts w:eastAsia="Times New Roman"/>
          <w:lang w:val="es-ES_tradnl"/>
        </w:rPr>
        <w:t>riesgos para la salud</w:t>
      </w:r>
      <w:r w:rsidRPr="00D15FE4">
        <w:rPr>
          <w:lang w:val="es-ES_tradnl"/>
        </w:rPr>
        <w:t xml:space="preserve"> </w:t>
      </w:r>
      <w:r w:rsidRPr="00D15FE4">
        <w:rPr>
          <w:rStyle w:val="hps"/>
          <w:rFonts w:eastAsia="Times New Roman"/>
          <w:lang w:val="es-ES_tradnl"/>
        </w:rPr>
        <w:t>a largo plazo derivados de la exposición</w:t>
      </w:r>
      <w:r w:rsidRPr="00D15FE4">
        <w:rPr>
          <w:lang w:val="es-ES_tradnl"/>
        </w:rPr>
        <w:t xml:space="preserve"> </w:t>
      </w:r>
      <w:r w:rsidRPr="00D15FE4">
        <w:rPr>
          <w:rStyle w:val="hps"/>
          <w:rFonts w:eastAsia="Times New Roman"/>
          <w:lang w:val="es-ES_tradnl"/>
        </w:rPr>
        <w:t>a los campos</w:t>
      </w:r>
      <w:r w:rsidRPr="00D15FE4">
        <w:rPr>
          <w:lang w:val="es-ES_tradnl"/>
        </w:rPr>
        <w:t xml:space="preserve"> </w:t>
      </w:r>
      <w:r w:rsidRPr="00D15FE4">
        <w:rPr>
          <w:rStyle w:val="hps"/>
          <w:rFonts w:eastAsia="Times New Roman"/>
          <w:lang w:val="es-ES_tradnl"/>
        </w:rPr>
        <w:t>electromagnéticos a</w:t>
      </w:r>
      <w:r w:rsidRPr="00D15FE4">
        <w:rPr>
          <w:lang w:val="es-ES_tradnl"/>
        </w:rPr>
        <w:t xml:space="preserve"> </w:t>
      </w:r>
      <w:r w:rsidRPr="00D15FE4">
        <w:rPr>
          <w:rStyle w:val="hps"/>
          <w:rFonts w:eastAsia="Times New Roman"/>
          <w:lang w:val="es-ES_tradnl"/>
        </w:rPr>
        <w:t>niveles inferiores a</w:t>
      </w:r>
      <w:r w:rsidRPr="00D15FE4">
        <w:rPr>
          <w:lang w:val="es-ES_tradnl"/>
        </w:rPr>
        <w:t xml:space="preserve"> </w:t>
      </w:r>
      <w:r w:rsidRPr="00D15FE4">
        <w:rPr>
          <w:rStyle w:val="hps"/>
          <w:rFonts w:eastAsia="Times New Roman"/>
          <w:lang w:val="es-ES_tradnl"/>
        </w:rPr>
        <w:t>los requeridos</w:t>
      </w:r>
      <w:r w:rsidRPr="00D15FE4">
        <w:rPr>
          <w:lang w:val="es-ES_tradnl"/>
        </w:rPr>
        <w:t xml:space="preserve"> </w:t>
      </w:r>
      <w:r w:rsidRPr="00D15FE4">
        <w:rPr>
          <w:rStyle w:val="hps"/>
          <w:rFonts w:eastAsia="Times New Roman"/>
          <w:lang w:val="es-ES_tradnl"/>
        </w:rPr>
        <w:t>para desencadenar</w:t>
      </w:r>
      <w:r w:rsidRPr="00D15FE4">
        <w:rPr>
          <w:lang w:val="es-ES_tradnl"/>
        </w:rPr>
        <w:t xml:space="preserve"> </w:t>
      </w:r>
      <w:r w:rsidRPr="00D15FE4">
        <w:rPr>
          <w:rStyle w:val="hps"/>
          <w:rFonts w:eastAsia="Times New Roman"/>
          <w:lang w:val="es-ES_tradnl"/>
        </w:rPr>
        <w:t>respuestas biológicas</w:t>
      </w:r>
      <w:r w:rsidRPr="00D15FE4">
        <w:rPr>
          <w:lang w:val="es-ES_tradnl"/>
        </w:rPr>
        <w:t xml:space="preserve"> </w:t>
      </w:r>
      <w:r w:rsidRPr="00D15FE4">
        <w:rPr>
          <w:rStyle w:val="hps"/>
          <w:rFonts w:eastAsia="Times New Roman"/>
          <w:lang w:val="es-ES_tradnl"/>
        </w:rPr>
        <w:t>agudas.</w:t>
      </w:r>
      <w:r w:rsidRPr="00D15FE4">
        <w:rPr>
          <w:lang w:val="es-ES_tradnl"/>
        </w:rPr>
        <w:t xml:space="preserve"> En un proyecto de informe de fondo</w:t>
      </w:r>
      <w:r w:rsidRPr="00C7152A">
        <w:rPr>
          <w:b/>
          <w:szCs w:val="19"/>
          <w:vertAlign w:val="superscript"/>
          <w:lang w:val="en-GB" w:eastAsia="en-US"/>
        </w:rPr>
        <w:footnoteReference w:id="6"/>
      </w:r>
      <w:r w:rsidRPr="00D15FE4">
        <w:rPr>
          <w:lang w:val="es-ES_tradnl"/>
        </w:rPr>
        <w:t xml:space="preserve"> elaborado para la OMS, el </w:t>
      </w:r>
      <w:r w:rsidRPr="00C7152A">
        <w:rPr>
          <w:i/>
          <w:iCs/>
          <w:lang w:val="es-ES_tradnl"/>
        </w:rPr>
        <w:t>Séminaire international des acteurs en charge des politiques sur les Radiofréquences</w:t>
      </w:r>
      <w:r w:rsidRPr="00D15FE4">
        <w:rPr>
          <w:iCs/>
          <w:lang w:val="es-ES_tradnl"/>
        </w:rPr>
        <w:t xml:space="preserve"> </w:t>
      </w:r>
      <w:r w:rsidRPr="00D15FE4">
        <w:rPr>
          <w:lang w:val="es-ES_tradnl"/>
        </w:rPr>
        <w:t>(París (Francia), 5</w:t>
      </w:r>
      <w:r>
        <w:rPr>
          <w:lang w:val="es-ES_tradnl"/>
        </w:rPr>
        <w:t> </w:t>
      </w:r>
      <w:r w:rsidRPr="00D15FE4">
        <w:rPr>
          <w:lang w:val="es-ES_tradnl"/>
        </w:rPr>
        <w:t>de junio de 2013) identifica cinco categorías concurrentes de perfiles de políticas de gestión del riesgo de la exposición a RF en el mundo. Las categorías de políticas identificadas son las siguientes:</w:t>
      </w:r>
    </w:p>
    <w:p w:rsidR="00181C1A" w:rsidRPr="00D465FD" w:rsidRDefault="00181C1A" w:rsidP="00FD027D">
      <w:pPr>
        <w:pStyle w:val="Enumlevel1"/>
        <w:numPr>
          <w:ilvl w:val="0"/>
          <w:numId w:val="13"/>
        </w:numPr>
        <w:ind w:left="567" w:hanging="567"/>
        <w:rPr>
          <w:lang w:val="es-ES_tradnl"/>
        </w:rPr>
      </w:pPr>
      <w:r w:rsidRPr="00D465FD">
        <w:rPr>
          <w:lang w:val="es-ES_tradnl"/>
        </w:rPr>
        <w:t>Basadas en pruebas</w:t>
      </w:r>
    </w:p>
    <w:p w:rsidR="00181C1A" w:rsidRPr="00D465FD" w:rsidRDefault="00181C1A" w:rsidP="00FD027D">
      <w:pPr>
        <w:pStyle w:val="Enumlevel1"/>
        <w:numPr>
          <w:ilvl w:val="0"/>
          <w:numId w:val="13"/>
        </w:numPr>
        <w:ind w:left="567" w:hanging="567"/>
        <w:rPr>
          <w:lang w:val="es-ES_tradnl"/>
        </w:rPr>
      </w:pPr>
      <w:r w:rsidRPr="00D465FD">
        <w:rPr>
          <w:lang w:val="es-ES_tradnl"/>
        </w:rPr>
        <w:t>Planteamiento preventivo</w:t>
      </w:r>
    </w:p>
    <w:p w:rsidR="00181C1A" w:rsidRPr="00D465FD" w:rsidRDefault="00181C1A" w:rsidP="00FD027D">
      <w:pPr>
        <w:pStyle w:val="Enumlevel1"/>
        <w:numPr>
          <w:ilvl w:val="0"/>
          <w:numId w:val="13"/>
        </w:numPr>
        <w:ind w:left="567" w:hanging="567"/>
        <w:rPr>
          <w:lang w:val="es-ES_tradnl"/>
        </w:rPr>
      </w:pPr>
      <w:r w:rsidRPr="00D465FD">
        <w:rPr>
          <w:lang w:val="es-ES_tradnl"/>
        </w:rPr>
        <w:t>Principio ALARA</w:t>
      </w:r>
      <w:r w:rsidRPr="003B3164">
        <w:rPr>
          <w:vertAlign w:val="superscript"/>
          <w:lang w:val="es-ES_tradnl"/>
        </w:rPr>
        <w:footnoteReference w:id="7"/>
      </w:r>
    </w:p>
    <w:p w:rsidR="00181C1A" w:rsidRPr="00D465FD" w:rsidRDefault="00181C1A" w:rsidP="00FD027D">
      <w:pPr>
        <w:pStyle w:val="Enumlevel1"/>
        <w:numPr>
          <w:ilvl w:val="0"/>
          <w:numId w:val="13"/>
        </w:numPr>
        <w:ind w:left="567" w:hanging="567"/>
        <w:rPr>
          <w:lang w:val="es-ES_tradnl"/>
        </w:rPr>
      </w:pPr>
      <w:r w:rsidRPr="00D465FD">
        <w:rPr>
          <w:lang w:val="es-ES_tradnl"/>
        </w:rPr>
        <w:t>Voluntarias</w:t>
      </w:r>
    </w:p>
    <w:p w:rsidR="00181C1A" w:rsidRPr="00D465FD" w:rsidRDefault="00181C1A" w:rsidP="00FD027D">
      <w:pPr>
        <w:pStyle w:val="Enumlevel1"/>
        <w:numPr>
          <w:ilvl w:val="0"/>
          <w:numId w:val="13"/>
        </w:numPr>
        <w:ind w:left="567" w:hanging="567"/>
        <w:rPr>
          <w:lang w:val="es-ES_tradnl"/>
        </w:rPr>
      </w:pPr>
      <w:r w:rsidRPr="00D465FD">
        <w:rPr>
          <w:lang w:val="es-ES_tradnl"/>
        </w:rPr>
        <w:lastRenderedPageBreak/>
        <w:t>Información y consulta</w:t>
      </w:r>
    </w:p>
    <w:p w:rsidR="00181C1A" w:rsidRPr="00D15FE4" w:rsidRDefault="00181C1A" w:rsidP="00D465FD">
      <w:pPr>
        <w:rPr>
          <w:lang w:val="es-ES_tradnl"/>
        </w:rPr>
      </w:pPr>
      <w:r w:rsidRPr="00D15FE4">
        <w:rPr>
          <w:lang w:val="es-ES_tradnl"/>
        </w:rPr>
        <w:t>En el análisis de las respuestas</w:t>
      </w:r>
      <w:r w:rsidRPr="00C7152A">
        <w:rPr>
          <w:b/>
          <w:szCs w:val="19"/>
          <w:vertAlign w:val="superscript"/>
          <w:lang w:val="en-GB" w:eastAsia="en-US"/>
        </w:rPr>
        <w:footnoteReference w:id="8"/>
      </w:r>
      <w:r w:rsidRPr="00D15FE4">
        <w:rPr>
          <w:lang w:val="es-ES_tradnl"/>
        </w:rPr>
        <w:t xml:space="preserve"> a la encuesta de la OMS, se indica que 77 países de los 85 que respondieron tienen límites de exposición para instalaciones fijas. Entre los países en los cuales se especifican límites de exposición (N=77), la mayoría sigue los límites ICNIRP (N=55), cuatro países declaran que han fijado sus propios límites basados en pruebas científicas, dos países siguen los límites de la FCC</w:t>
      </w:r>
      <w:r w:rsidRPr="00C7152A">
        <w:rPr>
          <w:b/>
          <w:szCs w:val="19"/>
          <w:vertAlign w:val="superscript"/>
          <w:lang w:val="en-GB" w:eastAsia="en-US"/>
        </w:rPr>
        <w:footnoteReference w:id="9"/>
      </w:r>
      <w:r w:rsidRPr="00D15FE4">
        <w:rPr>
          <w:lang w:val="es-ES_tradnl"/>
        </w:rPr>
        <w:t xml:space="preserve"> y 16 países tienen límites de exposición inferiores a las directrices internacionales, con arreglo a un principio ALARA (N=3) o un principio de precaución (N=13).</w:t>
      </w:r>
    </w:p>
    <w:p w:rsidR="00181C1A" w:rsidRPr="00D15FE4" w:rsidRDefault="00181C1A" w:rsidP="0028348F">
      <w:pPr>
        <w:rPr>
          <w:rFonts w:eastAsia="Times New Roman"/>
          <w:lang w:val="es-ES_tradnl"/>
        </w:rPr>
      </w:pPr>
      <w:r w:rsidRPr="00D15FE4">
        <w:rPr>
          <w:rStyle w:val="hps"/>
          <w:rFonts w:eastAsia="Times New Roman"/>
          <w:lang w:val="es-ES_tradnl"/>
        </w:rPr>
        <w:t>La OMS lanzó el estudio</w:t>
      </w:r>
      <w:r w:rsidRPr="00D15FE4">
        <w:rPr>
          <w:rFonts w:eastAsia="Times New Roman"/>
          <w:lang w:val="es-ES_tradnl"/>
        </w:rPr>
        <w:t xml:space="preserve"> </w:t>
      </w:r>
      <w:r w:rsidRPr="00D15FE4">
        <w:rPr>
          <w:rStyle w:val="hps"/>
          <w:rFonts w:eastAsia="Times New Roman"/>
          <w:lang w:val="es-ES_tradnl"/>
        </w:rPr>
        <w:t>sobre los CEM</w:t>
      </w:r>
      <w:r w:rsidRPr="00D15FE4">
        <w:rPr>
          <w:rFonts w:eastAsia="Times New Roman"/>
          <w:lang w:val="es-ES_tradnl"/>
        </w:rPr>
        <w:t xml:space="preserve"> en colaboración con numerosas </w:t>
      </w:r>
      <w:r w:rsidRPr="00D15FE4">
        <w:rPr>
          <w:rStyle w:val="hps"/>
          <w:rFonts w:eastAsia="Times New Roman"/>
          <w:lang w:val="es-ES_tradnl"/>
        </w:rPr>
        <w:t>entidades</w:t>
      </w:r>
      <w:r w:rsidRPr="00D15FE4">
        <w:rPr>
          <w:rFonts w:eastAsia="Times New Roman"/>
          <w:lang w:val="es-ES_tradnl"/>
        </w:rPr>
        <w:t xml:space="preserve"> </w:t>
      </w:r>
      <w:r w:rsidRPr="00D15FE4">
        <w:rPr>
          <w:rStyle w:val="hps"/>
          <w:rFonts w:eastAsia="Times New Roman"/>
          <w:lang w:val="es-ES_tradnl"/>
        </w:rPr>
        <w:t>a fin de</w:t>
      </w:r>
      <w:r w:rsidRPr="00D15FE4">
        <w:rPr>
          <w:rFonts w:eastAsia="Times New Roman"/>
          <w:lang w:val="es-ES_tradnl"/>
        </w:rPr>
        <w:t xml:space="preserve"> </w:t>
      </w:r>
      <w:r w:rsidRPr="00D15FE4">
        <w:rPr>
          <w:rStyle w:val="hps"/>
          <w:rFonts w:eastAsia="Times New Roman"/>
          <w:lang w:val="es-ES_tradnl"/>
        </w:rPr>
        <w:t>proporcionar respuestas</w:t>
      </w:r>
      <w:r w:rsidRPr="00D15FE4">
        <w:rPr>
          <w:rFonts w:eastAsia="Times New Roman"/>
          <w:lang w:val="es-ES_tradnl"/>
        </w:rPr>
        <w:t xml:space="preserve"> objetivas y científicamente válidas </w:t>
      </w:r>
      <w:r w:rsidRPr="00D15FE4">
        <w:rPr>
          <w:rStyle w:val="hps"/>
          <w:rFonts w:eastAsia="Times New Roman"/>
          <w:lang w:val="es-ES_tradnl"/>
        </w:rPr>
        <w:t>a</w:t>
      </w:r>
      <w:r w:rsidRPr="00D15FE4">
        <w:rPr>
          <w:rFonts w:eastAsia="Times New Roman"/>
          <w:lang w:val="es-ES_tradnl"/>
        </w:rPr>
        <w:t xml:space="preserve"> </w:t>
      </w:r>
      <w:r w:rsidRPr="00D15FE4">
        <w:rPr>
          <w:rStyle w:val="hps"/>
          <w:rFonts w:eastAsia="Times New Roman"/>
          <w:lang w:val="es-ES_tradnl"/>
        </w:rPr>
        <w:t>la preocupación pública sobre los posibles</w:t>
      </w:r>
      <w:r w:rsidRPr="00D15FE4">
        <w:rPr>
          <w:rFonts w:eastAsia="Times New Roman"/>
          <w:lang w:val="es-ES_tradnl"/>
        </w:rPr>
        <w:t xml:space="preserve"> efectos </w:t>
      </w:r>
      <w:r w:rsidRPr="00D15FE4">
        <w:rPr>
          <w:rStyle w:val="hps"/>
          <w:rFonts w:eastAsia="Times New Roman"/>
          <w:lang w:val="es-ES_tradnl"/>
        </w:rPr>
        <w:t>nocivos</w:t>
      </w:r>
      <w:r w:rsidRPr="00D15FE4">
        <w:rPr>
          <w:rFonts w:eastAsia="Times New Roman"/>
          <w:lang w:val="es-ES_tradnl"/>
        </w:rPr>
        <w:t xml:space="preserve"> </w:t>
      </w:r>
      <w:r w:rsidRPr="00D15FE4">
        <w:rPr>
          <w:rStyle w:val="hps"/>
          <w:rFonts w:eastAsia="Times New Roman"/>
          <w:lang w:val="es-ES_tradnl"/>
        </w:rPr>
        <w:t>de los campos electromagnéticos</w:t>
      </w:r>
      <w:r w:rsidRPr="00D15FE4">
        <w:rPr>
          <w:rFonts w:eastAsia="Times New Roman"/>
          <w:lang w:val="es-ES_tradnl"/>
        </w:rPr>
        <w:t>.</w:t>
      </w:r>
      <w:r w:rsidRPr="00D15FE4">
        <w:rPr>
          <w:szCs w:val="19"/>
          <w:lang w:val="es-ES_tradnl"/>
        </w:rPr>
        <w:t xml:space="preserve"> La OMS</w:t>
      </w:r>
      <w:r w:rsidRPr="00C7152A">
        <w:rPr>
          <w:b/>
          <w:vertAlign w:val="superscript"/>
          <w:lang w:val="en-GB" w:eastAsia="en-US"/>
        </w:rPr>
        <w:footnoteReference w:id="10"/>
      </w:r>
      <w:r w:rsidRPr="00D15FE4">
        <w:rPr>
          <w:szCs w:val="19"/>
          <w:lang w:val="es-ES_tradnl"/>
        </w:rPr>
        <w:t xml:space="preserve"> explica que: </w:t>
      </w:r>
      <w:r>
        <w:rPr>
          <w:i/>
          <w:iCs/>
          <w:szCs w:val="19"/>
          <w:lang w:val="es-ES_tradnl"/>
        </w:rPr>
        <w:t>"</w:t>
      </w:r>
      <w:r w:rsidRPr="00C7152A">
        <w:rPr>
          <w:i/>
          <w:iCs/>
          <w:szCs w:val="19"/>
          <w:lang w:val="es-ES_tradnl"/>
        </w:rPr>
        <w:t>El principio de precaución es una política de gestión de riesgos aplicado en circunstancias en que existe un alto grado de incertidumbre científica y refleja la necesidad de tomar medidas frente a un riesgo potencialmente serio sin esperar los resultados de la investigación científica</w:t>
      </w:r>
      <w:r>
        <w:rPr>
          <w:i/>
          <w:iCs/>
          <w:szCs w:val="19"/>
          <w:lang w:val="es-ES_tradnl"/>
        </w:rPr>
        <w:t>".</w:t>
      </w:r>
    </w:p>
    <w:p w:rsidR="00181C1A" w:rsidRPr="00E3393E" w:rsidRDefault="00181C1A" w:rsidP="00E3393E">
      <w:pPr>
        <w:rPr>
          <w:lang w:val="es-ES_tradnl"/>
        </w:rPr>
      </w:pPr>
      <w:r w:rsidRPr="00E3393E">
        <w:rPr>
          <w:lang w:val="es-ES_tradnl"/>
        </w:rPr>
        <w:t>4.2</w:t>
      </w:r>
      <w:r w:rsidRPr="00E3393E">
        <w:rPr>
          <w:lang w:val="es-ES_tradnl"/>
        </w:rPr>
        <w:tab/>
      </w:r>
      <w:r w:rsidRPr="00E3393E">
        <w:rPr>
          <w:rStyle w:val="hps"/>
          <w:rFonts w:eastAsia="Times New Roman"/>
          <w:lang w:val="es-ES_tradnl"/>
        </w:rPr>
        <w:t>Existen</w:t>
      </w:r>
      <w:r w:rsidRPr="00E3393E">
        <w:rPr>
          <w:lang w:val="es-ES_tradnl"/>
        </w:rPr>
        <w:t xml:space="preserve"> </w:t>
      </w:r>
      <w:r w:rsidRPr="00E3393E">
        <w:rPr>
          <w:rStyle w:val="hps"/>
          <w:rFonts w:eastAsia="Times New Roman"/>
          <w:lang w:val="es-ES_tradnl"/>
        </w:rPr>
        <w:t>algunas</w:t>
      </w:r>
      <w:r w:rsidRPr="00E3393E">
        <w:rPr>
          <w:lang w:val="es-ES_tradnl"/>
        </w:rPr>
        <w:t xml:space="preserve"> </w:t>
      </w:r>
      <w:r w:rsidRPr="00E3393E">
        <w:rPr>
          <w:rStyle w:val="hps"/>
          <w:rFonts w:eastAsia="Times New Roman"/>
          <w:lang w:val="es-ES_tradnl"/>
        </w:rPr>
        <w:t>situaciones en las que</w:t>
      </w:r>
      <w:r w:rsidRPr="00E3393E">
        <w:rPr>
          <w:lang w:val="es-ES_tradnl"/>
        </w:rPr>
        <w:t xml:space="preserve"> </w:t>
      </w:r>
      <w:r w:rsidRPr="00E3393E">
        <w:rPr>
          <w:rStyle w:val="hps"/>
          <w:rFonts w:eastAsia="Times New Roman"/>
          <w:lang w:val="es-ES_tradnl"/>
        </w:rPr>
        <w:t>se han</w:t>
      </w:r>
      <w:r w:rsidRPr="00E3393E">
        <w:rPr>
          <w:lang w:val="es-ES_tradnl"/>
        </w:rPr>
        <w:t xml:space="preserve"> </w:t>
      </w:r>
      <w:r w:rsidRPr="00E3393E">
        <w:rPr>
          <w:rStyle w:val="hps"/>
          <w:rFonts w:eastAsia="Times New Roman"/>
          <w:lang w:val="es-ES_tradnl"/>
        </w:rPr>
        <w:t>ignorado</w:t>
      </w:r>
      <w:r w:rsidRPr="00E3393E">
        <w:rPr>
          <w:lang w:val="es-ES_tradnl"/>
        </w:rPr>
        <w:t xml:space="preserve"> </w:t>
      </w:r>
      <w:r w:rsidRPr="00E3393E">
        <w:rPr>
          <w:rStyle w:val="hps"/>
          <w:rFonts w:eastAsia="Times New Roman"/>
          <w:lang w:val="es-ES_tradnl"/>
        </w:rPr>
        <w:t>alertas tempranas sobre peligros para la salud o el medio ambiente,</w:t>
      </w:r>
      <w:r w:rsidRPr="00E3393E">
        <w:rPr>
          <w:lang w:val="es-ES_tradnl"/>
        </w:rPr>
        <w:t xml:space="preserve"> </w:t>
      </w:r>
      <w:r w:rsidRPr="00E3393E">
        <w:rPr>
          <w:rStyle w:val="hps"/>
          <w:rFonts w:eastAsia="Times New Roman"/>
          <w:lang w:val="es-ES_tradnl"/>
        </w:rPr>
        <w:t>únicamente porque</w:t>
      </w:r>
      <w:r w:rsidRPr="00E3393E">
        <w:rPr>
          <w:lang w:val="es-ES_tradnl"/>
        </w:rPr>
        <w:t xml:space="preserve"> </w:t>
      </w:r>
      <w:r w:rsidRPr="00E3393E">
        <w:rPr>
          <w:rStyle w:val="hps"/>
          <w:rFonts w:eastAsia="Times New Roman"/>
          <w:lang w:val="es-ES_tradnl"/>
        </w:rPr>
        <w:t>la existencia</w:t>
      </w:r>
      <w:r w:rsidRPr="00E3393E">
        <w:rPr>
          <w:lang w:val="es-ES_tradnl"/>
        </w:rPr>
        <w:t xml:space="preserve"> </w:t>
      </w:r>
      <w:r w:rsidRPr="00E3393E">
        <w:rPr>
          <w:rStyle w:val="hps"/>
          <w:rFonts w:eastAsia="Times New Roman"/>
          <w:lang w:val="es-ES_tradnl"/>
        </w:rPr>
        <w:t>o</w:t>
      </w:r>
      <w:r w:rsidRPr="00E3393E">
        <w:rPr>
          <w:lang w:val="es-ES_tradnl"/>
        </w:rPr>
        <w:t xml:space="preserve"> la </w:t>
      </w:r>
      <w:r w:rsidRPr="00E3393E">
        <w:rPr>
          <w:rStyle w:val="hps"/>
          <w:rFonts w:eastAsia="Times New Roman"/>
          <w:lang w:val="es-ES_tradnl"/>
        </w:rPr>
        <w:t>alta probabilidad de</w:t>
      </w:r>
      <w:r w:rsidRPr="00E3393E">
        <w:rPr>
          <w:lang w:val="es-ES_tradnl"/>
        </w:rPr>
        <w:t xml:space="preserve"> </w:t>
      </w:r>
      <w:r w:rsidRPr="00E3393E">
        <w:rPr>
          <w:rStyle w:val="hps"/>
          <w:rFonts w:eastAsia="Times New Roman"/>
          <w:lang w:val="es-ES_tradnl"/>
        </w:rPr>
        <w:t>riesgo no</w:t>
      </w:r>
      <w:r w:rsidRPr="00E3393E">
        <w:rPr>
          <w:lang w:val="es-ES_tradnl"/>
        </w:rPr>
        <w:t xml:space="preserve"> </w:t>
      </w:r>
      <w:r w:rsidRPr="00E3393E">
        <w:rPr>
          <w:rStyle w:val="hps"/>
          <w:rFonts w:eastAsia="Times New Roman"/>
          <w:lang w:val="es-ES_tradnl"/>
        </w:rPr>
        <w:t>se había establecido de manera</w:t>
      </w:r>
      <w:r w:rsidRPr="00E3393E">
        <w:rPr>
          <w:lang w:val="es-ES_tradnl"/>
        </w:rPr>
        <w:t xml:space="preserve"> </w:t>
      </w:r>
      <w:r w:rsidRPr="00E3393E">
        <w:rPr>
          <w:rStyle w:val="hps"/>
          <w:rFonts w:eastAsia="Times New Roman"/>
          <w:lang w:val="es-ES_tradnl"/>
        </w:rPr>
        <w:t>científica.</w:t>
      </w:r>
      <w:r w:rsidRPr="00E3393E">
        <w:rPr>
          <w:lang w:val="es-ES_tradnl"/>
        </w:rPr>
        <w:t xml:space="preserve"> </w:t>
      </w:r>
      <w:r w:rsidRPr="00E3393E">
        <w:rPr>
          <w:rStyle w:val="hps"/>
          <w:rFonts w:eastAsia="Times New Roman"/>
          <w:lang w:val="es-ES_tradnl"/>
        </w:rPr>
        <w:t>Esta actitud</w:t>
      </w:r>
      <w:r w:rsidRPr="00E3393E">
        <w:rPr>
          <w:lang w:val="es-ES_tradnl"/>
        </w:rPr>
        <w:t xml:space="preserve"> nos conduce</w:t>
      </w:r>
      <w:r w:rsidRPr="00E3393E">
        <w:rPr>
          <w:rStyle w:val="hps"/>
          <w:rFonts w:eastAsia="Times New Roman"/>
          <w:lang w:val="es-ES_tradnl"/>
        </w:rPr>
        <w:t xml:space="preserve"> a</w:t>
      </w:r>
      <w:r w:rsidRPr="00E3393E">
        <w:rPr>
          <w:lang w:val="es-ES_tradnl"/>
        </w:rPr>
        <w:t xml:space="preserve"> </w:t>
      </w:r>
      <w:r w:rsidRPr="00E3393E">
        <w:rPr>
          <w:rStyle w:val="hps"/>
          <w:rFonts w:eastAsia="Times New Roman"/>
          <w:lang w:val="es-ES_tradnl"/>
        </w:rPr>
        <w:t>esperar</w:t>
      </w:r>
      <w:r w:rsidRPr="00E3393E">
        <w:rPr>
          <w:lang w:val="es-ES_tradnl"/>
        </w:rPr>
        <w:t xml:space="preserve"> </w:t>
      </w:r>
      <w:r w:rsidRPr="00E3393E">
        <w:rPr>
          <w:rStyle w:val="hps"/>
          <w:rFonts w:eastAsia="Times New Roman"/>
          <w:lang w:val="es-ES_tradnl"/>
        </w:rPr>
        <w:t>hasta que se producen</w:t>
      </w:r>
      <w:r w:rsidRPr="00E3393E">
        <w:rPr>
          <w:lang w:val="es-ES_tradnl"/>
        </w:rPr>
        <w:t xml:space="preserve"> </w:t>
      </w:r>
      <w:r w:rsidRPr="00E3393E">
        <w:rPr>
          <w:rStyle w:val="hps"/>
          <w:rFonts w:eastAsia="Times New Roman"/>
          <w:lang w:val="es-ES_tradnl"/>
        </w:rPr>
        <w:t>daños a la salud</w:t>
      </w:r>
      <w:r w:rsidRPr="00E3393E">
        <w:rPr>
          <w:lang w:val="es-ES_tradnl"/>
        </w:rPr>
        <w:t xml:space="preserve"> </w:t>
      </w:r>
      <w:r w:rsidRPr="00E3393E">
        <w:rPr>
          <w:rStyle w:val="hps"/>
          <w:rFonts w:eastAsia="Times New Roman"/>
          <w:lang w:val="es-ES_tradnl"/>
        </w:rPr>
        <w:t>o al medio ambiente</w:t>
      </w:r>
      <w:r w:rsidRPr="00E3393E">
        <w:rPr>
          <w:lang w:val="es-ES_tradnl"/>
        </w:rPr>
        <w:t xml:space="preserve">, </w:t>
      </w:r>
      <w:r w:rsidRPr="00E3393E">
        <w:rPr>
          <w:rStyle w:val="hps"/>
          <w:rFonts w:eastAsia="Times New Roman"/>
          <w:lang w:val="es-ES_tradnl"/>
        </w:rPr>
        <w:t>o al menos hasta que se demuestra la veracidad del riesgo,</w:t>
      </w:r>
      <w:r w:rsidRPr="00E3393E">
        <w:rPr>
          <w:lang w:val="es-ES_tradnl"/>
        </w:rPr>
        <w:t xml:space="preserve"> </w:t>
      </w:r>
      <w:r w:rsidRPr="00E3393E">
        <w:rPr>
          <w:rStyle w:val="hps"/>
          <w:rFonts w:eastAsia="Times New Roman"/>
          <w:lang w:val="es-ES_tradnl"/>
        </w:rPr>
        <w:t>antes de reaccionar</w:t>
      </w:r>
      <w:r w:rsidRPr="00E3393E">
        <w:rPr>
          <w:lang w:val="es-ES_tradnl"/>
        </w:rPr>
        <w:t xml:space="preserve"> </w:t>
      </w:r>
      <w:r w:rsidRPr="00E3393E">
        <w:rPr>
          <w:rStyle w:val="hps"/>
          <w:rFonts w:eastAsia="Times New Roman"/>
          <w:lang w:val="es-ES_tradnl"/>
        </w:rPr>
        <w:t>y</w:t>
      </w:r>
      <w:r w:rsidRPr="00E3393E">
        <w:rPr>
          <w:lang w:val="es-ES_tradnl"/>
        </w:rPr>
        <w:t xml:space="preserve"> </w:t>
      </w:r>
      <w:r w:rsidRPr="00E3393E">
        <w:rPr>
          <w:rStyle w:val="hps"/>
          <w:rFonts w:eastAsia="Times New Roman"/>
          <w:lang w:val="es-ES_tradnl"/>
        </w:rPr>
        <w:t>adoptar</w:t>
      </w:r>
      <w:r w:rsidRPr="00E3393E">
        <w:rPr>
          <w:lang w:val="es-ES_tradnl"/>
        </w:rPr>
        <w:t xml:space="preserve"> </w:t>
      </w:r>
      <w:r w:rsidRPr="00E3393E">
        <w:rPr>
          <w:rStyle w:val="hps"/>
          <w:rFonts w:eastAsia="Times New Roman"/>
          <w:lang w:val="es-ES_tradnl"/>
        </w:rPr>
        <w:t>medidas de protección.</w:t>
      </w:r>
      <w:r w:rsidRPr="00E3393E">
        <w:rPr>
          <w:lang w:val="es-ES_tradnl"/>
        </w:rPr>
        <w:t xml:space="preserve"> Asimismo, </w:t>
      </w:r>
      <w:r w:rsidRPr="00E3393E">
        <w:rPr>
          <w:rStyle w:val="hps"/>
          <w:rFonts w:eastAsia="Times New Roman"/>
          <w:lang w:val="es-ES_tradnl"/>
        </w:rPr>
        <w:t>las consecuencias para</w:t>
      </w:r>
      <w:r w:rsidRPr="00E3393E">
        <w:rPr>
          <w:lang w:val="es-ES_tradnl"/>
        </w:rPr>
        <w:t xml:space="preserve"> </w:t>
      </w:r>
      <w:r w:rsidRPr="00E3393E">
        <w:rPr>
          <w:rStyle w:val="hps"/>
          <w:rFonts w:eastAsia="Times New Roman"/>
          <w:lang w:val="es-ES_tradnl"/>
        </w:rPr>
        <w:t>la salud de las personas y</w:t>
      </w:r>
      <w:r w:rsidRPr="00E3393E">
        <w:rPr>
          <w:lang w:val="es-ES_tradnl"/>
        </w:rPr>
        <w:t xml:space="preserve"> para </w:t>
      </w:r>
      <w:r w:rsidRPr="00E3393E">
        <w:rPr>
          <w:rStyle w:val="hps"/>
          <w:rFonts w:eastAsia="Times New Roman"/>
          <w:lang w:val="es-ES_tradnl"/>
        </w:rPr>
        <w:t>el medio ambiente son</w:t>
      </w:r>
      <w:r w:rsidRPr="00E3393E">
        <w:rPr>
          <w:lang w:val="es-ES_tradnl"/>
        </w:rPr>
        <w:t xml:space="preserve"> </w:t>
      </w:r>
      <w:r w:rsidRPr="00E3393E">
        <w:rPr>
          <w:rStyle w:val="hps"/>
          <w:rFonts w:eastAsia="Times New Roman"/>
          <w:lang w:val="es-ES_tradnl"/>
        </w:rPr>
        <w:t>notorias</w:t>
      </w:r>
      <w:r w:rsidRPr="00E3393E">
        <w:rPr>
          <w:lang w:val="es-ES_tradnl"/>
        </w:rPr>
        <w:t xml:space="preserve">. </w:t>
      </w:r>
      <w:r w:rsidRPr="00E3393E">
        <w:rPr>
          <w:rStyle w:val="hps"/>
          <w:rFonts w:eastAsia="Times New Roman"/>
          <w:lang w:val="es-ES_tradnl"/>
        </w:rPr>
        <w:t>El principio de precaución</w:t>
      </w:r>
      <w:r w:rsidRPr="00E3393E">
        <w:rPr>
          <w:lang w:val="es-ES_tradnl"/>
        </w:rPr>
        <w:t xml:space="preserve"> </w:t>
      </w:r>
      <w:r w:rsidRPr="00E3393E">
        <w:rPr>
          <w:rStyle w:val="hps"/>
          <w:rFonts w:eastAsia="Times New Roman"/>
          <w:lang w:val="es-ES_tradnl"/>
        </w:rPr>
        <w:t>entra en juego</w:t>
      </w:r>
      <w:r w:rsidRPr="00E3393E">
        <w:rPr>
          <w:lang w:val="es-ES_tradnl"/>
        </w:rPr>
        <w:t xml:space="preserve"> con el objetivo de impedir que se niegue la existencia de dicho riesgo simplemente porque </w:t>
      </w:r>
      <w:r w:rsidRPr="00E3393E">
        <w:rPr>
          <w:rStyle w:val="hps"/>
          <w:rFonts w:eastAsia="Times New Roman"/>
          <w:lang w:val="es-ES_tradnl"/>
        </w:rPr>
        <w:t>no ha sido</w:t>
      </w:r>
      <w:r w:rsidRPr="00E3393E">
        <w:rPr>
          <w:lang w:val="es-ES_tradnl"/>
        </w:rPr>
        <w:t xml:space="preserve"> </w:t>
      </w:r>
      <w:r w:rsidRPr="00E3393E">
        <w:rPr>
          <w:rStyle w:val="hps"/>
          <w:rFonts w:eastAsia="Times New Roman"/>
          <w:lang w:val="es-ES_tradnl"/>
        </w:rPr>
        <w:t>demostrado</w:t>
      </w:r>
      <w:r w:rsidRPr="00E3393E">
        <w:rPr>
          <w:lang w:val="es-ES_tradnl"/>
        </w:rPr>
        <w:t xml:space="preserve"> </w:t>
      </w:r>
      <w:r w:rsidRPr="00E3393E">
        <w:rPr>
          <w:rStyle w:val="hps"/>
          <w:rFonts w:eastAsia="Times New Roman"/>
          <w:lang w:val="es-ES_tradnl"/>
        </w:rPr>
        <w:t>y nos</w:t>
      </w:r>
      <w:r w:rsidRPr="00E3393E">
        <w:rPr>
          <w:lang w:val="es-ES_tradnl"/>
        </w:rPr>
        <w:t xml:space="preserve"> </w:t>
      </w:r>
      <w:r w:rsidRPr="00E3393E">
        <w:rPr>
          <w:rStyle w:val="hps"/>
          <w:rFonts w:eastAsia="Times New Roman"/>
          <w:lang w:val="es-ES_tradnl"/>
        </w:rPr>
        <w:t>obliga</w:t>
      </w:r>
      <w:r w:rsidRPr="00E3393E">
        <w:rPr>
          <w:lang w:val="es-ES_tradnl"/>
        </w:rPr>
        <w:t xml:space="preserve">, por el contrario, </w:t>
      </w:r>
      <w:r w:rsidRPr="00E3393E">
        <w:rPr>
          <w:rStyle w:val="hps"/>
          <w:rFonts w:eastAsia="Times New Roman"/>
          <w:lang w:val="es-ES_tradnl"/>
        </w:rPr>
        <w:t>a adquirir los</w:t>
      </w:r>
      <w:r w:rsidRPr="00E3393E">
        <w:rPr>
          <w:lang w:val="es-ES_tradnl"/>
        </w:rPr>
        <w:t xml:space="preserve"> </w:t>
      </w:r>
      <w:r w:rsidRPr="00E3393E">
        <w:rPr>
          <w:rStyle w:val="hps"/>
          <w:rFonts w:eastAsia="Times New Roman"/>
          <w:lang w:val="es-ES_tradnl"/>
        </w:rPr>
        <w:t>medios necesarios para determinar</w:t>
      </w:r>
      <w:r w:rsidRPr="00E3393E">
        <w:rPr>
          <w:lang w:val="es-ES_tradnl"/>
        </w:rPr>
        <w:t xml:space="preserve">, en las etapas iniciales, </w:t>
      </w:r>
      <w:r w:rsidRPr="00E3393E">
        <w:rPr>
          <w:rStyle w:val="hps"/>
          <w:rFonts w:eastAsia="Times New Roman"/>
          <w:lang w:val="es-ES_tradnl"/>
        </w:rPr>
        <w:t>sus</w:t>
      </w:r>
      <w:r w:rsidRPr="00E3393E">
        <w:rPr>
          <w:lang w:val="es-ES_tradnl"/>
        </w:rPr>
        <w:t xml:space="preserve"> </w:t>
      </w:r>
      <w:r w:rsidRPr="00E3393E">
        <w:rPr>
          <w:rStyle w:val="hps"/>
          <w:rFonts w:eastAsia="Times New Roman"/>
          <w:lang w:val="es-ES_tradnl"/>
        </w:rPr>
        <w:t>posibles</w:t>
      </w:r>
      <w:r w:rsidRPr="00E3393E">
        <w:rPr>
          <w:lang w:val="es-ES_tradnl"/>
        </w:rPr>
        <w:t xml:space="preserve"> </w:t>
      </w:r>
      <w:r w:rsidRPr="00E3393E">
        <w:rPr>
          <w:rStyle w:val="hps"/>
          <w:rFonts w:eastAsia="Times New Roman"/>
          <w:lang w:val="es-ES_tradnl"/>
        </w:rPr>
        <w:t>efectos sobre la salud y el medio ambiente, en aras de prevenirlos</w:t>
      </w:r>
      <w:r w:rsidRPr="00E3393E">
        <w:rPr>
          <w:lang w:val="es-ES_tradnl"/>
        </w:rPr>
        <w:t xml:space="preserve"> </w:t>
      </w:r>
      <w:r w:rsidRPr="00E3393E">
        <w:rPr>
          <w:rStyle w:val="hps"/>
          <w:rFonts w:eastAsia="Times New Roman"/>
          <w:lang w:val="es-ES_tradnl"/>
        </w:rPr>
        <w:t>de manera más eficaz</w:t>
      </w:r>
      <w:r w:rsidRPr="00E3393E">
        <w:rPr>
          <w:lang w:val="es-ES_tradnl"/>
        </w:rPr>
        <w:t>.</w:t>
      </w:r>
    </w:p>
    <w:p w:rsidR="00181C1A" w:rsidRPr="00E3393E" w:rsidRDefault="00181C1A" w:rsidP="00E3393E">
      <w:pPr>
        <w:rPr>
          <w:lang w:val="es-ES_tradnl"/>
        </w:rPr>
      </w:pPr>
      <w:r w:rsidRPr="00E3393E">
        <w:rPr>
          <w:lang w:val="es-ES_tradnl"/>
        </w:rPr>
        <w:t>4.3</w:t>
      </w:r>
      <w:r w:rsidRPr="00E3393E">
        <w:rPr>
          <w:lang w:val="es-ES_tradnl"/>
        </w:rPr>
        <w:tab/>
      </w:r>
      <w:r w:rsidRPr="00E3393E">
        <w:rPr>
          <w:rStyle w:val="hps"/>
          <w:rFonts w:eastAsia="Times New Roman"/>
          <w:lang w:val="es-ES_tradnl"/>
        </w:rPr>
        <w:t>El principio de precaución</w:t>
      </w:r>
      <w:r w:rsidRPr="00E3393E">
        <w:rPr>
          <w:lang w:val="es-ES_tradnl"/>
        </w:rPr>
        <w:t xml:space="preserve"> </w:t>
      </w:r>
      <w:r w:rsidRPr="00E3393E">
        <w:rPr>
          <w:rStyle w:val="hps"/>
          <w:rFonts w:eastAsia="Times New Roman"/>
          <w:lang w:val="es-ES_tradnl"/>
        </w:rPr>
        <w:t>no constituye una solución</w:t>
      </w:r>
      <w:r w:rsidRPr="00E3393E">
        <w:rPr>
          <w:lang w:val="es-ES_tradnl"/>
        </w:rPr>
        <w:t xml:space="preserve"> </w:t>
      </w:r>
      <w:r w:rsidRPr="00E3393E">
        <w:rPr>
          <w:rStyle w:val="hps"/>
          <w:rFonts w:eastAsia="Times New Roman"/>
          <w:lang w:val="es-ES_tradnl"/>
        </w:rPr>
        <w:t>a la incertidumbre</w:t>
      </w:r>
      <w:r w:rsidRPr="00E3393E">
        <w:rPr>
          <w:lang w:val="es-ES_tradnl"/>
        </w:rPr>
        <w:t xml:space="preserve"> </w:t>
      </w:r>
      <w:r w:rsidRPr="00E3393E">
        <w:rPr>
          <w:rStyle w:val="hps"/>
          <w:rFonts w:eastAsia="Times New Roman"/>
          <w:lang w:val="es-ES_tradnl"/>
        </w:rPr>
        <w:t>científica, sino</w:t>
      </w:r>
      <w:r w:rsidRPr="00E3393E">
        <w:rPr>
          <w:lang w:val="es-ES_tradnl"/>
        </w:rPr>
        <w:t xml:space="preserve"> </w:t>
      </w:r>
      <w:r w:rsidRPr="00E3393E">
        <w:rPr>
          <w:rStyle w:val="hps"/>
          <w:rFonts w:eastAsia="Times New Roman"/>
          <w:lang w:val="es-ES_tradnl"/>
        </w:rPr>
        <w:t>un</w:t>
      </w:r>
      <w:r w:rsidRPr="00E3393E">
        <w:rPr>
          <w:lang w:val="es-ES_tradnl"/>
        </w:rPr>
        <w:t xml:space="preserve"> </w:t>
      </w:r>
      <w:r w:rsidRPr="00E3393E">
        <w:rPr>
          <w:rStyle w:val="hps"/>
          <w:rFonts w:eastAsia="Times New Roman"/>
          <w:lang w:val="es-ES_tradnl"/>
        </w:rPr>
        <w:t>proceso de interacción</w:t>
      </w:r>
      <w:r w:rsidRPr="00E3393E">
        <w:rPr>
          <w:lang w:val="es-ES_tradnl"/>
        </w:rPr>
        <w:t xml:space="preserve"> </w:t>
      </w:r>
      <w:r w:rsidRPr="00E3393E">
        <w:rPr>
          <w:rStyle w:val="hps"/>
          <w:rFonts w:eastAsia="Times New Roman"/>
          <w:lang w:val="es-ES_tradnl"/>
        </w:rPr>
        <w:t>permanente entre</w:t>
      </w:r>
      <w:r w:rsidRPr="00E3393E">
        <w:rPr>
          <w:lang w:val="es-ES_tradnl"/>
        </w:rPr>
        <w:t xml:space="preserve"> </w:t>
      </w:r>
      <w:r w:rsidRPr="00E3393E">
        <w:rPr>
          <w:rStyle w:val="hps"/>
          <w:rFonts w:eastAsia="Times New Roman"/>
          <w:lang w:val="es-ES_tradnl"/>
        </w:rPr>
        <w:t>la acción</w:t>
      </w:r>
      <w:r w:rsidRPr="00E3393E">
        <w:rPr>
          <w:lang w:val="es-ES_tradnl"/>
        </w:rPr>
        <w:t xml:space="preserve"> </w:t>
      </w:r>
      <w:r w:rsidRPr="00E3393E">
        <w:rPr>
          <w:rStyle w:val="hps"/>
          <w:rFonts w:eastAsia="Times New Roman"/>
          <w:lang w:val="es-ES_tradnl"/>
        </w:rPr>
        <w:t>y el conocimiento.</w:t>
      </w:r>
      <w:r w:rsidRPr="00E3393E">
        <w:rPr>
          <w:lang w:val="es-ES_tradnl"/>
        </w:rPr>
        <w:t xml:space="preserve"> En lugar de establecer </w:t>
      </w:r>
      <w:r w:rsidRPr="00E3393E">
        <w:rPr>
          <w:rStyle w:val="hps"/>
          <w:rFonts w:eastAsia="Times New Roman"/>
          <w:lang w:val="es-ES_tradnl"/>
        </w:rPr>
        <w:t>una norma fija</w:t>
      </w:r>
      <w:r w:rsidRPr="00E3393E">
        <w:rPr>
          <w:lang w:val="es-ES_tradnl"/>
        </w:rPr>
        <w:t xml:space="preserve">, este principio proporciona </w:t>
      </w:r>
      <w:r w:rsidRPr="00E3393E">
        <w:rPr>
          <w:rStyle w:val="hps"/>
          <w:rFonts w:eastAsia="Times New Roman"/>
          <w:lang w:val="es-ES_tradnl"/>
        </w:rPr>
        <w:t>puntos de</w:t>
      </w:r>
      <w:r w:rsidRPr="00E3393E">
        <w:rPr>
          <w:lang w:val="es-ES_tradnl"/>
        </w:rPr>
        <w:t xml:space="preserve"> </w:t>
      </w:r>
      <w:r w:rsidRPr="00E3393E">
        <w:rPr>
          <w:rStyle w:val="hps"/>
          <w:rFonts w:eastAsia="Times New Roman"/>
          <w:lang w:val="es-ES_tradnl"/>
        </w:rPr>
        <w:t>referencia (</w:t>
      </w:r>
      <w:r w:rsidRPr="00E3393E">
        <w:rPr>
          <w:lang w:val="es-ES_tradnl"/>
        </w:rPr>
        <w:t xml:space="preserve">abstractos o </w:t>
      </w:r>
      <w:r w:rsidRPr="00E3393E">
        <w:rPr>
          <w:rStyle w:val="hps"/>
          <w:rFonts w:eastAsia="Times New Roman"/>
          <w:lang w:val="es-ES_tradnl"/>
        </w:rPr>
        <w:t>concretos</w:t>
      </w:r>
      <w:r w:rsidRPr="00E3393E">
        <w:rPr>
          <w:lang w:val="es-ES_tradnl"/>
        </w:rPr>
        <w:t xml:space="preserve">) </w:t>
      </w:r>
      <w:r w:rsidRPr="00E3393E">
        <w:rPr>
          <w:rStyle w:val="hps"/>
          <w:rFonts w:eastAsia="Times New Roman"/>
          <w:lang w:val="es-ES_tradnl"/>
        </w:rPr>
        <w:t>que se revisan</w:t>
      </w:r>
      <w:r w:rsidRPr="00E3393E">
        <w:rPr>
          <w:lang w:val="es-ES_tradnl"/>
        </w:rPr>
        <w:t xml:space="preserve"> </w:t>
      </w:r>
      <w:r w:rsidRPr="00E3393E">
        <w:rPr>
          <w:rStyle w:val="hps"/>
          <w:rFonts w:eastAsia="Times New Roman"/>
          <w:lang w:val="es-ES_tradnl"/>
        </w:rPr>
        <w:t>periódicamente</w:t>
      </w:r>
      <w:r w:rsidRPr="00E3393E">
        <w:rPr>
          <w:lang w:val="es-ES_tradnl"/>
        </w:rPr>
        <w:t xml:space="preserve">, lo cual requiere </w:t>
      </w:r>
      <w:r w:rsidRPr="00E3393E">
        <w:rPr>
          <w:rStyle w:val="hps"/>
          <w:rFonts w:eastAsia="Times New Roman"/>
          <w:lang w:val="es-ES_tradnl"/>
        </w:rPr>
        <w:t>un estudio independiente para cada caso</w:t>
      </w:r>
      <w:r w:rsidRPr="00E3393E">
        <w:rPr>
          <w:lang w:val="es-ES_tradnl"/>
        </w:rPr>
        <w:t xml:space="preserve"> </w:t>
      </w:r>
      <w:r w:rsidRPr="00E3393E">
        <w:rPr>
          <w:rStyle w:val="hps"/>
          <w:rFonts w:eastAsia="Times New Roman"/>
          <w:lang w:val="es-ES_tradnl"/>
        </w:rPr>
        <w:t>concreto.</w:t>
      </w:r>
      <w:r w:rsidRPr="00E3393E">
        <w:rPr>
          <w:lang w:val="es-ES_tradnl"/>
        </w:rPr>
        <w:t xml:space="preserve"> </w:t>
      </w:r>
      <w:r w:rsidRPr="00E3393E">
        <w:rPr>
          <w:rStyle w:val="hps"/>
          <w:rFonts w:eastAsia="Times New Roman"/>
          <w:lang w:val="es-ES_tradnl"/>
        </w:rPr>
        <w:t>Es recomendable reflexionar</w:t>
      </w:r>
      <w:r w:rsidRPr="00E3393E">
        <w:rPr>
          <w:lang w:val="es-ES_tradnl"/>
        </w:rPr>
        <w:t xml:space="preserve"> </w:t>
      </w:r>
      <w:r w:rsidRPr="00E3393E">
        <w:rPr>
          <w:rStyle w:val="hps"/>
          <w:rFonts w:eastAsia="Times New Roman"/>
          <w:lang w:val="es-ES_tradnl"/>
        </w:rPr>
        <w:t>con antelación sobre</w:t>
      </w:r>
      <w:r w:rsidRPr="00E3393E">
        <w:rPr>
          <w:lang w:val="es-ES_tradnl"/>
        </w:rPr>
        <w:t xml:space="preserve"> </w:t>
      </w:r>
      <w:r w:rsidRPr="00E3393E">
        <w:rPr>
          <w:rStyle w:val="hps"/>
          <w:rFonts w:eastAsia="Times New Roman"/>
          <w:lang w:val="es-ES_tradnl"/>
        </w:rPr>
        <w:t>el riesgo hipotético</w:t>
      </w:r>
      <w:r w:rsidRPr="00E3393E">
        <w:rPr>
          <w:lang w:val="es-ES_tradnl"/>
        </w:rPr>
        <w:t xml:space="preserve"> </w:t>
      </w:r>
      <w:r w:rsidRPr="00E3393E">
        <w:rPr>
          <w:rStyle w:val="hps"/>
          <w:rFonts w:eastAsia="Times New Roman"/>
          <w:lang w:val="es-ES_tradnl"/>
        </w:rPr>
        <w:t>de que se produzcan daños graves,</w:t>
      </w:r>
      <w:r w:rsidRPr="00E3393E">
        <w:rPr>
          <w:lang w:val="es-ES_tradnl"/>
        </w:rPr>
        <w:t xml:space="preserve"> a fin de </w:t>
      </w:r>
      <w:r w:rsidRPr="00E3393E">
        <w:rPr>
          <w:rStyle w:val="hps"/>
          <w:rFonts w:eastAsia="Times New Roman"/>
          <w:lang w:val="es-ES_tradnl"/>
        </w:rPr>
        <w:t>anticiparse a</w:t>
      </w:r>
      <w:r w:rsidRPr="00E3393E">
        <w:rPr>
          <w:lang w:val="es-ES_tradnl"/>
        </w:rPr>
        <w:t xml:space="preserve"> </w:t>
      </w:r>
      <w:r w:rsidRPr="00E3393E">
        <w:rPr>
          <w:rStyle w:val="hps"/>
          <w:rFonts w:eastAsia="Times New Roman"/>
          <w:lang w:val="es-ES_tradnl"/>
        </w:rPr>
        <w:t>ellos y</w:t>
      </w:r>
      <w:r w:rsidRPr="00E3393E">
        <w:rPr>
          <w:lang w:val="es-ES_tradnl"/>
        </w:rPr>
        <w:t xml:space="preserve"> </w:t>
      </w:r>
      <w:r w:rsidRPr="00E3393E">
        <w:rPr>
          <w:rStyle w:val="hps"/>
          <w:rFonts w:eastAsia="Times New Roman"/>
          <w:lang w:val="es-ES_tradnl"/>
        </w:rPr>
        <w:t>establecer</w:t>
      </w:r>
      <w:r w:rsidRPr="00E3393E">
        <w:rPr>
          <w:lang w:val="es-ES_tradnl"/>
        </w:rPr>
        <w:t xml:space="preserve"> </w:t>
      </w:r>
      <w:r w:rsidRPr="00E3393E">
        <w:rPr>
          <w:rStyle w:val="hps"/>
          <w:rFonts w:eastAsia="Times New Roman"/>
          <w:lang w:val="es-ES_tradnl"/>
        </w:rPr>
        <w:t>líneas de acción</w:t>
      </w:r>
      <w:r w:rsidRPr="00E3393E">
        <w:rPr>
          <w:lang w:val="es-ES_tradnl"/>
        </w:rPr>
        <w:t xml:space="preserve"> </w:t>
      </w:r>
      <w:r w:rsidRPr="00E3393E">
        <w:rPr>
          <w:rStyle w:val="hps"/>
          <w:rFonts w:eastAsia="Times New Roman"/>
          <w:lang w:val="es-ES_tradnl"/>
        </w:rPr>
        <w:t>preventivas</w:t>
      </w:r>
      <w:r w:rsidRPr="00E3393E">
        <w:rPr>
          <w:lang w:val="es-ES_tradnl"/>
        </w:rPr>
        <w:t xml:space="preserve"> </w:t>
      </w:r>
      <w:r w:rsidRPr="00E3393E">
        <w:rPr>
          <w:rStyle w:val="hps"/>
          <w:rFonts w:eastAsia="Times New Roman"/>
          <w:lang w:val="es-ES_tradnl"/>
        </w:rPr>
        <w:t>que conjuguen</w:t>
      </w:r>
      <w:r w:rsidRPr="00E3393E">
        <w:rPr>
          <w:lang w:val="es-ES_tradnl"/>
        </w:rPr>
        <w:t xml:space="preserve"> </w:t>
      </w:r>
      <w:r w:rsidRPr="00E3393E">
        <w:rPr>
          <w:rStyle w:val="hps"/>
          <w:rFonts w:eastAsia="Times New Roman"/>
          <w:lang w:val="es-ES_tradnl"/>
        </w:rPr>
        <w:t>medidas eficaces y apropiadas</w:t>
      </w:r>
      <w:r w:rsidRPr="00E3393E">
        <w:rPr>
          <w:lang w:val="es-ES_tradnl"/>
        </w:rPr>
        <w:t xml:space="preserve">. En lo que respecta a la prevención, </w:t>
      </w:r>
      <w:r w:rsidRPr="00E3393E">
        <w:rPr>
          <w:rStyle w:val="hps"/>
          <w:rFonts w:eastAsia="Times New Roman"/>
          <w:lang w:val="es-ES_tradnl"/>
        </w:rPr>
        <w:t>el</w:t>
      </w:r>
      <w:r w:rsidRPr="00E3393E">
        <w:rPr>
          <w:lang w:val="es-ES_tradnl"/>
        </w:rPr>
        <w:t xml:space="preserve"> </w:t>
      </w:r>
      <w:r w:rsidRPr="00E3393E">
        <w:rPr>
          <w:rStyle w:val="hps"/>
          <w:rFonts w:eastAsia="Times New Roman"/>
          <w:lang w:val="es-ES_tradnl"/>
        </w:rPr>
        <w:t>objetivo no es</w:t>
      </w:r>
      <w:r w:rsidRPr="00E3393E">
        <w:rPr>
          <w:lang w:val="es-ES_tradnl"/>
        </w:rPr>
        <w:t xml:space="preserve"> </w:t>
      </w:r>
      <w:r w:rsidRPr="00E3393E">
        <w:rPr>
          <w:rStyle w:val="hps"/>
          <w:rFonts w:eastAsia="Times New Roman"/>
          <w:lang w:val="es-ES_tradnl"/>
        </w:rPr>
        <w:t>abusar de la cautela,</w:t>
      </w:r>
      <w:r w:rsidRPr="00E3393E">
        <w:rPr>
          <w:lang w:val="es-ES_tradnl"/>
        </w:rPr>
        <w:t xml:space="preserve"> </w:t>
      </w:r>
      <w:r w:rsidRPr="00E3393E">
        <w:rPr>
          <w:rStyle w:val="hps"/>
          <w:rFonts w:eastAsia="Times New Roman"/>
          <w:lang w:val="es-ES_tradnl"/>
        </w:rPr>
        <w:t>sino</w:t>
      </w:r>
      <w:r w:rsidRPr="00E3393E">
        <w:rPr>
          <w:lang w:val="es-ES_tradnl"/>
        </w:rPr>
        <w:t xml:space="preserve"> </w:t>
      </w:r>
      <w:r w:rsidRPr="00E3393E">
        <w:rPr>
          <w:rStyle w:val="hps"/>
          <w:rFonts w:eastAsia="Times New Roman"/>
          <w:lang w:val="es-ES_tradnl"/>
        </w:rPr>
        <w:t>evaluar</w:t>
      </w:r>
      <w:r w:rsidRPr="00E3393E">
        <w:rPr>
          <w:lang w:val="es-ES_tradnl"/>
        </w:rPr>
        <w:t xml:space="preserve"> </w:t>
      </w:r>
      <w:r w:rsidRPr="00E3393E">
        <w:rPr>
          <w:rStyle w:val="hps"/>
          <w:rFonts w:eastAsia="Times New Roman"/>
          <w:lang w:val="es-ES_tradnl"/>
        </w:rPr>
        <w:t>los riesgos</w:t>
      </w:r>
      <w:r w:rsidRPr="00E3393E">
        <w:rPr>
          <w:lang w:val="es-ES_tradnl"/>
        </w:rPr>
        <w:t xml:space="preserve"> </w:t>
      </w:r>
      <w:r w:rsidRPr="00E3393E">
        <w:rPr>
          <w:rStyle w:val="hps"/>
          <w:rFonts w:eastAsia="Times New Roman"/>
          <w:lang w:val="es-ES_tradnl"/>
        </w:rPr>
        <w:t>en una etapa temprana</w:t>
      </w:r>
      <w:r w:rsidRPr="00E3393E">
        <w:rPr>
          <w:lang w:val="es-ES_tradnl"/>
        </w:rPr>
        <w:t>.</w:t>
      </w:r>
    </w:p>
    <w:p w:rsidR="00181C1A" w:rsidRPr="00E3393E" w:rsidRDefault="00181C1A" w:rsidP="00E3393E">
      <w:pPr>
        <w:rPr>
          <w:lang w:val="es-ES_tradnl"/>
        </w:rPr>
      </w:pPr>
      <w:r w:rsidRPr="00E3393E">
        <w:rPr>
          <w:lang w:val="es-ES_tradnl"/>
        </w:rPr>
        <w:t>4.4</w:t>
      </w:r>
      <w:r w:rsidRPr="00E3393E">
        <w:rPr>
          <w:lang w:val="es-ES_tradnl"/>
        </w:rPr>
        <w:tab/>
        <w:t>Ante esta situación, pueden adoptarse</w:t>
      </w:r>
      <w:r w:rsidRPr="00E3393E">
        <w:rPr>
          <w:rStyle w:val="hps"/>
          <w:rFonts w:eastAsia="Times New Roman"/>
          <w:lang w:val="es-ES_tradnl"/>
        </w:rPr>
        <w:t xml:space="preserve"> dos</w:t>
      </w:r>
      <w:r w:rsidRPr="00E3393E">
        <w:rPr>
          <w:lang w:val="es-ES_tradnl"/>
        </w:rPr>
        <w:t xml:space="preserve"> </w:t>
      </w:r>
      <w:r w:rsidRPr="00E3393E">
        <w:rPr>
          <w:rStyle w:val="hps"/>
          <w:rFonts w:eastAsia="Times New Roman"/>
          <w:lang w:val="es-ES_tradnl"/>
        </w:rPr>
        <w:t>actitudes opuestas</w:t>
      </w:r>
      <w:r w:rsidRPr="00E3393E">
        <w:rPr>
          <w:lang w:val="es-ES_tradnl"/>
        </w:rPr>
        <w:t xml:space="preserve">: la búsqueda proactiva </w:t>
      </w:r>
      <w:r w:rsidRPr="00E3393E">
        <w:rPr>
          <w:rStyle w:val="hps"/>
          <w:rFonts w:eastAsia="Times New Roman"/>
          <w:lang w:val="es-ES_tradnl"/>
        </w:rPr>
        <w:t>de la certeza</w:t>
      </w:r>
      <w:r w:rsidRPr="00E3393E">
        <w:rPr>
          <w:lang w:val="es-ES_tradnl"/>
        </w:rPr>
        <w:t xml:space="preserve"> relativa a </w:t>
      </w:r>
      <w:r w:rsidRPr="00E3393E">
        <w:rPr>
          <w:rStyle w:val="hps"/>
          <w:rFonts w:eastAsia="Times New Roman"/>
          <w:lang w:val="es-ES_tradnl"/>
        </w:rPr>
        <w:t>la existencia</w:t>
      </w:r>
      <w:r w:rsidRPr="00E3393E">
        <w:rPr>
          <w:lang w:val="es-ES_tradnl"/>
        </w:rPr>
        <w:t xml:space="preserve"> </w:t>
      </w:r>
      <w:r w:rsidRPr="00E3393E">
        <w:rPr>
          <w:rStyle w:val="hps"/>
          <w:rFonts w:eastAsia="Times New Roman"/>
          <w:lang w:val="es-ES_tradnl"/>
        </w:rPr>
        <w:t>y la magnitud</w:t>
      </w:r>
      <w:r w:rsidRPr="00E3393E">
        <w:rPr>
          <w:lang w:val="es-ES_tradnl"/>
        </w:rPr>
        <w:t xml:space="preserve"> </w:t>
      </w:r>
      <w:r w:rsidRPr="00E3393E">
        <w:rPr>
          <w:rStyle w:val="hps"/>
          <w:rFonts w:eastAsia="Times New Roman"/>
          <w:lang w:val="es-ES_tradnl"/>
        </w:rPr>
        <w:t>del riesgo</w:t>
      </w:r>
      <w:r w:rsidRPr="00E3393E">
        <w:rPr>
          <w:lang w:val="es-ES_tradnl"/>
        </w:rPr>
        <w:t xml:space="preserve">, </w:t>
      </w:r>
      <w:r w:rsidRPr="00E3393E">
        <w:rPr>
          <w:rStyle w:val="hps"/>
          <w:rFonts w:eastAsia="Times New Roman"/>
          <w:lang w:val="es-ES_tradnl"/>
        </w:rPr>
        <w:t>o la ignorancia</w:t>
      </w:r>
      <w:r w:rsidRPr="00E3393E">
        <w:rPr>
          <w:lang w:val="es-ES_tradnl"/>
        </w:rPr>
        <w:t xml:space="preserve"> </w:t>
      </w:r>
      <w:r w:rsidRPr="00E3393E">
        <w:rPr>
          <w:rStyle w:val="hps"/>
          <w:rFonts w:eastAsia="Times New Roman"/>
          <w:lang w:val="es-ES_tradnl"/>
        </w:rPr>
        <w:t>de las mismas</w:t>
      </w:r>
      <w:r w:rsidRPr="00E3393E">
        <w:rPr>
          <w:lang w:val="es-ES_tradnl"/>
        </w:rPr>
        <w:t xml:space="preserve">. Evidentemente, la </w:t>
      </w:r>
      <w:r w:rsidRPr="00E3393E">
        <w:rPr>
          <w:rStyle w:val="hps"/>
          <w:rFonts w:eastAsia="Times New Roman"/>
          <w:lang w:val="es-ES_tradnl"/>
        </w:rPr>
        <w:t>segunda es perjudicial para la</w:t>
      </w:r>
      <w:r w:rsidRPr="00E3393E">
        <w:rPr>
          <w:lang w:val="es-ES_tradnl"/>
        </w:rPr>
        <w:t xml:space="preserve"> </w:t>
      </w:r>
      <w:r w:rsidRPr="00E3393E">
        <w:rPr>
          <w:rStyle w:val="hps"/>
          <w:rFonts w:eastAsia="Times New Roman"/>
          <w:lang w:val="es-ES_tradnl"/>
        </w:rPr>
        <w:t>gestión de los riesgos</w:t>
      </w:r>
      <w:r w:rsidRPr="00E3393E">
        <w:rPr>
          <w:lang w:val="es-ES_tradnl"/>
        </w:rPr>
        <w:t xml:space="preserve">, sobre todo, teniendo en cuenta que existen </w:t>
      </w:r>
      <w:r w:rsidRPr="00E3393E">
        <w:rPr>
          <w:rStyle w:val="hps"/>
          <w:rFonts w:eastAsia="Times New Roman"/>
          <w:lang w:val="es-ES_tradnl"/>
        </w:rPr>
        <w:t>reglas</w:t>
      </w:r>
      <w:r w:rsidRPr="00E3393E">
        <w:rPr>
          <w:lang w:val="es-ES_tradnl"/>
        </w:rPr>
        <w:t xml:space="preserve"> </w:t>
      </w:r>
      <w:r w:rsidRPr="00E3393E">
        <w:rPr>
          <w:rStyle w:val="hps"/>
          <w:rFonts w:eastAsia="Times New Roman"/>
          <w:lang w:val="es-ES_tradnl"/>
        </w:rPr>
        <w:t>comunes a</w:t>
      </w:r>
      <w:r w:rsidRPr="00E3393E">
        <w:rPr>
          <w:lang w:val="es-ES_tradnl"/>
        </w:rPr>
        <w:t xml:space="preserve"> </w:t>
      </w:r>
      <w:r w:rsidRPr="00E3393E">
        <w:rPr>
          <w:rStyle w:val="hps"/>
          <w:rFonts w:eastAsia="Times New Roman"/>
          <w:lang w:val="es-ES_tradnl"/>
        </w:rPr>
        <w:t>los principios de precaución</w:t>
      </w:r>
      <w:r w:rsidRPr="00E3393E">
        <w:rPr>
          <w:lang w:val="es-ES_tradnl"/>
        </w:rPr>
        <w:t xml:space="preserve"> </w:t>
      </w:r>
      <w:r w:rsidRPr="00E3393E">
        <w:rPr>
          <w:rStyle w:val="hps"/>
          <w:rFonts w:eastAsia="Times New Roman"/>
          <w:lang w:val="es-ES_tradnl"/>
        </w:rPr>
        <w:t>y prevención que consisten en</w:t>
      </w:r>
      <w:r w:rsidRPr="00E3393E">
        <w:rPr>
          <w:lang w:val="es-ES_tradnl"/>
        </w:rPr>
        <w:t xml:space="preserve"> </w:t>
      </w:r>
      <w:r w:rsidRPr="00E3393E">
        <w:rPr>
          <w:rStyle w:val="hps"/>
          <w:rFonts w:eastAsia="Times New Roman"/>
          <w:lang w:val="es-ES_tradnl"/>
        </w:rPr>
        <w:t>identificar,</w:t>
      </w:r>
      <w:r w:rsidRPr="00E3393E">
        <w:rPr>
          <w:lang w:val="es-ES_tradnl"/>
        </w:rPr>
        <w:t xml:space="preserve"> </w:t>
      </w:r>
      <w:r w:rsidRPr="00E3393E">
        <w:rPr>
          <w:rStyle w:val="hps"/>
          <w:rFonts w:eastAsia="Times New Roman"/>
          <w:lang w:val="es-ES_tradnl"/>
        </w:rPr>
        <w:t>evaluar y clasificar</w:t>
      </w:r>
      <w:r w:rsidRPr="00E3393E">
        <w:rPr>
          <w:lang w:val="es-ES_tradnl"/>
        </w:rPr>
        <w:t xml:space="preserve"> </w:t>
      </w:r>
      <w:r w:rsidRPr="00E3393E">
        <w:rPr>
          <w:rStyle w:val="hps"/>
          <w:rFonts w:eastAsia="Times New Roman"/>
          <w:lang w:val="es-ES_tradnl"/>
        </w:rPr>
        <w:t>el riesgo</w:t>
      </w:r>
      <w:r w:rsidRPr="00E3393E">
        <w:rPr>
          <w:lang w:val="es-ES_tradnl"/>
        </w:rPr>
        <w:t xml:space="preserve">. </w:t>
      </w:r>
      <w:r w:rsidRPr="00E3393E">
        <w:rPr>
          <w:rStyle w:val="hps"/>
          <w:rFonts w:eastAsia="Times New Roman"/>
          <w:lang w:val="es-ES_tradnl"/>
        </w:rPr>
        <w:t>Ante la falta de</w:t>
      </w:r>
      <w:r w:rsidRPr="00E3393E">
        <w:rPr>
          <w:lang w:val="es-ES_tradnl"/>
        </w:rPr>
        <w:t xml:space="preserve"> </w:t>
      </w:r>
      <w:r w:rsidRPr="00E3393E">
        <w:rPr>
          <w:rStyle w:val="hps"/>
          <w:rFonts w:eastAsia="Times New Roman"/>
          <w:lang w:val="es-ES_tradnl"/>
        </w:rPr>
        <w:t>certeza referente a</w:t>
      </w:r>
      <w:r w:rsidRPr="00E3393E">
        <w:rPr>
          <w:lang w:val="es-ES_tradnl"/>
        </w:rPr>
        <w:t xml:space="preserve"> </w:t>
      </w:r>
      <w:r w:rsidRPr="00E3393E">
        <w:rPr>
          <w:rStyle w:val="hps"/>
          <w:rFonts w:eastAsia="Times New Roman"/>
          <w:lang w:val="es-ES_tradnl"/>
        </w:rPr>
        <w:t>los fenómenos básicos</w:t>
      </w:r>
      <w:r w:rsidRPr="00E3393E">
        <w:rPr>
          <w:lang w:val="es-ES_tradnl"/>
        </w:rPr>
        <w:t xml:space="preserve"> </w:t>
      </w:r>
      <w:r w:rsidRPr="00E3393E">
        <w:rPr>
          <w:rStyle w:val="hps"/>
          <w:rFonts w:eastAsia="Times New Roman"/>
          <w:lang w:val="es-ES_tradnl"/>
        </w:rPr>
        <w:t>y a la existencia</w:t>
      </w:r>
      <w:r w:rsidRPr="00E3393E">
        <w:rPr>
          <w:lang w:val="es-ES_tradnl"/>
        </w:rPr>
        <w:t xml:space="preserve"> </w:t>
      </w:r>
      <w:r w:rsidRPr="00E3393E">
        <w:rPr>
          <w:rStyle w:val="hps"/>
          <w:rFonts w:eastAsia="Times New Roman"/>
          <w:lang w:val="es-ES_tradnl"/>
        </w:rPr>
        <w:t>del peligro</w:t>
      </w:r>
      <w:r w:rsidRPr="00E3393E">
        <w:rPr>
          <w:lang w:val="es-ES_tradnl"/>
        </w:rPr>
        <w:t xml:space="preserve">, el riesgo es </w:t>
      </w:r>
      <w:r w:rsidRPr="00E3393E">
        <w:rPr>
          <w:rStyle w:val="hps"/>
          <w:rFonts w:eastAsia="Times New Roman"/>
          <w:lang w:val="es-ES_tradnl"/>
        </w:rPr>
        <w:t>hipotético.</w:t>
      </w:r>
      <w:r w:rsidRPr="00E3393E">
        <w:rPr>
          <w:lang w:val="es-ES_tradnl"/>
        </w:rPr>
        <w:t xml:space="preserve"> </w:t>
      </w:r>
      <w:r w:rsidRPr="00E3393E">
        <w:rPr>
          <w:rStyle w:val="hps"/>
          <w:rFonts w:eastAsia="Times New Roman"/>
          <w:lang w:val="es-ES_tradnl"/>
        </w:rPr>
        <w:t>Sin embargo</w:t>
      </w:r>
      <w:r w:rsidRPr="00E3393E">
        <w:rPr>
          <w:lang w:val="es-ES_tradnl"/>
        </w:rPr>
        <w:t xml:space="preserve">, el hecho de que este no se haya confirmado no implica </w:t>
      </w:r>
      <w:r w:rsidRPr="00E3393E">
        <w:rPr>
          <w:rStyle w:val="hps"/>
          <w:rFonts w:eastAsia="Times New Roman"/>
          <w:lang w:val="es-ES_tradnl"/>
        </w:rPr>
        <w:t>que pueda considerarse como</w:t>
      </w:r>
      <w:r w:rsidRPr="00E3393E">
        <w:rPr>
          <w:lang w:val="es-ES_tradnl"/>
        </w:rPr>
        <w:t xml:space="preserve"> </w:t>
      </w:r>
      <w:r w:rsidRPr="00E3393E">
        <w:rPr>
          <w:rStyle w:val="hps"/>
          <w:rFonts w:eastAsia="Times New Roman"/>
          <w:lang w:val="es-ES_tradnl"/>
        </w:rPr>
        <w:t>altamente improbable</w:t>
      </w:r>
      <w:r w:rsidRPr="00E3393E">
        <w:rPr>
          <w:lang w:val="es-ES_tradnl"/>
        </w:rPr>
        <w:t xml:space="preserve"> </w:t>
      </w:r>
      <w:r w:rsidRPr="00E3393E">
        <w:rPr>
          <w:rStyle w:val="hps"/>
          <w:rFonts w:eastAsia="Times New Roman"/>
          <w:lang w:val="es-ES_tradnl"/>
        </w:rPr>
        <w:t>o incluso</w:t>
      </w:r>
      <w:r w:rsidRPr="00E3393E">
        <w:rPr>
          <w:lang w:val="es-ES_tradnl"/>
        </w:rPr>
        <w:t xml:space="preserve"> </w:t>
      </w:r>
      <w:r w:rsidRPr="00E3393E">
        <w:rPr>
          <w:rStyle w:val="hps"/>
          <w:rFonts w:eastAsia="Times New Roman"/>
          <w:lang w:val="es-ES_tradnl"/>
        </w:rPr>
        <w:t>insignificante</w:t>
      </w:r>
      <w:r w:rsidRPr="00E3393E">
        <w:rPr>
          <w:lang w:val="es-ES_tradnl"/>
        </w:rPr>
        <w:t xml:space="preserve">. En este caso, se trata de la posibilidad identificada de que exista un riesgo </w:t>
      </w:r>
      <w:r w:rsidRPr="00E3393E">
        <w:rPr>
          <w:rStyle w:val="hps"/>
          <w:rFonts w:eastAsia="Times New Roman"/>
          <w:lang w:val="es-ES_tradnl"/>
        </w:rPr>
        <w:t>cuya probabilidad</w:t>
      </w:r>
      <w:r w:rsidRPr="00E3393E">
        <w:rPr>
          <w:lang w:val="es-ES_tradnl"/>
        </w:rPr>
        <w:t xml:space="preserve"> </w:t>
      </w:r>
      <w:r w:rsidRPr="00E3393E">
        <w:rPr>
          <w:rStyle w:val="hps"/>
          <w:rFonts w:eastAsia="Times New Roman"/>
          <w:lang w:val="es-ES_tradnl"/>
        </w:rPr>
        <w:t>exacta</w:t>
      </w:r>
      <w:r w:rsidRPr="00E3393E">
        <w:rPr>
          <w:lang w:val="es-ES_tradnl"/>
        </w:rPr>
        <w:t xml:space="preserve"> </w:t>
      </w:r>
      <w:r w:rsidRPr="00E3393E">
        <w:rPr>
          <w:rStyle w:val="hps"/>
          <w:rFonts w:eastAsia="Times New Roman"/>
          <w:lang w:val="es-ES_tradnl"/>
        </w:rPr>
        <w:t>está por determinar</w:t>
      </w:r>
      <w:r w:rsidRPr="00E3393E">
        <w:rPr>
          <w:lang w:val="es-ES_tradnl"/>
        </w:rPr>
        <w:t xml:space="preserve">. </w:t>
      </w:r>
      <w:r w:rsidRPr="00E3393E">
        <w:rPr>
          <w:rStyle w:val="hps"/>
          <w:rFonts w:eastAsia="Times New Roman"/>
          <w:lang w:val="es-ES_tradnl"/>
        </w:rPr>
        <w:t>En consecuencia, el</w:t>
      </w:r>
      <w:r w:rsidRPr="00E3393E">
        <w:rPr>
          <w:lang w:val="es-ES_tradnl"/>
        </w:rPr>
        <w:t xml:space="preserve"> </w:t>
      </w:r>
      <w:r w:rsidRPr="00E3393E">
        <w:rPr>
          <w:rStyle w:val="hps"/>
          <w:rFonts w:eastAsia="Times New Roman"/>
          <w:lang w:val="es-ES_tradnl"/>
        </w:rPr>
        <w:t>alcance del</w:t>
      </w:r>
      <w:r w:rsidRPr="00E3393E">
        <w:rPr>
          <w:lang w:val="es-ES_tradnl"/>
        </w:rPr>
        <w:t xml:space="preserve"> </w:t>
      </w:r>
      <w:r w:rsidRPr="00E3393E">
        <w:rPr>
          <w:rStyle w:val="hps"/>
          <w:rFonts w:eastAsia="Times New Roman"/>
          <w:lang w:val="es-ES_tradnl"/>
        </w:rPr>
        <w:t>principio de precaución es</w:t>
      </w:r>
      <w:r w:rsidRPr="00E3393E">
        <w:rPr>
          <w:lang w:val="es-ES_tradnl"/>
        </w:rPr>
        <w:t xml:space="preserve">, </w:t>
      </w:r>
      <w:r w:rsidRPr="00E3393E">
        <w:rPr>
          <w:rStyle w:val="hps"/>
          <w:rFonts w:eastAsia="Times New Roman"/>
          <w:lang w:val="es-ES_tradnl"/>
        </w:rPr>
        <w:t>en teoría,</w:t>
      </w:r>
      <w:r w:rsidRPr="00E3393E">
        <w:rPr>
          <w:lang w:val="es-ES_tradnl"/>
        </w:rPr>
        <w:t xml:space="preserve"> </w:t>
      </w:r>
      <w:r w:rsidRPr="00E3393E">
        <w:rPr>
          <w:rStyle w:val="hps"/>
          <w:rFonts w:eastAsia="Times New Roman"/>
          <w:lang w:val="es-ES_tradnl"/>
        </w:rPr>
        <w:t>potencialmente ilimitado</w:t>
      </w:r>
      <w:r w:rsidRPr="00E3393E">
        <w:rPr>
          <w:lang w:val="es-ES_tradnl"/>
        </w:rPr>
        <w:t>.</w:t>
      </w:r>
    </w:p>
    <w:p w:rsidR="00181C1A" w:rsidRPr="00D15FE4" w:rsidRDefault="00181C1A" w:rsidP="00E3393E">
      <w:pPr>
        <w:rPr>
          <w:lang w:val="es-ES_tradnl"/>
        </w:rPr>
      </w:pPr>
      <w:r w:rsidRPr="00E3393E">
        <w:rPr>
          <w:lang w:val="es-ES_tradnl"/>
        </w:rPr>
        <w:t>4.5</w:t>
      </w:r>
      <w:r w:rsidRPr="00E3393E">
        <w:rPr>
          <w:lang w:val="es-ES_tradnl"/>
        </w:rPr>
        <w:tab/>
        <w:t xml:space="preserve">El principio de precaución se ha establecido para fundamentar la intervención de las autoridades en materia de protección de la salud frente a los peligros plausibles, graves e irreversibles asociados a la </w:t>
      </w:r>
      <w:r w:rsidRPr="00E3393E">
        <w:rPr>
          <w:lang w:val="es-ES_tradnl"/>
        </w:rPr>
        <w:lastRenderedPageBreak/>
        <w:t>exposición actual y futura, y, en caso de que la incertidumbre</w:t>
      </w:r>
      <w:r w:rsidRPr="00D15FE4">
        <w:rPr>
          <w:lang w:val="es-ES_tradnl"/>
        </w:rPr>
        <w:t xml:space="preserve"> prevalezca, justificar una falta de conocimiento científico. La historia demuestra que el hecho de adoptar medidas de precaución apropiadas tan pronto como se detectan las primeras señales de alarma ha permitido evitar los costes relacionados con el amianto, el tabaco, los PCB y los rayos X, entre otros. Con el fin de salvaguardar la integridad científica, los responsables de la toma de decisiones han de tener en cuenta los partidismos que pueden surgir cuando se investigan los peligros reales en el sector de la salud ambiental, pues cualquiera de ellos puede poner en riesgo tanto la salud de las personas como el medio ambiente.</w:t>
      </w:r>
    </w:p>
    <w:p w:rsidR="00181C1A" w:rsidRPr="000A6476" w:rsidRDefault="00181C1A" w:rsidP="000A6476">
      <w:pPr>
        <w:rPr>
          <w:bCs/>
          <w:lang w:val="es-ES_tradnl"/>
        </w:rPr>
      </w:pPr>
      <w:r w:rsidRPr="000A6476">
        <w:rPr>
          <w:bCs/>
          <w:lang w:val="es-ES_tradnl"/>
        </w:rPr>
        <w:t>4.6</w:t>
      </w:r>
      <w:r w:rsidRPr="000A6476">
        <w:rPr>
          <w:bCs/>
          <w:lang w:val="es-ES_tradnl"/>
        </w:rPr>
        <w:tab/>
        <w:t>El principio de precaución se basa en distintos niveles de verificación (o valores de prueba) para justificar la posible reducción de los grados de exposición. La determinación del nivel de verificación se lleva a cabo en función de diversos factores, tales como: la naturaleza y la evaluación de los costos en los que se incurriría si se adoptaran medidas o no se adoptaran; el beneficio derivado del producto o de la sustancia en cuestión; y la disponibilidad de alternativas, entre otros. Esperar a que se alcancen altos niveles de verificación científica de la causalidad o del conocimiento de los mecanismos implicados, puede resultar muy costoso en términos de indemnizaciones, cuidados sanitarios, pérdidas de empleos y deterioro de la credibilidad de la comunidad científica. El nivel de verificación seleccionado para justificar la acción no implica ningún tipo de medida particular, pues esta decisión depende de elementos como el coste de las diferentes operaciones, el capital o el origen del riesgo (es decir, voluntario o impuesto). Las distintas partes interesadas han de involucrarse con objeto de contribuir a la evaluación de los problemas relativos a la gestión del riesgo, así como a la selección de los niveles y los tipos de acción apropiados para reducir la exposición.</w:t>
      </w:r>
    </w:p>
    <w:p w:rsidR="00181C1A" w:rsidRPr="000A6476" w:rsidRDefault="00181C1A" w:rsidP="000A6476">
      <w:pPr>
        <w:rPr>
          <w:bCs/>
          <w:lang w:val="es-ES_tradnl"/>
        </w:rPr>
      </w:pPr>
      <w:r w:rsidRPr="000A6476">
        <w:rPr>
          <w:bCs/>
          <w:lang w:val="es-ES_tradnl"/>
        </w:rPr>
        <w:t>4.7</w:t>
      </w:r>
      <w:r w:rsidRPr="000A6476">
        <w:rPr>
          <w:bCs/>
          <w:lang w:val="es-ES_tradnl"/>
        </w:rPr>
        <w:tab/>
        <w:t>La Conferencia de las Naciones Unidas sobre el Medio Humano, celebrada en Estocolmo en 1972, estableció los primeros derechos y obligaciones en materia de protección del medio ambiente. En ese sentido, su Principio 1 establece:</w:t>
      </w:r>
    </w:p>
    <w:p w:rsidR="00181C1A" w:rsidRPr="000807F7" w:rsidRDefault="00181C1A" w:rsidP="00FD027D">
      <w:pPr>
        <w:pStyle w:val="Enumlevel1"/>
        <w:numPr>
          <w:ilvl w:val="0"/>
          <w:numId w:val="13"/>
        </w:numPr>
        <w:ind w:left="567" w:hanging="567"/>
        <w:rPr>
          <w:lang w:val="es-ES_tradnl"/>
        </w:rPr>
      </w:pPr>
      <w:r w:rsidRPr="000807F7">
        <w:rPr>
          <w:lang w:val="es-ES_tradnl"/>
        </w:rPr>
        <w:t>“El hombre tiene el derecho fundamental a la libertad, la igualdad y el disfrute de unas condiciones de vida adecuadas en un medio de calidad que le permita llevar una vida digna y gozar de bienestar, y tiene la solemne obligación de proteger y mejorar dicho medio para las generaciones presentes y futuras”.</w:t>
      </w:r>
    </w:p>
    <w:p w:rsidR="00181C1A" w:rsidRPr="000807F7" w:rsidRDefault="00181C1A" w:rsidP="00FD027D">
      <w:pPr>
        <w:pStyle w:val="Enumlevel1"/>
        <w:numPr>
          <w:ilvl w:val="0"/>
          <w:numId w:val="13"/>
        </w:numPr>
        <w:ind w:left="567" w:hanging="567"/>
        <w:rPr>
          <w:lang w:val="es-ES_tradnl"/>
        </w:rPr>
      </w:pPr>
      <w:r w:rsidRPr="00D15FE4">
        <w:rPr>
          <w:lang w:val="es-ES_tradnl"/>
        </w:rPr>
        <w:t xml:space="preserve">En el marco del Sistema de las Naciones Unidas, el principio de precaución fue formulado por primera vez en 1992, en el Principio 15 de la </w:t>
      </w:r>
      <w:r w:rsidRPr="000807F7">
        <w:rPr>
          <w:lang w:val="es-ES_tradnl"/>
        </w:rPr>
        <w:t xml:space="preserve">Declaración de Río sobre el Medio Ambiente y el Desarrollo, como sigue: “Cuando haya peligro de daño grave o irreversible, la falta de certeza científica absoluta no deberá utilizarse como razón para postergar la adopción de medidas eficaces en función de los costos para impedir la degradación del medio ambiente”. Este principio viene asimismo recogido en la Convención Marco de las Naciones Unidas sobre el Cambio Climático </w:t>
      </w:r>
      <w:r w:rsidRPr="00D15FE4">
        <w:rPr>
          <w:lang w:val="es-ES_tradnl"/>
        </w:rPr>
        <w:t>(UNFCCC, 1994) y su Protocolo de Kyoto (1997).</w:t>
      </w:r>
    </w:p>
    <w:p w:rsidR="00181C1A" w:rsidRPr="000807F7" w:rsidRDefault="00181C1A" w:rsidP="000807F7">
      <w:pPr>
        <w:rPr>
          <w:lang w:val="es-ES_tradnl"/>
        </w:rPr>
      </w:pPr>
      <w:r w:rsidRPr="000807F7">
        <w:rPr>
          <w:lang w:val="es-ES_tradnl"/>
        </w:rPr>
        <w:t>4.8</w:t>
      </w:r>
      <w:r w:rsidRPr="000807F7">
        <w:rPr>
          <w:lang w:val="es-ES_tradnl"/>
        </w:rPr>
        <w:tab/>
        <w:t>El principio de precaución está consagrado en:</w:t>
      </w:r>
    </w:p>
    <w:p w:rsidR="00181C1A" w:rsidRPr="00574A00" w:rsidRDefault="00181C1A" w:rsidP="000807F7">
      <w:pPr>
        <w:pStyle w:val="Enumlevel1"/>
        <w:rPr>
          <w:lang w:val="es-ES_tradnl"/>
        </w:rPr>
      </w:pPr>
      <w:r w:rsidRPr="00574A00">
        <w:rPr>
          <w:lang w:val="es-ES_tradnl"/>
        </w:rPr>
        <w:t>a)</w:t>
      </w:r>
      <w:r w:rsidRPr="00574A00">
        <w:rPr>
          <w:lang w:val="es-ES_tradnl"/>
        </w:rPr>
        <w:tab/>
        <w:t>el Artículo 5.7 del Acuerdo sobre la aplicación de medidas sanitarias y fitosanitarias de la OMC (Acuerdo MSF) de 1994, el cual permite explícitamente la adopción provisional de medidas cuando un gobierno considere que los testimonios científicos pertinentes son insuficientes para tomar una decisión final sobre la seguridad de un producto o un proceso; y</w:t>
      </w:r>
    </w:p>
    <w:p w:rsidR="00181C1A" w:rsidRPr="00574A00" w:rsidRDefault="00181C1A" w:rsidP="000807F7">
      <w:pPr>
        <w:pStyle w:val="Enumlevel1"/>
        <w:rPr>
          <w:lang w:val="es-ES_tradnl"/>
        </w:rPr>
      </w:pPr>
      <w:r w:rsidRPr="00574A00">
        <w:rPr>
          <w:lang w:val="es-ES_tradnl"/>
        </w:rPr>
        <w:t>b)</w:t>
      </w:r>
      <w:r w:rsidRPr="00574A00">
        <w:rPr>
          <w:lang w:val="es-ES_tradnl"/>
        </w:rPr>
        <w:tab/>
        <w:t>el Protocolo sobre Seguridad de la Biotecnología aprobado en Montreal, en enero de 2000. De hecho, la introducción explícita de este principio en los artículos de carácter operativo del Protocolo sobre Seguridad de la Biotecnología forma parte de un proceso más amplio destinado a darle forma en el marco jurídico.</w:t>
      </w:r>
    </w:p>
    <w:p w:rsidR="00181C1A" w:rsidRPr="00D15FE4" w:rsidRDefault="00181C1A" w:rsidP="000807F7">
      <w:pPr>
        <w:rPr>
          <w:lang w:val="es-ES_tradnl"/>
        </w:rPr>
      </w:pPr>
      <w:r w:rsidRPr="00D15FE4">
        <w:rPr>
          <w:u w:val="single"/>
          <w:lang w:val="es-ES_tradnl"/>
        </w:rPr>
        <w:t>Nota</w:t>
      </w:r>
      <w:r w:rsidRPr="00D15FE4">
        <w:rPr>
          <w:lang w:val="es-ES_tradnl"/>
        </w:rPr>
        <w:t xml:space="preserve">: </w:t>
      </w:r>
      <w:r w:rsidRPr="00D15FE4">
        <w:rPr>
          <w:rStyle w:val="hps"/>
          <w:rFonts w:eastAsia="Times New Roman"/>
          <w:lang w:val="es-ES_tradnl"/>
        </w:rPr>
        <w:t>El principio de precaución</w:t>
      </w:r>
      <w:r w:rsidRPr="00D15FE4">
        <w:rPr>
          <w:rStyle w:val="longtext"/>
          <w:rFonts w:eastAsia="Times New Roman"/>
          <w:lang w:val="es-ES_tradnl"/>
        </w:rPr>
        <w:t xml:space="preserve"> </w:t>
      </w:r>
      <w:r w:rsidRPr="00D15FE4">
        <w:rPr>
          <w:rStyle w:val="hps"/>
          <w:rFonts w:eastAsia="Times New Roman"/>
          <w:lang w:val="es-ES_tradnl"/>
        </w:rPr>
        <w:t>no</w:t>
      </w:r>
      <w:r w:rsidRPr="00D15FE4">
        <w:rPr>
          <w:rStyle w:val="longtext"/>
          <w:rFonts w:eastAsia="Times New Roman"/>
          <w:lang w:val="es-ES_tradnl"/>
        </w:rPr>
        <w:t xml:space="preserve"> </w:t>
      </w:r>
      <w:r w:rsidRPr="00D15FE4">
        <w:rPr>
          <w:rStyle w:val="hps"/>
          <w:rFonts w:eastAsia="Times New Roman"/>
          <w:lang w:val="es-ES_tradnl"/>
        </w:rPr>
        <w:t>ha</w:t>
      </w:r>
      <w:r w:rsidRPr="00D15FE4">
        <w:rPr>
          <w:rStyle w:val="longtext"/>
          <w:rFonts w:eastAsia="Times New Roman"/>
          <w:lang w:val="es-ES_tradnl"/>
        </w:rPr>
        <w:t xml:space="preserve"> </w:t>
      </w:r>
      <w:r w:rsidRPr="00D15FE4">
        <w:rPr>
          <w:rStyle w:val="hps"/>
          <w:rFonts w:eastAsia="Times New Roman"/>
          <w:lang w:val="es-ES_tradnl"/>
        </w:rPr>
        <w:t>sido definido claramente en</w:t>
      </w:r>
      <w:r w:rsidRPr="00D15FE4">
        <w:rPr>
          <w:rStyle w:val="longtext"/>
          <w:rFonts w:eastAsia="Times New Roman"/>
          <w:lang w:val="es-ES_tradnl"/>
        </w:rPr>
        <w:t xml:space="preserve"> </w:t>
      </w:r>
      <w:r w:rsidRPr="00D15FE4">
        <w:rPr>
          <w:rStyle w:val="hps"/>
          <w:rFonts w:eastAsia="Times New Roman"/>
          <w:lang w:val="es-ES_tradnl"/>
        </w:rPr>
        <w:t>los</w:t>
      </w:r>
      <w:r w:rsidRPr="00D15FE4">
        <w:rPr>
          <w:rStyle w:val="longtext"/>
          <w:rFonts w:eastAsia="Times New Roman"/>
          <w:lang w:val="es-ES_tradnl"/>
        </w:rPr>
        <w:t xml:space="preserve"> </w:t>
      </w:r>
      <w:r w:rsidRPr="00D15FE4">
        <w:rPr>
          <w:rStyle w:val="hps"/>
          <w:rFonts w:eastAsia="Times New Roman"/>
          <w:lang w:val="es-ES_tradnl"/>
        </w:rPr>
        <w:t>Acuerdos de la OMC</w:t>
      </w:r>
      <w:r w:rsidRPr="00D15FE4">
        <w:rPr>
          <w:rStyle w:val="longtext"/>
          <w:rFonts w:eastAsia="Times New Roman"/>
          <w:lang w:val="es-ES_tradnl"/>
        </w:rPr>
        <w:t xml:space="preserve">. </w:t>
      </w:r>
      <w:r w:rsidRPr="00D15FE4">
        <w:rPr>
          <w:rStyle w:val="hps"/>
          <w:rFonts w:eastAsia="Times New Roman"/>
          <w:lang w:val="es-ES_tradnl"/>
        </w:rPr>
        <w:t>El Órgano de Solución</w:t>
      </w:r>
      <w:r w:rsidRPr="00D15FE4">
        <w:rPr>
          <w:rStyle w:val="longtext"/>
          <w:rFonts w:eastAsia="Times New Roman"/>
          <w:lang w:val="es-ES_tradnl"/>
        </w:rPr>
        <w:t xml:space="preserve"> </w:t>
      </w:r>
      <w:r w:rsidRPr="00D15FE4">
        <w:rPr>
          <w:rStyle w:val="hps"/>
          <w:rFonts w:eastAsia="Times New Roman"/>
          <w:lang w:val="es-ES_tradnl"/>
        </w:rPr>
        <w:t>de Diferencias (</w:t>
      </w:r>
      <w:r w:rsidRPr="00D15FE4">
        <w:rPr>
          <w:rStyle w:val="longtext"/>
          <w:rFonts w:eastAsia="Times New Roman"/>
          <w:lang w:val="es-ES_tradnl"/>
        </w:rPr>
        <w:t xml:space="preserve">OSD), responsable de </w:t>
      </w:r>
      <w:r w:rsidRPr="00D15FE4">
        <w:rPr>
          <w:rStyle w:val="hps"/>
          <w:rFonts w:eastAsia="Times New Roman"/>
          <w:lang w:val="es-ES_tradnl"/>
        </w:rPr>
        <w:t>arbitrar en</w:t>
      </w:r>
      <w:r w:rsidRPr="00D15FE4">
        <w:rPr>
          <w:rStyle w:val="longtext"/>
          <w:rFonts w:eastAsia="Times New Roman"/>
          <w:lang w:val="es-ES_tradnl"/>
        </w:rPr>
        <w:t xml:space="preserve"> </w:t>
      </w:r>
      <w:r w:rsidRPr="00D15FE4">
        <w:rPr>
          <w:rStyle w:val="hps"/>
          <w:rFonts w:eastAsia="Times New Roman"/>
          <w:lang w:val="es-ES_tradnl"/>
        </w:rPr>
        <w:t>las disputas entre</w:t>
      </w:r>
      <w:r w:rsidRPr="00D15FE4">
        <w:rPr>
          <w:rStyle w:val="longtext"/>
          <w:rFonts w:eastAsia="Times New Roman"/>
          <w:lang w:val="es-ES_tradnl"/>
        </w:rPr>
        <w:t xml:space="preserve"> </w:t>
      </w:r>
      <w:r w:rsidRPr="00D15FE4">
        <w:rPr>
          <w:rStyle w:val="hps"/>
          <w:rFonts w:eastAsia="Times New Roman"/>
          <w:lang w:val="es-ES_tradnl"/>
        </w:rPr>
        <w:t>los Miembros de</w:t>
      </w:r>
      <w:r w:rsidRPr="00D15FE4">
        <w:rPr>
          <w:rStyle w:val="longtext"/>
          <w:rFonts w:eastAsia="Times New Roman"/>
          <w:lang w:val="es-ES_tradnl"/>
        </w:rPr>
        <w:t xml:space="preserve"> </w:t>
      </w:r>
      <w:r w:rsidRPr="00D15FE4">
        <w:rPr>
          <w:rStyle w:val="hps"/>
          <w:rFonts w:eastAsia="Times New Roman"/>
          <w:lang w:val="es-ES_tradnl"/>
        </w:rPr>
        <w:t>la Organización,</w:t>
      </w:r>
      <w:r w:rsidRPr="00D15FE4">
        <w:rPr>
          <w:rStyle w:val="longtext"/>
          <w:rFonts w:eastAsia="Times New Roman"/>
          <w:lang w:val="es-ES_tradnl"/>
        </w:rPr>
        <w:t xml:space="preserve"> </w:t>
      </w:r>
      <w:r w:rsidRPr="00D15FE4">
        <w:rPr>
          <w:rStyle w:val="hps"/>
          <w:rFonts w:eastAsia="Times New Roman"/>
          <w:lang w:val="es-ES_tradnl"/>
        </w:rPr>
        <w:t>siempre se ha negado</w:t>
      </w:r>
      <w:r w:rsidRPr="00D15FE4">
        <w:rPr>
          <w:rStyle w:val="longtext"/>
          <w:rFonts w:eastAsia="Times New Roman"/>
          <w:lang w:val="es-ES_tradnl"/>
        </w:rPr>
        <w:t xml:space="preserve"> </w:t>
      </w:r>
      <w:r w:rsidRPr="00D15FE4">
        <w:rPr>
          <w:rStyle w:val="hps"/>
          <w:rFonts w:eastAsia="Times New Roman"/>
          <w:lang w:val="es-ES_tradnl"/>
        </w:rPr>
        <w:t>a tomar</w:t>
      </w:r>
      <w:r w:rsidRPr="00D15FE4">
        <w:rPr>
          <w:rStyle w:val="longtext"/>
          <w:rFonts w:eastAsia="Times New Roman"/>
          <w:lang w:val="es-ES_tradnl"/>
        </w:rPr>
        <w:t xml:space="preserve"> </w:t>
      </w:r>
      <w:r w:rsidRPr="00D15FE4">
        <w:rPr>
          <w:rStyle w:val="hps"/>
          <w:rFonts w:eastAsia="Times New Roman"/>
          <w:lang w:val="es-ES_tradnl"/>
        </w:rPr>
        <w:t>cualquier decisión</w:t>
      </w:r>
      <w:r w:rsidRPr="00D15FE4">
        <w:rPr>
          <w:rStyle w:val="longtext"/>
          <w:rFonts w:eastAsia="Times New Roman"/>
          <w:lang w:val="es-ES_tradnl"/>
        </w:rPr>
        <w:t xml:space="preserve"> </w:t>
      </w:r>
      <w:r w:rsidRPr="00D15FE4">
        <w:rPr>
          <w:rStyle w:val="hps"/>
          <w:rFonts w:eastAsia="Times New Roman"/>
          <w:lang w:val="es-ES_tradnl"/>
        </w:rPr>
        <w:t>sobre el alcance</w:t>
      </w:r>
      <w:r w:rsidRPr="00D15FE4">
        <w:rPr>
          <w:rStyle w:val="longtext"/>
          <w:rFonts w:eastAsia="Times New Roman"/>
          <w:lang w:val="es-ES_tradnl"/>
        </w:rPr>
        <w:t xml:space="preserve"> </w:t>
      </w:r>
      <w:r w:rsidRPr="00D15FE4">
        <w:rPr>
          <w:rStyle w:val="hps"/>
          <w:rFonts w:eastAsia="Times New Roman"/>
          <w:lang w:val="es-ES_tradnl"/>
        </w:rPr>
        <w:t>real del</w:t>
      </w:r>
      <w:r w:rsidRPr="00D15FE4">
        <w:rPr>
          <w:rStyle w:val="longtext"/>
          <w:rFonts w:eastAsia="Times New Roman"/>
          <w:lang w:val="es-ES_tradnl"/>
        </w:rPr>
        <w:t xml:space="preserve"> </w:t>
      </w:r>
      <w:r w:rsidRPr="00D15FE4">
        <w:rPr>
          <w:rStyle w:val="hps"/>
          <w:rFonts w:eastAsia="Times New Roman"/>
          <w:lang w:val="es-ES_tradnl"/>
        </w:rPr>
        <w:t>principio de precaución</w:t>
      </w:r>
      <w:r w:rsidRPr="00D15FE4">
        <w:rPr>
          <w:rStyle w:val="longtext"/>
          <w:rFonts w:eastAsia="Times New Roman"/>
          <w:lang w:val="es-ES_tradnl"/>
        </w:rPr>
        <w:t xml:space="preserve">, el cual </w:t>
      </w:r>
      <w:r w:rsidRPr="00D15FE4">
        <w:rPr>
          <w:rStyle w:val="hps"/>
          <w:rFonts w:eastAsia="Times New Roman"/>
          <w:lang w:val="es-ES_tradnl"/>
        </w:rPr>
        <w:t>no considera</w:t>
      </w:r>
      <w:r w:rsidRPr="00D15FE4">
        <w:rPr>
          <w:rStyle w:val="longtext"/>
          <w:rFonts w:eastAsia="Times New Roman"/>
          <w:lang w:val="es-ES_tradnl"/>
        </w:rPr>
        <w:t xml:space="preserve"> </w:t>
      </w:r>
      <w:r w:rsidRPr="00D15FE4">
        <w:rPr>
          <w:rStyle w:val="hps"/>
          <w:rFonts w:eastAsia="Times New Roman"/>
          <w:lang w:val="es-ES_tradnl"/>
        </w:rPr>
        <w:t>como un principio</w:t>
      </w:r>
      <w:r w:rsidRPr="00D15FE4">
        <w:rPr>
          <w:rStyle w:val="longtext"/>
          <w:rFonts w:eastAsia="Times New Roman"/>
          <w:lang w:val="es-ES_tradnl"/>
        </w:rPr>
        <w:t xml:space="preserve"> </w:t>
      </w:r>
      <w:r w:rsidRPr="00D15FE4">
        <w:rPr>
          <w:rStyle w:val="hps"/>
          <w:rFonts w:eastAsia="Times New Roman"/>
          <w:lang w:val="es-ES_tradnl"/>
        </w:rPr>
        <w:t>general del derecho</w:t>
      </w:r>
      <w:r w:rsidRPr="00D15FE4">
        <w:rPr>
          <w:rStyle w:val="longtext"/>
          <w:rFonts w:eastAsia="Times New Roman"/>
          <w:lang w:val="es-ES_tradnl"/>
        </w:rPr>
        <w:t xml:space="preserve">. </w:t>
      </w:r>
      <w:r w:rsidRPr="00D15FE4">
        <w:rPr>
          <w:rStyle w:val="hps"/>
          <w:rFonts w:eastAsia="Times New Roman"/>
          <w:lang w:val="es-ES_tradnl"/>
        </w:rPr>
        <w:t>En caso de duda</w:t>
      </w:r>
      <w:r w:rsidRPr="00D15FE4">
        <w:rPr>
          <w:rStyle w:val="longtext"/>
          <w:rFonts w:eastAsia="Times New Roman"/>
          <w:lang w:val="es-ES_tradnl"/>
        </w:rPr>
        <w:t xml:space="preserve"> </w:t>
      </w:r>
      <w:r w:rsidRPr="00D15FE4">
        <w:rPr>
          <w:rStyle w:val="hps"/>
          <w:rFonts w:eastAsia="Times New Roman"/>
          <w:lang w:val="es-ES_tradnl"/>
        </w:rPr>
        <w:t>relativa a</w:t>
      </w:r>
      <w:r w:rsidRPr="00D15FE4">
        <w:rPr>
          <w:rStyle w:val="longtext"/>
          <w:rFonts w:eastAsia="Times New Roman"/>
          <w:lang w:val="es-ES_tradnl"/>
        </w:rPr>
        <w:t xml:space="preserve"> </w:t>
      </w:r>
      <w:r w:rsidRPr="00D15FE4">
        <w:rPr>
          <w:rStyle w:val="hps"/>
          <w:rFonts w:eastAsia="Times New Roman"/>
          <w:lang w:val="es-ES_tradnl"/>
        </w:rPr>
        <w:t>un riesgo potencial</w:t>
      </w:r>
      <w:r w:rsidRPr="00D15FE4">
        <w:rPr>
          <w:rStyle w:val="longtext"/>
          <w:rFonts w:eastAsia="Times New Roman"/>
          <w:lang w:val="es-ES_tradnl"/>
        </w:rPr>
        <w:t xml:space="preserve">, el OSD </w:t>
      </w:r>
      <w:r w:rsidRPr="00D15FE4">
        <w:rPr>
          <w:rStyle w:val="hps"/>
          <w:rFonts w:eastAsia="Times New Roman"/>
          <w:lang w:val="es-ES_tradnl"/>
        </w:rPr>
        <w:t>autoriza</w:t>
      </w:r>
      <w:r w:rsidRPr="00D15FE4">
        <w:rPr>
          <w:rStyle w:val="longtext"/>
          <w:rFonts w:eastAsia="Times New Roman"/>
          <w:lang w:val="es-ES_tradnl"/>
        </w:rPr>
        <w:t xml:space="preserve"> </w:t>
      </w:r>
      <w:r w:rsidRPr="00D15FE4">
        <w:rPr>
          <w:rStyle w:val="hps"/>
          <w:rFonts w:eastAsia="Times New Roman"/>
          <w:lang w:val="es-ES_tradnl"/>
        </w:rPr>
        <w:t>la adopción de restricciones comerciales</w:t>
      </w:r>
      <w:r w:rsidRPr="00D15FE4">
        <w:rPr>
          <w:rStyle w:val="longtext"/>
          <w:rFonts w:eastAsia="Times New Roman"/>
          <w:lang w:val="es-ES_tradnl"/>
        </w:rPr>
        <w:t xml:space="preserve"> </w:t>
      </w:r>
      <w:r w:rsidRPr="00D15FE4">
        <w:rPr>
          <w:rStyle w:val="hps"/>
          <w:rFonts w:eastAsia="Times New Roman"/>
          <w:lang w:val="es-ES_tradnl"/>
        </w:rPr>
        <w:t>en virtud de</w:t>
      </w:r>
      <w:r w:rsidRPr="00D15FE4">
        <w:rPr>
          <w:rStyle w:val="longtext"/>
          <w:rFonts w:eastAsia="Times New Roman"/>
          <w:lang w:val="es-ES_tradnl"/>
        </w:rPr>
        <w:t xml:space="preserve"> </w:t>
      </w:r>
      <w:r w:rsidRPr="00D15FE4">
        <w:rPr>
          <w:rStyle w:val="hps"/>
          <w:rFonts w:eastAsia="Times New Roman"/>
          <w:lang w:val="es-ES_tradnl"/>
        </w:rPr>
        <w:t>la aplicación de este principio</w:t>
      </w:r>
      <w:r w:rsidRPr="00D15FE4">
        <w:rPr>
          <w:rStyle w:val="longtext"/>
          <w:rFonts w:eastAsia="Times New Roman"/>
          <w:lang w:val="es-ES_tradnl"/>
        </w:rPr>
        <w:t xml:space="preserve"> </w:t>
      </w:r>
      <w:r w:rsidRPr="00D15FE4">
        <w:rPr>
          <w:rStyle w:val="hps"/>
          <w:rFonts w:eastAsia="Times New Roman"/>
          <w:lang w:val="es-ES_tradnl"/>
        </w:rPr>
        <w:t>únicamente</w:t>
      </w:r>
      <w:r w:rsidRPr="00D15FE4">
        <w:rPr>
          <w:rStyle w:val="longtext"/>
          <w:rFonts w:eastAsia="Times New Roman"/>
          <w:lang w:val="es-ES_tradnl"/>
        </w:rPr>
        <w:t xml:space="preserve"> </w:t>
      </w:r>
      <w:r w:rsidRPr="00D15FE4">
        <w:rPr>
          <w:rStyle w:val="hps"/>
          <w:rFonts w:eastAsia="Times New Roman"/>
          <w:lang w:val="es-ES_tradnl"/>
        </w:rPr>
        <w:t>cuando existan pruebas</w:t>
      </w:r>
      <w:r w:rsidRPr="00D15FE4">
        <w:rPr>
          <w:rStyle w:val="longtext"/>
          <w:rFonts w:eastAsia="Times New Roman"/>
          <w:lang w:val="es-ES_tradnl"/>
        </w:rPr>
        <w:t xml:space="preserve"> </w:t>
      </w:r>
      <w:r w:rsidRPr="00D15FE4">
        <w:rPr>
          <w:rStyle w:val="hps"/>
          <w:rFonts w:eastAsia="Times New Roman"/>
          <w:lang w:val="es-ES_tradnl"/>
        </w:rPr>
        <w:t>tangibles</w:t>
      </w:r>
      <w:r w:rsidRPr="00D15FE4">
        <w:rPr>
          <w:rStyle w:val="longtext"/>
          <w:rFonts w:eastAsia="Times New Roman"/>
          <w:lang w:val="es-ES_tradnl"/>
        </w:rPr>
        <w:t xml:space="preserve"> </w:t>
      </w:r>
      <w:r w:rsidRPr="00D15FE4">
        <w:rPr>
          <w:rStyle w:val="hps"/>
          <w:rFonts w:eastAsia="Times New Roman"/>
          <w:lang w:val="es-ES_tradnl"/>
        </w:rPr>
        <w:t>del peligro.</w:t>
      </w:r>
    </w:p>
    <w:p w:rsidR="00181C1A" w:rsidRPr="00574A00" w:rsidRDefault="005D73E7" w:rsidP="005D73E7">
      <w:pPr>
        <w:pStyle w:val="Heading1"/>
        <w:rPr>
          <w:lang w:val="es-ES_tradnl"/>
        </w:rPr>
      </w:pPr>
      <w:bookmarkStart w:id="18" w:name="_Toc330816726"/>
      <w:bookmarkStart w:id="19" w:name="_Toc370824999"/>
      <w:bookmarkStart w:id="20" w:name="_Toc377560452"/>
      <w:r w:rsidRPr="00574A00">
        <w:rPr>
          <w:lang w:val="es-ES_tradnl"/>
        </w:rPr>
        <w:lastRenderedPageBreak/>
        <w:t>5</w:t>
      </w:r>
      <w:r w:rsidR="00181C1A" w:rsidRPr="00574A00">
        <w:rPr>
          <w:lang w:val="es-ES_tradnl"/>
        </w:rPr>
        <w:tab/>
      </w:r>
      <w:bookmarkEnd w:id="18"/>
      <w:r w:rsidR="00181C1A" w:rsidRPr="00574A00">
        <w:rPr>
          <w:lang w:val="es-ES_tradnl"/>
        </w:rPr>
        <w:t>Análisis sobre las políticas de reglamentación de algunos países</w:t>
      </w:r>
      <w:bookmarkEnd w:id="19"/>
      <w:bookmarkEnd w:id="20"/>
    </w:p>
    <w:p w:rsidR="00181C1A" w:rsidRPr="00D15FE4" w:rsidRDefault="00181C1A" w:rsidP="005D73E7">
      <w:pPr>
        <w:rPr>
          <w:lang w:val="es-ES_tradnl"/>
        </w:rPr>
      </w:pPr>
      <w:r w:rsidRPr="00D15FE4">
        <w:rPr>
          <w:lang w:val="es-ES_tradnl"/>
        </w:rPr>
        <w:t>Junto con la realización del presente Informe, se efectuó un análisis y una compilación de las políticas de reglamentación de la exposición de las personas a los campos electromagnéticos que estaban siendo adoptadas por los Estados Miembros, con el fin de autorizar la instalación de emplazamientos de radiocomunicación. Asimismo, se describen estrategias y métodos para informar a la población sobre los efectos de los campos electromagnéticos generados por sistemas de radiocomunicación.</w:t>
      </w:r>
    </w:p>
    <w:p w:rsidR="00181C1A" w:rsidRPr="00574A00" w:rsidRDefault="00181C1A" w:rsidP="005D73E7">
      <w:pPr>
        <w:pStyle w:val="Heading2"/>
        <w:rPr>
          <w:lang w:val="es-ES_tradnl"/>
        </w:rPr>
      </w:pPr>
      <w:bookmarkStart w:id="21" w:name="_Toc330816727"/>
      <w:bookmarkStart w:id="22" w:name="_Toc370825000"/>
      <w:bookmarkStart w:id="23" w:name="_Toc377560453"/>
      <w:r w:rsidRPr="00574A00">
        <w:rPr>
          <w:lang w:val="es-ES_tradnl"/>
        </w:rPr>
        <w:t>5.1</w:t>
      </w:r>
      <w:r w:rsidRPr="00574A00">
        <w:rPr>
          <w:lang w:val="es-ES_tradnl"/>
        </w:rPr>
        <w:tab/>
        <w:t>Côte d’Ivoire</w:t>
      </w:r>
      <w:bookmarkEnd w:id="21"/>
      <w:bookmarkEnd w:id="22"/>
      <w:bookmarkEnd w:id="23"/>
    </w:p>
    <w:p w:rsidR="00181C1A" w:rsidRPr="00D15FE4" w:rsidRDefault="00181C1A" w:rsidP="005D73E7">
      <w:pPr>
        <w:rPr>
          <w:lang w:val="es-ES_tradnl"/>
        </w:rPr>
      </w:pPr>
      <w:r w:rsidRPr="00D15FE4">
        <w:rPr>
          <w:b/>
          <w:szCs w:val="19"/>
          <w:lang w:val="es-ES_tradnl"/>
        </w:rPr>
        <w:t>Política:</w:t>
      </w:r>
      <w:r w:rsidRPr="00D15FE4">
        <w:rPr>
          <w:szCs w:val="19"/>
          <w:lang w:val="es-ES_tradnl"/>
        </w:rPr>
        <w:t xml:space="preserve"> </w:t>
      </w:r>
      <w:r w:rsidRPr="00D15FE4">
        <w:rPr>
          <w:lang w:val="es-ES_tradnl"/>
        </w:rPr>
        <w:t>El organismo regulador y otras autoridades locales aprueban todo despliegue o modificación de instalaciones radioeléctricas en Côte d'Ivoire. No obstante, se han establecido medidas cautelares para proteger a la población de la exposición a RF, especialmente en áreas sensibles, tales como hospitales, escuelas, guarderías y zonas de campaña. El objetivo de estas medidas cautelares no era evitar el uso de antenas de comunicación, sino controlar los diagramas de radiación y evitar una exposición innecesaria. Antes de instalar una antena de comunicación, se dan los siguientes pasos:</w:t>
      </w:r>
    </w:p>
    <w:p w:rsidR="00181C1A" w:rsidRPr="00D15FE4" w:rsidRDefault="00181C1A" w:rsidP="00FD027D">
      <w:pPr>
        <w:pStyle w:val="Enumlevel1"/>
        <w:numPr>
          <w:ilvl w:val="0"/>
          <w:numId w:val="13"/>
        </w:numPr>
        <w:ind w:left="567" w:hanging="567"/>
        <w:rPr>
          <w:lang w:val="es-ES_tradnl"/>
        </w:rPr>
      </w:pPr>
      <w:r w:rsidRPr="00D15FE4">
        <w:rPr>
          <w:lang w:val="es-ES_tradnl"/>
        </w:rPr>
        <w:t>se evalúan las características técnicas a fin de verificar que se cumplen los requisitos reglamentarios basados en las Recomendaciones del UIT-T;</w:t>
      </w:r>
    </w:p>
    <w:p w:rsidR="00181C1A" w:rsidRPr="00D15FE4" w:rsidRDefault="00181C1A" w:rsidP="00FD027D">
      <w:pPr>
        <w:pStyle w:val="Enumlevel1"/>
        <w:numPr>
          <w:ilvl w:val="0"/>
          <w:numId w:val="13"/>
        </w:numPr>
        <w:ind w:left="567" w:hanging="567"/>
        <w:rPr>
          <w:lang w:val="es-ES_tradnl"/>
        </w:rPr>
      </w:pPr>
      <w:r w:rsidRPr="00D15FE4">
        <w:rPr>
          <w:lang w:val="es-ES_tradnl"/>
        </w:rPr>
        <w:t>se aprueba el emplazamiento tras comprobar que el trabajo es conforme a la licencia de obras;</w:t>
      </w:r>
    </w:p>
    <w:p w:rsidR="00181C1A" w:rsidRPr="00D15FE4" w:rsidRDefault="00181C1A" w:rsidP="00FD027D">
      <w:pPr>
        <w:pStyle w:val="Enumlevel1"/>
        <w:numPr>
          <w:ilvl w:val="0"/>
          <w:numId w:val="13"/>
        </w:numPr>
        <w:ind w:left="567" w:hanging="567"/>
        <w:rPr>
          <w:lang w:val="es-ES_tradnl"/>
        </w:rPr>
      </w:pPr>
      <w:r w:rsidRPr="00D15FE4">
        <w:rPr>
          <w:lang w:val="es-ES_tradnl"/>
        </w:rPr>
        <w:t>se realiza un análisis técnico para autorizar definitivamente la puesta en marcha del emplazamiento; y</w:t>
      </w:r>
    </w:p>
    <w:p w:rsidR="00181C1A" w:rsidRPr="005D73E7" w:rsidRDefault="00181C1A" w:rsidP="00FD027D">
      <w:pPr>
        <w:pStyle w:val="Enumlevel1"/>
        <w:numPr>
          <w:ilvl w:val="0"/>
          <w:numId w:val="13"/>
        </w:numPr>
        <w:ind w:left="567" w:hanging="567"/>
        <w:rPr>
          <w:lang w:val="es-ES_tradnl"/>
        </w:rPr>
      </w:pPr>
      <w:r w:rsidRPr="00D15FE4">
        <w:rPr>
          <w:lang w:val="es-ES_tradnl"/>
        </w:rPr>
        <w:t>se efectúan mediciones</w:t>
      </w:r>
      <w:r w:rsidRPr="005D73E7">
        <w:rPr>
          <w:lang w:val="es-ES_tradnl"/>
        </w:rPr>
        <w:t xml:space="preserve"> in situ anuales y a escala nacional en virtud de las normas pertinentes.</w:t>
      </w:r>
    </w:p>
    <w:p w:rsidR="00181C1A" w:rsidRPr="00D15FE4" w:rsidRDefault="00181C1A" w:rsidP="00FD027D">
      <w:pPr>
        <w:pStyle w:val="Enumlevel1"/>
        <w:numPr>
          <w:ilvl w:val="0"/>
          <w:numId w:val="13"/>
        </w:numPr>
        <w:ind w:left="567" w:hanging="567"/>
        <w:rPr>
          <w:lang w:val="es-ES_tradnl"/>
        </w:rPr>
      </w:pPr>
      <w:r w:rsidRPr="00D15FE4">
        <w:rPr>
          <w:lang w:val="es-ES_tradnl"/>
        </w:rPr>
        <w:t>Asimismo, se ha puesto en marcha un proyecto político destinado a regular la exposición de las personas a las RF. Dicho proyecto consistirá en:</w:t>
      </w:r>
    </w:p>
    <w:p w:rsidR="00181C1A" w:rsidRPr="00D15FE4" w:rsidRDefault="00181C1A" w:rsidP="00FD027D">
      <w:pPr>
        <w:pStyle w:val="Enumlevel1"/>
        <w:numPr>
          <w:ilvl w:val="0"/>
          <w:numId w:val="13"/>
        </w:numPr>
        <w:ind w:left="567" w:hanging="567"/>
        <w:rPr>
          <w:lang w:val="es-ES_tradnl"/>
        </w:rPr>
      </w:pPr>
      <w:r w:rsidRPr="00D15FE4">
        <w:rPr>
          <w:lang w:val="es-ES_tradnl"/>
        </w:rPr>
        <w:t>establecer, de conformidad con las directrices de la ICNIRP, los valores mínimos para limitar la exposición a instalaciones de transmisión de RF en Côte d'Ivoire; y</w:t>
      </w:r>
    </w:p>
    <w:p w:rsidR="00181C1A" w:rsidRPr="00D15FE4" w:rsidRDefault="00181C1A" w:rsidP="00FD027D">
      <w:pPr>
        <w:pStyle w:val="Enumlevel1"/>
        <w:numPr>
          <w:ilvl w:val="0"/>
          <w:numId w:val="13"/>
        </w:numPr>
        <w:ind w:left="567" w:hanging="567"/>
        <w:rPr>
          <w:lang w:val="es-ES_tradnl"/>
        </w:rPr>
      </w:pPr>
      <w:r w:rsidRPr="00D15FE4">
        <w:rPr>
          <w:lang w:val="es-ES_tradnl"/>
        </w:rPr>
        <w:t>determinar las obligaciones de los propietarios de tales instalaciones.</w:t>
      </w:r>
    </w:p>
    <w:p w:rsidR="00181C1A" w:rsidRPr="00D15FE4" w:rsidRDefault="00181C1A" w:rsidP="005D73E7">
      <w:pPr>
        <w:rPr>
          <w:lang w:val="es-ES_tradnl"/>
        </w:rPr>
      </w:pPr>
      <w:r w:rsidRPr="00D15FE4">
        <w:rPr>
          <w:b/>
          <w:lang w:val="es-ES_tradnl"/>
        </w:rPr>
        <w:t>Suministro de información y participación pública:</w:t>
      </w:r>
      <w:r w:rsidRPr="00D15FE4">
        <w:rPr>
          <w:lang w:val="es-ES_tradnl"/>
        </w:rPr>
        <w:t xml:space="preserve"> antes de instalar la antena, se abre un proceso de consulta pública; se utilizan los servicios de radiodifusión para informar al público sobre cuestiones relacionadas con las señales RF; hay una sección de preguntas frecuentes relativas a la radiación no ionizante y la SAR en el sitio web del organismo regulador; y se publican los resultados de las mediciones realizadas.</w:t>
      </w:r>
    </w:p>
    <w:p w:rsidR="00181C1A" w:rsidRPr="00574A00" w:rsidRDefault="00181C1A" w:rsidP="005D73E7">
      <w:pPr>
        <w:pStyle w:val="Headingb0"/>
        <w:rPr>
          <w:lang w:val="es-ES_tradnl"/>
        </w:rPr>
      </w:pPr>
      <w:r w:rsidRPr="00574A00">
        <w:rPr>
          <w:lang w:val="es-ES_tradnl"/>
        </w:rPr>
        <w:t>Análisis</w:t>
      </w:r>
    </w:p>
    <w:p w:rsidR="00181C1A" w:rsidRPr="00D15FE4" w:rsidRDefault="00181C1A" w:rsidP="005D73E7">
      <w:pPr>
        <w:rPr>
          <w:lang w:val="es-ES_tradnl"/>
        </w:rPr>
      </w:pPr>
      <w:r w:rsidRPr="00D15FE4">
        <w:rPr>
          <w:lang w:val="es-ES_tradnl"/>
        </w:rPr>
        <w:t>Otros Estados Miembros pueden tratar de aplicar esta política. No obstante, se recomienda que el proyecto referente al establecimiento de los valores mínimos siga siempre las directrices de la ICNIRP para la limitación de la exposición a fuentes de RF.</w:t>
      </w:r>
    </w:p>
    <w:p w:rsidR="00181C1A" w:rsidRPr="00574A00" w:rsidRDefault="00181C1A" w:rsidP="005D73E7">
      <w:pPr>
        <w:pStyle w:val="Heading2"/>
        <w:rPr>
          <w:lang w:val="es-ES_tradnl"/>
        </w:rPr>
      </w:pPr>
      <w:bookmarkStart w:id="24" w:name="Proposal"/>
      <w:bookmarkStart w:id="25" w:name="_Toc330816728"/>
      <w:bookmarkStart w:id="26" w:name="_Toc370825001"/>
      <w:bookmarkStart w:id="27" w:name="_Toc377560454"/>
      <w:bookmarkEnd w:id="24"/>
      <w:r w:rsidRPr="00574A00">
        <w:rPr>
          <w:lang w:val="es-ES_tradnl"/>
        </w:rPr>
        <w:t>5.2</w:t>
      </w:r>
      <w:r w:rsidRPr="00574A00">
        <w:rPr>
          <w:lang w:val="es-ES_tradnl"/>
        </w:rPr>
        <w:tab/>
        <w:t>Brasil</w:t>
      </w:r>
      <w:bookmarkEnd w:id="25"/>
      <w:bookmarkEnd w:id="26"/>
      <w:bookmarkEnd w:id="27"/>
    </w:p>
    <w:p w:rsidR="00181C1A" w:rsidRPr="00D15FE4" w:rsidRDefault="00181C1A" w:rsidP="005D73E7">
      <w:pPr>
        <w:rPr>
          <w:lang w:val="es-ES_tradnl"/>
        </w:rPr>
      </w:pPr>
      <w:r w:rsidRPr="00D15FE4">
        <w:rPr>
          <w:b/>
          <w:szCs w:val="19"/>
          <w:lang w:val="es-ES_tradnl"/>
        </w:rPr>
        <w:t>Política:</w:t>
      </w:r>
      <w:r w:rsidRPr="00D15FE4">
        <w:rPr>
          <w:szCs w:val="19"/>
          <w:lang w:val="es-ES_tradnl"/>
        </w:rPr>
        <w:t xml:space="preserve"> </w:t>
      </w:r>
      <w:r w:rsidRPr="00D15FE4">
        <w:rPr>
          <w:lang w:val="es-ES_tradnl"/>
        </w:rPr>
        <w:t>Los límites de exposición a los CEM en Brasil se han establecido de conformidad con las directrices de la</w:t>
      </w:r>
      <w:r w:rsidRPr="00D15FE4">
        <w:rPr>
          <w:rFonts w:cs="Arial"/>
          <w:szCs w:val="19"/>
          <w:lang w:val="es-ES_tradnl"/>
        </w:rPr>
        <w:t xml:space="preserve"> Comisión Internacional para la Protección contra las Radiaciones No Ionizantes</w:t>
      </w:r>
      <w:r w:rsidRPr="00D15FE4">
        <w:rPr>
          <w:lang w:val="es-ES_tradnl"/>
        </w:rPr>
        <w:t xml:space="preserve"> (ICNIRP). Dichos límites son controlados por una Ley Federal que garantiza que los sistemas de radiocomunicación cumplan con los niveles electromagnéticos recomendados por la OMS.</w:t>
      </w:r>
    </w:p>
    <w:p w:rsidR="00181C1A" w:rsidRPr="00D15FE4" w:rsidRDefault="00181C1A" w:rsidP="005D73E7">
      <w:pPr>
        <w:rPr>
          <w:rFonts w:cs="Arial"/>
          <w:szCs w:val="19"/>
          <w:lang w:val="es-ES_tradnl"/>
        </w:rPr>
      </w:pPr>
      <w:r w:rsidRPr="00D15FE4">
        <w:rPr>
          <w:szCs w:val="19"/>
          <w:lang w:val="es-ES_tradnl"/>
        </w:rPr>
        <w:t>En lo que respecta a la medición de los niveles de radiación en Brasil,</w:t>
      </w:r>
      <w:r w:rsidRPr="00D15FE4">
        <w:rPr>
          <w:lang w:val="es-ES_tradnl"/>
        </w:rPr>
        <w:t xml:space="preserve"> la Agencia Nacional de Telecomunicaciones (ANATEL) evalúa la conformidad de la exposición a los CEM de las estaciones de radiocomunicación instaladas en un radio de 50 metros de proximidad a hospitales, clínicas, escuelas, centros de día y residencias para personas de edad avanzada, a más tardar, 60 días después de la concesión de la licencia de la estación.</w:t>
      </w:r>
    </w:p>
    <w:p w:rsidR="00181C1A" w:rsidRPr="00D15FE4" w:rsidRDefault="00181C1A" w:rsidP="0028348F">
      <w:pPr>
        <w:rPr>
          <w:rFonts w:eastAsia="Times New Roman"/>
          <w:lang w:val="es-ES_tradnl"/>
        </w:rPr>
      </w:pPr>
      <w:r w:rsidRPr="00D15FE4">
        <w:rPr>
          <w:rFonts w:eastAsia="Times New Roman"/>
          <w:lang w:val="es-ES_tradnl"/>
        </w:rPr>
        <w:lastRenderedPageBreak/>
        <w:t>Las evaluaciones de exposición a los CEM se realizan con un intervalo máximo de 5 años. Anatel lleva a cabo las mediciones en los sitios previstos en el plan de ejecución anual, de acuerdo con la ley y en respuesta a las demandas específicas procedentes de la sociedad o de otras fuentes, tales como centros de llamada, servicios web u otros canales para las relaciones públicas. La mayoría de estas evaluaciones de cumplimiento están asociadas a las estaciones transmisoras de base celulares (BTS) y algunas de ellas se deben a las quejas y preocupaciones relacionadas con la exposición a los CEM de los habitantes de la zona.</w:t>
      </w:r>
    </w:p>
    <w:p w:rsidR="00181C1A" w:rsidRPr="00D15FE4" w:rsidRDefault="00181C1A" w:rsidP="0028348F">
      <w:pPr>
        <w:rPr>
          <w:rFonts w:eastAsia="Times New Roman"/>
          <w:lang w:val="es-ES_tradnl"/>
        </w:rPr>
      </w:pPr>
      <w:r w:rsidRPr="00D15FE4">
        <w:rPr>
          <w:b/>
          <w:lang w:val="es-ES_tradnl"/>
        </w:rPr>
        <w:t xml:space="preserve">Suministro de información: </w:t>
      </w:r>
      <w:r w:rsidRPr="00D15FE4">
        <w:rPr>
          <w:rFonts w:eastAsia="Times New Roman"/>
          <w:lang w:val="es-ES_tradnl"/>
        </w:rPr>
        <w:t>Anatel lanzó un software en el que se presentan los resultados de los cálculos teóricos de la tasa de exposición total, estimada con ayuda de un modelo de propagación en el espacio libre y de la base de datos de las estaciones nacionales de radiocomunicaciones. Las mediciones realizadas por la División de Aplicación de Anatel se han integrado en dicho programa informático, de modo que, en los lugares para los que no se dispone de datos comprobados, se dan los valores calculados.</w:t>
      </w:r>
    </w:p>
    <w:p w:rsidR="00181C1A" w:rsidRPr="00D15FE4" w:rsidRDefault="00181C1A" w:rsidP="0028348F">
      <w:pPr>
        <w:rPr>
          <w:b/>
          <w:lang w:val="es-ES_tradnl"/>
        </w:rPr>
      </w:pPr>
      <w:r w:rsidRPr="00D15FE4">
        <w:rPr>
          <w:rFonts w:eastAsia="Times New Roman"/>
          <w:lang w:val="es-ES_tradnl"/>
        </w:rPr>
        <w:t>La página web de Anatel también facilita la tasa de absorción específica (SAR) de todos los teléfonos móviles certificados en Brasil. Brasil defiende que la creación de un mapa interactivo con los resultados de las mediciones y los cálculos teóricos sería una buena opción para informar al público de manera pertinente y precisa.</w:t>
      </w:r>
    </w:p>
    <w:p w:rsidR="00181C1A" w:rsidRPr="00574A00" w:rsidRDefault="00181C1A" w:rsidP="005D73E7">
      <w:pPr>
        <w:pStyle w:val="Headingb0"/>
        <w:rPr>
          <w:lang w:val="es-ES_tradnl"/>
        </w:rPr>
      </w:pPr>
      <w:r w:rsidRPr="00574A00">
        <w:rPr>
          <w:lang w:val="es-ES_tradnl"/>
        </w:rPr>
        <w:t>Análisis</w:t>
      </w:r>
    </w:p>
    <w:p w:rsidR="00181C1A" w:rsidRPr="00D15FE4" w:rsidRDefault="00181C1A" w:rsidP="0028348F">
      <w:pPr>
        <w:rPr>
          <w:b/>
          <w:bCs/>
          <w:i/>
          <w:szCs w:val="19"/>
          <w:lang w:val="es-ES_tradnl"/>
        </w:rPr>
      </w:pPr>
      <w:r w:rsidRPr="00D15FE4">
        <w:rPr>
          <w:szCs w:val="19"/>
          <w:lang w:val="es-ES_tradnl"/>
        </w:rPr>
        <w:t>Esta política es acorde con las directivas de la OMS y la ICNIRP, y aborda la gestión de áreas críticas tales como hospitales. El hecho de que se reciban quejas podría implicar que el público es consciente de la existencia de los CEM y, por tanto, el lanzamiento del programa informático en el que se muestran los datos recogidos ha constituido una buena iniciativa para el suministro de información.</w:t>
      </w:r>
    </w:p>
    <w:p w:rsidR="00181C1A" w:rsidRPr="00574A00" w:rsidRDefault="00181C1A" w:rsidP="005D73E7">
      <w:pPr>
        <w:pStyle w:val="Heading2"/>
        <w:rPr>
          <w:lang w:val="es-ES_tradnl"/>
        </w:rPr>
      </w:pPr>
      <w:bookmarkStart w:id="28" w:name="_Toc330816729"/>
      <w:bookmarkStart w:id="29" w:name="_Toc370825002"/>
      <w:bookmarkStart w:id="30" w:name="_Toc377560455"/>
      <w:r w:rsidRPr="00574A00">
        <w:rPr>
          <w:lang w:val="es-ES_tradnl"/>
        </w:rPr>
        <w:t>5.3</w:t>
      </w:r>
      <w:r w:rsidRPr="00574A00">
        <w:rPr>
          <w:lang w:val="es-ES_tradnl"/>
        </w:rPr>
        <w:tab/>
        <w:t>República de Corea</w:t>
      </w:r>
      <w:bookmarkEnd w:id="28"/>
      <w:bookmarkEnd w:id="29"/>
      <w:bookmarkEnd w:id="30"/>
    </w:p>
    <w:p w:rsidR="00181C1A" w:rsidRPr="00D15FE4" w:rsidRDefault="00181C1A" w:rsidP="005D73E7">
      <w:pPr>
        <w:rPr>
          <w:lang w:val="es-ES_tradnl"/>
        </w:rPr>
      </w:pPr>
      <w:r w:rsidRPr="00D15FE4">
        <w:rPr>
          <w:b/>
          <w:lang w:val="es-ES_tradnl"/>
        </w:rPr>
        <w:t>Política:</w:t>
      </w:r>
      <w:r w:rsidRPr="00D15FE4">
        <w:rPr>
          <w:lang w:val="es-ES_tradnl"/>
        </w:rPr>
        <w:t xml:space="preserve"> Se respetan los límites de exposición establecidos por la ICNIRP y el IEEE, y se han notificado evaluaciones ambientales de los CEM de diferentes estaciones de base y transmisores de radiodifusión. Todos los equipos que irradian energía de RF están sujetos a mediciones de los niveles de CEM, a excepción de los equipo de radiocomunicaciones de: estaciones móviles, estaciones de emergencia, estaciones situadas en zonas a las que rara vez accede el público en general (por ejemplo, en montañas, islas, etc.) y estaciones de baja potencia exentas de licencia como micrófonos inalámbricos, controladores radioeléctricos y buscapersonas.</w:t>
      </w:r>
    </w:p>
    <w:p w:rsidR="00181C1A" w:rsidRPr="00D15FE4" w:rsidRDefault="00181C1A" w:rsidP="005D73E7">
      <w:pPr>
        <w:rPr>
          <w:lang w:val="es-ES_tradnl"/>
        </w:rPr>
      </w:pPr>
      <w:r w:rsidRPr="00D15FE4">
        <w:rPr>
          <w:lang w:val="es-ES_tradnl"/>
        </w:rPr>
        <w:t>Antes de empezar a funcionar con normalidad, las estaciones radioeléctricas instaladas cerca de áreas públicas tienen la obligación de informar sobre el resultado de la evaluación de los niveles de CEM, con objeto de demostrar su conformidad con los límites establecidos.</w:t>
      </w:r>
    </w:p>
    <w:p w:rsidR="00181C1A" w:rsidRPr="00D15FE4" w:rsidRDefault="00181C1A" w:rsidP="005D73E7">
      <w:pPr>
        <w:rPr>
          <w:b/>
          <w:lang w:val="es-ES_tradnl"/>
        </w:rPr>
      </w:pPr>
      <w:r w:rsidRPr="00D15FE4">
        <w:rPr>
          <w:rFonts w:eastAsia="Times New Roman"/>
          <w:b/>
          <w:szCs w:val="28"/>
          <w:lang w:val="es-ES_tradnl" w:eastAsia="zh-CN"/>
        </w:rPr>
        <w:t>Suministro de información</w:t>
      </w:r>
      <w:r w:rsidRPr="00D15FE4">
        <w:rPr>
          <w:rFonts w:eastAsia="Times New Roman"/>
          <w:szCs w:val="28"/>
          <w:lang w:val="es-ES_tradnl" w:eastAsia="zh-CN"/>
        </w:rPr>
        <w:t xml:space="preserve">: A partir del año 2004, empezaron a publicarse semestralmente dos tipos de boletines, uno para las </w:t>
      </w:r>
      <w:r w:rsidRPr="00D15FE4">
        <w:rPr>
          <w:rFonts w:eastAsia="Times New Roman"/>
          <w:lang w:val="es-ES_tradnl"/>
        </w:rPr>
        <w:t>normas de medición de CEM</w:t>
      </w:r>
      <w:r w:rsidRPr="00D15FE4">
        <w:rPr>
          <w:rFonts w:eastAsia="Times New Roman"/>
          <w:szCs w:val="28"/>
          <w:lang w:val="es-ES_tradnl" w:eastAsia="zh-CN"/>
        </w:rPr>
        <w:t xml:space="preserve"> (de la </w:t>
      </w:r>
      <w:r w:rsidRPr="00D15FE4">
        <w:rPr>
          <w:rFonts w:eastAsia="Times New Roman"/>
          <w:lang w:val="es-ES_tradnl"/>
        </w:rPr>
        <w:t>Agencia Nacional de Investigación Radioeléctrica o</w:t>
      </w:r>
      <w:r w:rsidRPr="00D15FE4">
        <w:rPr>
          <w:rFonts w:eastAsia="Times New Roman"/>
          <w:szCs w:val="28"/>
          <w:lang w:val="es-ES_tradnl" w:eastAsia="zh-CN"/>
        </w:rPr>
        <w:t xml:space="preserve"> RRA) y otro para los efectos biológicos, los límites y las políticas de exposición (del </w:t>
      </w:r>
      <w:r w:rsidRPr="00D15FE4">
        <w:rPr>
          <w:rFonts w:eastAsia="Times New Roman"/>
          <w:lang w:val="es-ES_tradnl"/>
        </w:rPr>
        <w:t>Instituto Coreano de Ingeniería Electromagnética y Ciencia o</w:t>
      </w:r>
      <w:r w:rsidRPr="00D15FE4">
        <w:rPr>
          <w:rFonts w:eastAsia="Times New Roman"/>
          <w:szCs w:val="28"/>
          <w:lang w:val="es-ES_tradnl" w:eastAsia="zh-CN"/>
        </w:rPr>
        <w:t xml:space="preserve"> KIEES); una vez cada dos años, se ponen a disposición del público guías y CD que incluyen información relativa a la exposición a los CEM; una revista especializada se divulga una vez al año para los profesionales; y, desde 1999, se celebran una o dos veces al año talleres sobre la relación existente entre los CEM y la biología.</w:t>
      </w:r>
    </w:p>
    <w:p w:rsidR="00181C1A" w:rsidRPr="00574A00" w:rsidRDefault="00181C1A" w:rsidP="005D73E7">
      <w:pPr>
        <w:pStyle w:val="Headingb0"/>
        <w:rPr>
          <w:lang w:val="es-ES_tradnl"/>
        </w:rPr>
      </w:pPr>
      <w:r w:rsidRPr="00574A00">
        <w:rPr>
          <w:lang w:val="es-ES_tradnl"/>
        </w:rPr>
        <w:t>Análisis</w:t>
      </w:r>
    </w:p>
    <w:p w:rsidR="00181C1A" w:rsidRPr="00D15FE4" w:rsidRDefault="00181C1A" w:rsidP="005D73E7">
      <w:pPr>
        <w:rPr>
          <w:b/>
          <w:bCs/>
          <w:iCs/>
          <w:szCs w:val="19"/>
          <w:lang w:val="es-ES_tradnl"/>
        </w:rPr>
      </w:pPr>
      <w:r w:rsidRPr="00D15FE4">
        <w:rPr>
          <w:lang w:val="es-ES_tradnl"/>
        </w:rPr>
        <w:t>La República de Corea es muy activa en materia de proyectos de investigación sobre CEM, y el público también participa a través de periódicos, CD, talleres y libros. Asimismo, se respetan las normas de la ICNIRP y el IEEE.</w:t>
      </w:r>
    </w:p>
    <w:p w:rsidR="00181C1A" w:rsidRPr="00574A00" w:rsidRDefault="00181C1A" w:rsidP="005D73E7">
      <w:pPr>
        <w:pStyle w:val="Heading2"/>
        <w:rPr>
          <w:lang w:val="es-ES_tradnl"/>
        </w:rPr>
      </w:pPr>
      <w:bookmarkStart w:id="31" w:name="_Toc330816730"/>
      <w:bookmarkStart w:id="32" w:name="_Toc370825003"/>
      <w:bookmarkStart w:id="33" w:name="_Toc377560456"/>
      <w:r w:rsidRPr="00574A00">
        <w:rPr>
          <w:lang w:val="es-ES_tradnl"/>
        </w:rPr>
        <w:lastRenderedPageBreak/>
        <w:t>5.4</w:t>
      </w:r>
      <w:r w:rsidRPr="00574A00">
        <w:rPr>
          <w:lang w:val="es-ES_tradnl"/>
        </w:rPr>
        <w:tab/>
        <w:t>Israel</w:t>
      </w:r>
      <w:bookmarkEnd w:id="31"/>
      <w:bookmarkEnd w:id="32"/>
      <w:bookmarkEnd w:id="33"/>
    </w:p>
    <w:p w:rsidR="00181C1A" w:rsidRPr="00D15FE4" w:rsidRDefault="00181C1A" w:rsidP="005D73E7">
      <w:pPr>
        <w:rPr>
          <w:rStyle w:val="hps"/>
          <w:rFonts w:eastAsia="Times New Roman"/>
          <w:lang w:val="es-ES_tradnl"/>
        </w:rPr>
      </w:pPr>
      <w:r w:rsidRPr="00D15FE4">
        <w:rPr>
          <w:b/>
          <w:szCs w:val="19"/>
          <w:lang w:val="es-ES_tradnl"/>
        </w:rPr>
        <w:t>Política:</w:t>
      </w:r>
      <w:r w:rsidRPr="00D15FE4">
        <w:rPr>
          <w:szCs w:val="19"/>
          <w:lang w:val="es-ES_tradnl"/>
        </w:rPr>
        <w:t xml:space="preserve"> </w:t>
      </w:r>
      <w:r w:rsidRPr="00D15FE4">
        <w:rPr>
          <w:rStyle w:val="hps"/>
          <w:rFonts w:eastAsia="Times New Roman"/>
          <w:lang w:val="es-ES_tradnl"/>
        </w:rPr>
        <w:t>Se aplican</w:t>
      </w:r>
      <w:r w:rsidRPr="00D15FE4">
        <w:rPr>
          <w:lang w:val="es-ES_tradnl"/>
        </w:rPr>
        <w:t xml:space="preserve"> </w:t>
      </w:r>
      <w:r w:rsidRPr="00D15FE4">
        <w:rPr>
          <w:rStyle w:val="hps"/>
          <w:rFonts w:eastAsia="Times New Roman"/>
          <w:lang w:val="es-ES_tradnl"/>
        </w:rPr>
        <w:t>los límites de exposición de la</w:t>
      </w:r>
      <w:r w:rsidRPr="00D15FE4">
        <w:rPr>
          <w:lang w:val="es-ES_tradnl"/>
        </w:rPr>
        <w:t xml:space="preserve"> </w:t>
      </w:r>
      <w:r w:rsidRPr="00D15FE4">
        <w:rPr>
          <w:rStyle w:val="hps"/>
          <w:rFonts w:eastAsia="Times New Roman"/>
          <w:lang w:val="es-ES_tradnl"/>
        </w:rPr>
        <w:t>ICNIRP</w:t>
      </w:r>
      <w:r w:rsidRPr="00D15FE4">
        <w:rPr>
          <w:lang w:val="es-ES_tradnl"/>
        </w:rPr>
        <w:t xml:space="preserve">. </w:t>
      </w:r>
      <w:r w:rsidRPr="00D15FE4">
        <w:rPr>
          <w:rStyle w:val="hps"/>
          <w:rFonts w:eastAsia="Times New Roman"/>
          <w:lang w:val="es-ES_tradnl"/>
        </w:rPr>
        <w:t>El Ministerio de</w:t>
      </w:r>
      <w:r w:rsidRPr="00D15FE4">
        <w:rPr>
          <w:lang w:val="es-ES_tradnl"/>
        </w:rPr>
        <w:t xml:space="preserve"> </w:t>
      </w:r>
      <w:r w:rsidRPr="00D15FE4">
        <w:rPr>
          <w:rStyle w:val="hps"/>
          <w:rFonts w:eastAsia="Times New Roman"/>
          <w:lang w:val="es-ES_tradnl"/>
        </w:rPr>
        <w:t>Protección del Medio Ambiente</w:t>
      </w:r>
      <w:r w:rsidRPr="00D15FE4">
        <w:rPr>
          <w:lang w:val="es-ES_tradnl"/>
        </w:rPr>
        <w:t xml:space="preserve"> </w:t>
      </w:r>
      <w:r w:rsidRPr="00D15FE4">
        <w:rPr>
          <w:rStyle w:val="hps"/>
          <w:rFonts w:eastAsia="Times New Roman"/>
          <w:lang w:val="es-ES_tradnl"/>
        </w:rPr>
        <w:t>controla la</w:t>
      </w:r>
      <w:r w:rsidRPr="00D15FE4">
        <w:rPr>
          <w:lang w:val="es-ES_tradnl"/>
        </w:rPr>
        <w:t xml:space="preserve"> </w:t>
      </w:r>
      <w:r w:rsidRPr="00D15FE4">
        <w:rPr>
          <w:rStyle w:val="hps"/>
          <w:rFonts w:eastAsia="Times New Roman"/>
          <w:lang w:val="es-ES_tradnl"/>
        </w:rPr>
        <w:t>exposición humana a los campos</w:t>
      </w:r>
      <w:r w:rsidRPr="00D15FE4">
        <w:rPr>
          <w:lang w:val="es-ES_tradnl"/>
        </w:rPr>
        <w:t xml:space="preserve"> </w:t>
      </w:r>
      <w:r w:rsidRPr="00D15FE4">
        <w:rPr>
          <w:rStyle w:val="hps"/>
          <w:rFonts w:eastAsia="Times New Roman"/>
          <w:lang w:val="es-ES_tradnl"/>
        </w:rPr>
        <w:t>electromagnéticos generados por</w:t>
      </w:r>
      <w:r w:rsidRPr="00D15FE4">
        <w:rPr>
          <w:lang w:val="es-ES_tradnl"/>
        </w:rPr>
        <w:t xml:space="preserve"> </w:t>
      </w:r>
      <w:r w:rsidRPr="00D15FE4">
        <w:rPr>
          <w:rStyle w:val="hps"/>
          <w:rFonts w:eastAsia="Times New Roman"/>
          <w:lang w:val="es-ES_tradnl"/>
        </w:rPr>
        <w:t>estaciones de base.</w:t>
      </w:r>
      <w:r w:rsidRPr="00D15FE4">
        <w:rPr>
          <w:lang w:val="es-ES_tradnl"/>
        </w:rPr>
        <w:t xml:space="preserve"> </w:t>
      </w:r>
      <w:r w:rsidRPr="00D15FE4">
        <w:rPr>
          <w:rStyle w:val="hps"/>
          <w:rFonts w:eastAsia="Times New Roman"/>
          <w:lang w:val="es-ES_tradnl"/>
        </w:rPr>
        <w:t>El marco regulatorio del Estado de Israel</w:t>
      </w:r>
      <w:r w:rsidRPr="00D15FE4">
        <w:rPr>
          <w:lang w:val="es-ES_tradnl"/>
        </w:rPr>
        <w:t xml:space="preserve"> </w:t>
      </w:r>
      <w:r w:rsidRPr="00D15FE4">
        <w:rPr>
          <w:rStyle w:val="hps"/>
          <w:rFonts w:eastAsia="Times New Roman"/>
          <w:lang w:val="es-ES_tradnl"/>
        </w:rPr>
        <w:t>se compone de</w:t>
      </w:r>
      <w:r w:rsidRPr="00D15FE4">
        <w:rPr>
          <w:lang w:val="es-ES_tradnl"/>
        </w:rPr>
        <w:t xml:space="preserve"> la Ley de radiación no ionizante de 2006 </w:t>
      </w:r>
      <w:r w:rsidRPr="00D15FE4">
        <w:rPr>
          <w:rStyle w:val="hps"/>
          <w:rFonts w:eastAsia="Times New Roman"/>
          <w:lang w:val="es-ES_tradnl"/>
        </w:rPr>
        <w:t xml:space="preserve">y los </w:t>
      </w:r>
      <w:r w:rsidRPr="00D15FE4">
        <w:rPr>
          <w:lang w:val="es-ES_tradnl"/>
        </w:rPr>
        <w:t xml:space="preserve">Reglamentos de radiación no ionizante de 2009. Del mismo modo, la Ley de radiación no ionizante estipula que </w:t>
      </w:r>
      <w:r w:rsidRPr="00D15FE4">
        <w:rPr>
          <w:rStyle w:val="hps"/>
          <w:rFonts w:eastAsia="Times New Roman"/>
          <w:lang w:val="es-ES_tradnl"/>
        </w:rPr>
        <w:t>el respeto del principio de precaución</w:t>
      </w:r>
      <w:r w:rsidRPr="00D15FE4">
        <w:rPr>
          <w:lang w:val="es-ES_tradnl"/>
        </w:rPr>
        <w:t xml:space="preserve"> </w:t>
      </w:r>
      <w:r w:rsidRPr="00D15FE4">
        <w:rPr>
          <w:rStyle w:val="hps"/>
          <w:rFonts w:eastAsia="Times New Roman"/>
          <w:lang w:val="es-ES_tradnl"/>
        </w:rPr>
        <w:t>es obligatorio</w:t>
      </w:r>
      <w:r w:rsidRPr="00D15FE4">
        <w:rPr>
          <w:lang w:val="es-ES_tradnl"/>
        </w:rPr>
        <w:t xml:space="preserve">. </w:t>
      </w:r>
      <w:r w:rsidRPr="00D15FE4">
        <w:rPr>
          <w:rStyle w:val="hps"/>
          <w:rFonts w:eastAsia="Times New Roman"/>
          <w:lang w:val="es-ES_tradnl"/>
        </w:rPr>
        <w:t>Israel</w:t>
      </w:r>
      <w:r w:rsidRPr="00D15FE4">
        <w:rPr>
          <w:lang w:val="es-ES_tradnl"/>
        </w:rPr>
        <w:t xml:space="preserve"> </w:t>
      </w:r>
      <w:r w:rsidRPr="00D15FE4">
        <w:rPr>
          <w:rStyle w:val="hps"/>
          <w:rFonts w:eastAsia="Times New Roman"/>
          <w:lang w:val="es-ES_tradnl"/>
        </w:rPr>
        <w:t>fue el primer Estado en efectuar mediciones</w:t>
      </w:r>
      <w:r w:rsidRPr="00D15FE4">
        <w:rPr>
          <w:lang w:val="es-ES_tradnl"/>
        </w:rPr>
        <w:t xml:space="preserve"> </w:t>
      </w:r>
      <w:r w:rsidRPr="00D15FE4">
        <w:rPr>
          <w:rStyle w:val="hps"/>
          <w:rFonts w:eastAsia="Times New Roman"/>
          <w:lang w:val="es-ES_tradnl"/>
        </w:rPr>
        <w:t xml:space="preserve">anuales en torno a las </w:t>
      </w:r>
      <w:r w:rsidRPr="00D15FE4">
        <w:rPr>
          <w:lang w:val="es-ES_tradnl"/>
        </w:rPr>
        <w:t>estaciones transmisoras de base</w:t>
      </w:r>
      <w:r w:rsidRPr="00D15FE4">
        <w:rPr>
          <w:rStyle w:val="hps"/>
          <w:rFonts w:eastAsia="Times New Roman"/>
          <w:lang w:val="es-ES_tradnl"/>
        </w:rPr>
        <w:t>.</w:t>
      </w:r>
      <w:r w:rsidRPr="00D15FE4">
        <w:rPr>
          <w:lang w:val="es-ES_tradnl"/>
        </w:rPr>
        <w:t xml:space="preserve"> </w:t>
      </w:r>
      <w:r w:rsidRPr="00D15FE4">
        <w:rPr>
          <w:rStyle w:val="hps"/>
          <w:rFonts w:eastAsia="Times New Roman"/>
          <w:lang w:val="es-ES_tradnl"/>
        </w:rPr>
        <w:t>Los ciudadanos</w:t>
      </w:r>
      <w:r w:rsidRPr="00D15FE4">
        <w:rPr>
          <w:lang w:val="es-ES_tradnl"/>
        </w:rPr>
        <w:t xml:space="preserve"> </w:t>
      </w:r>
      <w:r w:rsidRPr="00D15FE4">
        <w:rPr>
          <w:rStyle w:val="hps"/>
          <w:rFonts w:eastAsia="Times New Roman"/>
          <w:lang w:val="es-ES_tradnl"/>
        </w:rPr>
        <w:t>pueden</w:t>
      </w:r>
      <w:r w:rsidRPr="00D15FE4">
        <w:rPr>
          <w:lang w:val="es-ES_tradnl"/>
        </w:rPr>
        <w:t xml:space="preserve"> </w:t>
      </w:r>
      <w:r w:rsidRPr="00D15FE4">
        <w:rPr>
          <w:rStyle w:val="hps"/>
          <w:rFonts w:eastAsia="Times New Roman"/>
          <w:lang w:val="es-ES_tradnl"/>
        </w:rPr>
        <w:t>acceder en línea a la información sobre todos los sitios</w:t>
      </w:r>
      <w:r w:rsidRPr="00D15FE4">
        <w:rPr>
          <w:lang w:val="es-ES_tradnl"/>
        </w:rPr>
        <w:t xml:space="preserve"> </w:t>
      </w:r>
      <w:r w:rsidRPr="00D15FE4">
        <w:rPr>
          <w:rStyle w:val="hps"/>
          <w:rFonts w:eastAsia="Times New Roman"/>
          <w:lang w:val="es-ES_tradnl"/>
        </w:rPr>
        <w:t>celulares</w:t>
      </w:r>
      <w:r w:rsidRPr="00D15FE4">
        <w:rPr>
          <w:lang w:val="es-ES_tradnl"/>
        </w:rPr>
        <w:t xml:space="preserve">: </w:t>
      </w:r>
      <w:r w:rsidRPr="00D15FE4">
        <w:rPr>
          <w:rStyle w:val="hps"/>
          <w:rFonts w:eastAsia="Times New Roman"/>
          <w:lang w:val="es-ES_tradnl"/>
        </w:rPr>
        <w:t>8</w:t>
      </w:r>
      <w:r>
        <w:rPr>
          <w:rStyle w:val="hps"/>
          <w:rFonts w:eastAsia="Times New Roman"/>
          <w:lang w:val="es-ES_tradnl"/>
        </w:rPr>
        <w:t> </w:t>
      </w:r>
      <w:r w:rsidRPr="00D15FE4">
        <w:rPr>
          <w:rStyle w:val="hps"/>
          <w:rFonts w:eastAsia="Times New Roman"/>
          <w:lang w:val="es-ES_tradnl"/>
        </w:rPr>
        <w:t>591</w:t>
      </w:r>
      <w:r w:rsidRPr="00D15FE4">
        <w:rPr>
          <w:lang w:val="es-ES_tradnl"/>
        </w:rPr>
        <w:t xml:space="preserve"> </w:t>
      </w:r>
      <w:r w:rsidRPr="00D15FE4">
        <w:rPr>
          <w:rStyle w:val="hps"/>
          <w:rFonts w:eastAsia="Times New Roman"/>
          <w:lang w:val="es-ES_tradnl"/>
        </w:rPr>
        <w:t>estaciones</w:t>
      </w:r>
      <w:r w:rsidRPr="00D15FE4">
        <w:rPr>
          <w:lang w:val="es-ES_tradnl"/>
        </w:rPr>
        <w:t xml:space="preserve"> a fecha de</w:t>
      </w:r>
      <w:r w:rsidRPr="00D15FE4">
        <w:rPr>
          <w:rStyle w:val="hps"/>
          <w:rFonts w:eastAsia="Times New Roman"/>
          <w:lang w:val="es-ES_tradnl"/>
        </w:rPr>
        <w:t xml:space="preserve"> 10 de julio</w:t>
      </w:r>
      <w:r w:rsidRPr="00D15FE4">
        <w:rPr>
          <w:lang w:val="es-ES_tradnl"/>
        </w:rPr>
        <w:t xml:space="preserve"> </w:t>
      </w:r>
      <w:r w:rsidRPr="00D15FE4">
        <w:rPr>
          <w:rStyle w:val="hps"/>
          <w:rFonts w:eastAsia="Times New Roman"/>
          <w:lang w:val="es-ES_tradnl"/>
        </w:rPr>
        <w:t>de 2013 (</w:t>
      </w:r>
      <w:r w:rsidRPr="00D15FE4">
        <w:rPr>
          <w:lang w:val="es-ES_tradnl"/>
        </w:rPr>
        <w:t xml:space="preserve">véase el archivo </w:t>
      </w:r>
      <w:r w:rsidRPr="00D15FE4">
        <w:rPr>
          <w:rStyle w:val="hps"/>
          <w:rFonts w:eastAsia="Times New Roman"/>
          <w:lang w:val="es-ES_tradnl"/>
        </w:rPr>
        <w:t>xls</w:t>
      </w:r>
      <w:r w:rsidRPr="00C7152A">
        <w:rPr>
          <w:b/>
          <w:vertAlign w:val="superscript"/>
          <w:lang w:val="en-GB" w:eastAsia="en-US"/>
        </w:rPr>
        <w:footnoteReference w:id="11"/>
      </w:r>
      <w:r w:rsidRPr="00D15FE4">
        <w:rPr>
          <w:lang w:val="es-ES_tradnl"/>
        </w:rPr>
        <w:t xml:space="preserve">). </w:t>
      </w:r>
      <w:r w:rsidRPr="00D15FE4">
        <w:rPr>
          <w:rStyle w:val="hps"/>
          <w:rFonts w:eastAsia="Times New Roman"/>
          <w:lang w:val="es-ES_tradnl"/>
        </w:rPr>
        <w:t>Entre los datos disponibles se incluyen</w:t>
      </w:r>
      <w:r w:rsidRPr="00D15FE4">
        <w:rPr>
          <w:lang w:val="es-ES_tradnl"/>
        </w:rPr>
        <w:t xml:space="preserve"> </w:t>
      </w:r>
      <w:r w:rsidRPr="00D15FE4">
        <w:rPr>
          <w:rStyle w:val="hps"/>
          <w:rFonts w:eastAsia="Times New Roman"/>
          <w:lang w:val="es-ES_tradnl"/>
        </w:rPr>
        <w:t>el nombre</w:t>
      </w:r>
      <w:r w:rsidRPr="00D15FE4">
        <w:rPr>
          <w:lang w:val="es-ES_tradnl"/>
        </w:rPr>
        <w:t xml:space="preserve"> </w:t>
      </w:r>
      <w:r w:rsidRPr="00D15FE4">
        <w:rPr>
          <w:rStyle w:val="hps"/>
          <w:rFonts w:eastAsia="Times New Roman"/>
          <w:lang w:val="es-ES_tradnl"/>
        </w:rPr>
        <w:t>del operador</w:t>
      </w:r>
      <w:r w:rsidRPr="00D15FE4">
        <w:rPr>
          <w:lang w:val="es-ES_tradnl"/>
        </w:rPr>
        <w:t xml:space="preserve">, la </w:t>
      </w:r>
      <w:r w:rsidRPr="00D15FE4">
        <w:rPr>
          <w:rStyle w:val="hps"/>
          <w:rFonts w:eastAsia="Times New Roman"/>
          <w:lang w:val="es-ES_tradnl"/>
        </w:rPr>
        <w:t>dirección exacta</w:t>
      </w:r>
      <w:r w:rsidRPr="00D15FE4">
        <w:rPr>
          <w:lang w:val="es-ES_tradnl"/>
        </w:rPr>
        <w:t xml:space="preserve">, las coordenadas y las </w:t>
      </w:r>
      <w:r w:rsidRPr="00D15FE4">
        <w:rPr>
          <w:rStyle w:val="hps"/>
          <w:rFonts w:eastAsia="Times New Roman"/>
          <w:lang w:val="es-ES_tradnl"/>
        </w:rPr>
        <w:t>fechas de aprobación</w:t>
      </w:r>
      <w:r w:rsidRPr="00D15FE4">
        <w:rPr>
          <w:lang w:val="es-ES_tradnl"/>
        </w:rPr>
        <w:t xml:space="preserve"> </w:t>
      </w:r>
      <w:r w:rsidRPr="00D15FE4">
        <w:rPr>
          <w:rStyle w:val="hps"/>
          <w:rFonts w:eastAsia="Times New Roman"/>
          <w:lang w:val="es-ES_tradnl"/>
        </w:rPr>
        <w:t>e inicio de operaciones.</w:t>
      </w:r>
    </w:p>
    <w:p w:rsidR="00181C1A" w:rsidRPr="00D15FE4" w:rsidRDefault="00181C1A" w:rsidP="005D73E7">
      <w:pPr>
        <w:rPr>
          <w:rFonts w:cs="Arial"/>
          <w:szCs w:val="19"/>
          <w:lang w:val="es-ES_tradnl"/>
        </w:rPr>
      </w:pPr>
      <w:r w:rsidRPr="00D15FE4">
        <w:rPr>
          <w:rStyle w:val="hps"/>
          <w:rFonts w:eastAsia="Times New Roman"/>
          <w:lang w:val="es-ES_tradnl"/>
        </w:rPr>
        <w:t>El</w:t>
      </w:r>
      <w:r w:rsidRPr="00D15FE4">
        <w:rPr>
          <w:lang w:val="es-ES_tradnl"/>
        </w:rPr>
        <w:t xml:space="preserve"> Departamento de Reducción del Ruido y la Radiación del Ministerio de Protección del Medio Ambiente puso en marcha</w:t>
      </w:r>
      <w:r w:rsidRPr="00D15FE4">
        <w:rPr>
          <w:rStyle w:val="hps"/>
          <w:rFonts w:eastAsia="Times New Roman"/>
          <w:lang w:val="es-ES_tradnl"/>
        </w:rPr>
        <w:t xml:space="preserve"> un</w:t>
      </w:r>
      <w:r w:rsidRPr="00D15FE4">
        <w:rPr>
          <w:lang w:val="es-ES_tradnl"/>
        </w:rPr>
        <w:t xml:space="preserve"> </w:t>
      </w:r>
      <w:r w:rsidRPr="00D15FE4">
        <w:rPr>
          <w:rStyle w:val="hps"/>
          <w:rFonts w:eastAsia="Times New Roman"/>
          <w:lang w:val="es-ES_tradnl"/>
        </w:rPr>
        <w:t>programa innovador</w:t>
      </w:r>
      <w:r w:rsidRPr="00D15FE4">
        <w:rPr>
          <w:lang w:val="es-ES_tradnl"/>
        </w:rPr>
        <w:t xml:space="preserve"> </w:t>
      </w:r>
      <w:r w:rsidRPr="00D15FE4">
        <w:rPr>
          <w:rStyle w:val="hps"/>
          <w:rFonts w:eastAsia="Times New Roman"/>
          <w:lang w:val="es-ES_tradnl"/>
        </w:rPr>
        <w:t>en 2010, que</w:t>
      </w:r>
      <w:r w:rsidRPr="00D15FE4">
        <w:rPr>
          <w:lang w:val="es-ES_tradnl"/>
        </w:rPr>
        <w:t xml:space="preserve"> permite al Comisionado de radiación controlar desde su oficina los más de 30.000 sectores UMTS del país, y recibir todos los datos relacionados con la radiación de cada antena nacional, las 24 horas del día, los 365 días del año. </w:t>
      </w:r>
      <w:r w:rsidRPr="00D15FE4">
        <w:rPr>
          <w:rStyle w:val="hps"/>
          <w:rFonts w:eastAsia="Times New Roman"/>
          <w:lang w:val="es-ES_tradnl"/>
        </w:rPr>
        <w:t>El programa funciona</w:t>
      </w:r>
      <w:r w:rsidRPr="00D15FE4">
        <w:rPr>
          <w:lang w:val="es-ES_tradnl"/>
        </w:rPr>
        <w:t xml:space="preserve"> </w:t>
      </w:r>
      <w:r w:rsidRPr="00D15FE4">
        <w:rPr>
          <w:rStyle w:val="hps"/>
          <w:rFonts w:eastAsia="Times New Roman"/>
          <w:lang w:val="es-ES_tradnl"/>
        </w:rPr>
        <w:t>mediante la extracción de</w:t>
      </w:r>
      <w:r w:rsidRPr="00D15FE4">
        <w:rPr>
          <w:lang w:val="es-ES_tradnl"/>
        </w:rPr>
        <w:t xml:space="preserve"> archivos de datos brutos directamente de los controladores de conmutación radioeléctrica del operador celular</w:t>
      </w:r>
      <w:r w:rsidRPr="00D15FE4">
        <w:rPr>
          <w:rStyle w:val="hps"/>
          <w:rFonts w:eastAsia="Times New Roman"/>
          <w:lang w:val="es-ES_tradnl"/>
        </w:rPr>
        <w:t>.</w:t>
      </w:r>
      <w:r w:rsidRPr="00D15FE4">
        <w:rPr>
          <w:lang w:val="es-ES_tradnl"/>
        </w:rPr>
        <w:t xml:space="preserve"> Asimismo, verifica la autenticidad de los datos, los analiza, los compara con los de los permisos y detecta las infracciones.</w:t>
      </w:r>
      <w:r w:rsidRPr="00D15FE4">
        <w:rPr>
          <w:rStyle w:val="hps"/>
          <w:rFonts w:eastAsia="Times New Roman"/>
          <w:lang w:val="es-ES_tradnl"/>
        </w:rPr>
        <w:t xml:space="preserve"> </w:t>
      </w:r>
    </w:p>
    <w:p w:rsidR="00181C1A" w:rsidRPr="00D15FE4" w:rsidRDefault="00181C1A" w:rsidP="005D73E7">
      <w:pPr>
        <w:rPr>
          <w:lang w:val="es-ES_tradnl"/>
        </w:rPr>
      </w:pPr>
      <w:r w:rsidRPr="00D15FE4">
        <w:rPr>
          <w:rStyle w:val="hps"/>
          <w:rFonts w:eastAsia="Times New Roman"/>
          <w:lang w:val="es-ES_tradnl"/>
        </w:rPr>
        <w:t>Además</w:t>
      </w:r>
      <w:r w:rsidRPr="00D15FE4">
        <w:rPr>
          <w:lang w:val="es-ES_tradnl"/>
        </w:rPr>
        <w:t xml:space="preserve">, este sistema puede utilizarse para realizar un seguimiento continuo de </w:t>
      </w:r>
      <w:r w:rsidRPr="00D15FE4">
        <w:rPr>
          <w:rStyle w:val="hps"/>
          <w:rFonts w:eastAsia="Times New Roman"/>
          <w:lang w:val="es-ES_tradnl"/>
        </w:rPr>
        <w:t>parámetros</w:t>
      </w:r>
      <w:r w:rsidRPr="00D15FE4">
        <w:rPr>
          <w:lang w:val="es-ES_tradnl"/>
        </w:rPr>
        <w:t xml:space="preserve"> tales como el uso de radiofrecuencias en relación con el espectro asignado o los de calidad de servicio (QoS) como por ejemplo, la tasa de abandono de llamadas, el bloqueo de llamadas, el tiempo de retorno al servicio o la cobertura por tipo de zona.</w:t>
      </w:r>
    </w:p>
    <w:p w:rsidR="00181C1A" w:rsidRPr="00D15FE4" w:rsidRDefault="00181C1A" w:rsidP="005D73E7">
      <w:pPr>
        <w:rPr>
          <w:rStyle w:val="hps"/>
          <w:rFonts w:eastAsia="Times New Roman"/>
          <w:lang w:val="es-ES_tradnl"/>
        </w:rPr>
      </w:pPr>
      <w:r w:rsidRPr="00D15FE4">
        <w:rPr>
          <w:rStyle w:val="hps"/>
          <w:rFonts w:eastAsia="Times New Roman"/>
          <w:b/>
          <w:lang w:val="es-ES_tradnl"/>
        </w:rPr>
        <w:t>Suministro de información</w:t>
      </w:r>
      <w:r w:rsidRPr="00D15FE4">
        <w:rPr>
          <w:b/>
          <w:lang w:val="es-ES_tradnl"/>
        </w:rPr>
        <w:t>:</w:t>
      </w:r>
      <w:r w:rsidRPr="00D15FE4">
        <w:rPr>
          <w:lang w:val="es-ES_tradnl"/>
        </w:rPr>
        <w:t xml:space="preserve"> </w:t>
      </w:r>
      <w:r w:rsidRPr="00D15FE4">
        <w:rPr>
          <w:rStyle w:val="hps"/>
          <w:rFonts w:eastAsia="Times New Roman"/>
          <w:lang w:val="es-ES_tradnl"/>
        </w:rPr>
        <w:t>El servicio de</w:t>
      </w:r>
      <w:r w:rsidRPr="00D15FE4">
        <w:rPr>
          <w:lang w:val="es-ES_tradnl"/>
        </w:rPr>
        <w:t xml:space="preserve"> </w:t>
      </w:r>
      <w:r w:rsidRPr="00D15FE4">
        <w:rPr>
          <w:rStyle w:val="hps"/>
          <w:rFonts w:eastAsia="Times New Roman"/>
          <w:lang w:val="es-ES_tradnl"/>
        </w:rPr>
        <w:t>Tecnología de Supervisión Técnica de</w:t>
      </w:r>
      <w:r w:rsidRPr="00D15FE4">
        <w:rPr>
          <w:lang w:val="es-ES_tradnl"/>
        </w:rPr>
        <w:t xml:space="preserve"> </w:t>
      </w:r>
      <w:r w:rsidRPr="00D15FE4">
        <w:rPr>
          <w:rStyle w:val="hps"/>
          <w:rFonts w:eastAsia="Times New Roman"/>
          <w:lang w:val="es-ES_tradnl"/>
        </w:rPr>
        <w:t>Israel</w:t>
      </w:r>
      <w:r w:rsidRPr="00D15FE4">
        <w:rPr>
          <w:lang w:val="es-ES_tradnl"/>
        </w:rPr>
        <w:t xml:space="preserve"> </w:t>
      </w:r>
      <w:r w:rsidRPr="00D15FE4">
        <w:rPr>
          <w:rStyle w:val="hps"/>
          <w:rFonts w:eastAsia="Times New Roman"/>
          <w:lang w:val="es-ES_tradnl"/>
        </w:rPr>
        <w:t>proporciona datos a los que se puede acceder fácilmente, puesto que todos han sido recopilados, analizados y publicados en el sitio web</w:t>
      </w:r>
      <w:r w:rsidRPr="00D15FE4">
        <w:rPr>
          <w:lang w:val="es-ES_tradnl"/>
        </w:rPr>
        <w:t xml:space="preserve"> </w:t>
      </w:r>
      <w:r w:rsidRPr="00D15FE4">
        <w:rPr>
          <w:rStyle w:val="hps"/>
          <w:rFonts w:eastAsia="Times New Roman"/>
          <w:lang w:val="es-ES_tradnl"/>
        </w:rPr>
        <w:t>del Ministerio</w:t>
      </w:r>
      <w:r w:rsidRPr="00D15FE4">
        <w:rPr>
          <w:lang w:val="es-ES_tradnl"/>
        </w:rPr>
        <w:t xml:space="preserve">, lo cual permite </w:t>
      </w:r>
      <w:r w:rsidRPr="00D15FE4">
        <w:rPr>
          <w:rStyle w:val="hps"/>
          <w:rFonts w:eastAsia="Times New Roman"/>
          <w:lang w:val="es-ES_tradnl"/>
        </w:rPr>
        <w:t>una transparencia</w:t>
      </w:r>
      <w:r w:rsidRPr="00D15FE4">
        <w:rPr>
          <w:lang w:val="es-ES_tradnl"/>
        </w:rPr>
        <w:t xml:space="preserve"> </w:t>
      </w:r>
      <w:r w:rsidRPr="00D15FE4">
        <w:rPr>
          <w:rStyle w:val="hps"/>
          <w:rFonts w:eastAsia="Times New Roman"/>
          <w:lang w:val="es-ES_tradnl"/>
        </w:rPr>
        <w:t>total para el público en</w:t>
      </w:r>
      <w:r w:rsidRPr="00D15FE4">
        <w:rPr>
          <w:lang w:val="es-ES_tradnl"/>
        </w:rPr>
        <w:t xml:space="preserve"> </w:t>
      </w:r>
      <w:r w:rsidRPr="00D15FE4">
        <w:rPr>
          <w:rStyle w:val="hps"/>
          <w:rFonts w:eastAsia="Times New Roman"/>
          <w:lang w:val="es-ES_tradnl"/>
        </w:rPr>
        <w:t>general.</w:t>
      </w:r>
      <w:r w:rsidRPr="00D15FE4">
        <w:rPr>
          <w:lang w:val="es-ES_tradnl"/>
        </w:rPr>
        <w:t xml:space="preserve"> </w:t>
      </w:r>
      <w:r w:rsidRPr="00D15FE4">
        <w:rPr>
          <w:rStyle w:val="hps"/>
          <w:rFonts w:eastAsia="Times New Roman"/>
          <w:lang w:val="es-ES_tradnl"/>
        </w:rPr>
        <w:t>Cuando el sistema</w:t>
      </w:r>
      <w:r w:rsidRPr="00D15FE4">
        <w:rPr>
          <w:lang w:val="es-ES_tradnl"/>
        </w:rPr>
        <w:t xml:space="preserve"> </w:t>
      </w:r>
      <w:r w:rsidRPr="00D15FE4">
        <w:rPr>
          <w:rStyle w:val="hps"/>
          <w:rFonts w:eastAsia="Times New Roman"/>
          <w:lang w:val="es-ES_tradnl"/>
        </w:rPr>
        <w:t>detecta una infracción</w:t>
      </w:r>
      <w:r w:rsidRPr="00D15FE4">
        <w:rPr>
          <w:lang w:val="es-ES_tradnl"/>
        </w:rPr>
        <w:t xml:space="preserve">, </w:t>
      </w:r>
      <w:r w:rsidRPr="00D15FE4">
        <w:rPr>
          <w:rStyle w:val="hps"/>
          <w:rFonts w:eastAsia="Times New Roman"/>
          <w:lang w:val="es-ES_tradnl"/>
        </w:rPr>
        <w:t>autoriza</w:t>
      </w:r>
      <w:r w:rsidRPr="00D15FE4">
        <w:rPr>
          <w:lang w:val="es-ES_tradnl"/>
        </w:rPr>
        <w:t xml:space="preserve"> </w:t>
      </w:r>
      <w:r w:rsidRPr="00D15FE4">
        <w:rPr>
          <w:rStyle w:val="hps"/>
          <w:rFonts w:eastAsia="Times New Roman"/>
          <w:lang w:val="es-ES_tradnl"/>
        </w:rPr>
        <w:t>la automatización de</w:t>
      </w:r>
      <w:r w:rsidRPr="00D15FE4">
        <w:rPr>
          <w:lang w:val="es-ES_tradnl"/>
        </w:rPr>
        <w:t xml:space="preserve"> </w:t>
      </w:r>
      <w:r w:rsidRPr="00D15FE4">
        <w:rPr>
          <w:rStyle w:val="hps"/>
          <w:rFonts w:eastAsia="Times New Roman"/>
          <w:lang w:val="es-ES_tradnl"/>
        </w:rPr>
        <w:t>alertas</w:t>
      </w:r>
      <w:r w:rsidRPr="00D15FE4">
        <w:rPr>
          <w:lang w:val="es-ES_tradnl"/>
        </w:rPr>
        <w:t xml:space="preserve"> </w:t>
      </w:r>
      <w:r w:rsidRPr="00D15FE4">
        <w:rPr>
          <w:rStyle w:val="hps"/>
          <w:rFonts w:eastAsia="Times New Roman"/>
          <w:lang w:val="es-ES_tradnl"/>
        </w:rPr>
        <w:t>tanto a nivel interno</w:t>
      </w:r>
      <w:r w:rsidRPr="00D15FE4">
        <w:rPr>
          <w:lang w:val="es-ES_tradnl"/>
        </w:rPr>
        <w:t xml:space="preserve"> (para el propio </w:t>
      </w:r>
      <w:r w:rsidRPr="00D15FE4">
        <w:rPr>
          <w:rStyle w:val="hps"/>
          <w:rFonts w:eastAsia="Times New Roman"/>
          <w:lang w:val="es-ES_tradnl"/>
        </w:rPr>
        <w:t>Ministerio) como a nivel de</w:t>
      </w:r>
      <w:r w:rsidRPr="00D15FE4">
        <w:rPr>
          <w:lang w:val="es-ES_tradnl"/>
        </w:rPr>
        <w:t xml:space="preserve"> </w:t>
      </w:r>
      <w:r w:rsidRPr="00D15FE4">
        <w:rPr>
          <w:rStyle w:val="hps"/>
          <w:rFonts w:eastAsia="Times New Roman"/>
          <w:lang w:val="es-ES_tradnl"/>
        </w:rPr>
        <w:t>los operadores.</w:t>
      </w:r>
      <w:r w:rsidRPr="00D15FE4">
        <w:rPr>
          <w:lang w:val="es-ES_tradnl"/>
        </w:rPr>
        <w:t xml:space="preserve"> De esta forma, se mantiene </w:t>
      </w:r>
      <w:r w:rsidRPr="00D15FE4">
        <w:rPr>
          <w:rStyle w:val="hps"/>
          <w:rFonts w:eastAsia="Times New Roman"/>
          <w:lang w:val="es-ES_tradnl"/>
        </w:rPr>
        <w:t>un registro</w:t>
      </w:r>
      <w:r w:rsidRPr="00D15FE4">
        <w:rPr>
          <w:lang w:val="es-ES_tradnl"/>
        </w:rPr>
        <w:t xml:space="preserve"> </w:t>
      </w:r>
      <w:r w:rsidRPr="00D15FE4">
        <w:rPr>
          <w:rStyle w:val="hps"/>
          <w:rFonts w:eastAsia="Times New Roman"/>
          <w:lang w:val="es-ES_tradnl"/>
        </w:rPr>
        <w:t>claro</w:t>
      </w:r>
      <w:r w:rsidRPr="00D15FE4">
        <w:rPr>
          <w:lang w:val="es-ES_tradnl"/>
        </w:rPr>
        <w:t xml:space="preserve"> </w:t>
      </w:r>
      <w:r w:rsidRPr="00D15FE4">
        <w:rPr>
          <w:rStyle w:val="hps"/>
          <w:rFonts w:eastAsia="Times New Roman"/>
          <w:lang w:val="es-ES_tradnl"/>
        </w:rPr>
        <w:t>de las actividades</w:t>
      </w:r>
      <w:r w:rsidRPr="00D15FE4">
        <w:rPr>
          <w:lang w:val="es-ES_tradnl"/>
        </w:rPr>
        <w:t xml:space="preserve"> </w:t>
      </w:r>
      <w:r w:rsidRPr="00D15FE4">
        <w:rPr>
          <w:rStyle w:val="hps"/>
          <w:rFonts w:eastAsia="Times New Roman"/>
          <w:lang w:val="es-ES_tradnl"/>
        </w:rPr>
        <w:t>desde el inicio hasta</w:t>
      </w:r>
      <w:r w:rsidRPr="00D15FE4">
        <w:rPr>
          <w:lang w:val="es-ES_tradnl"/>
        </w:rPr>
        <w:t xml:space="preserve"> </w:t>
      </w:r>
      <w:r w:rsidRPr="00D15FE4">
        <w:rPr>
          <w:rStyle w:val="hps"/>
          <w:rFonts w:eastAsia="Times New Roman"/>
          <w:lang w:val="es-ES_tradnl"/>
        </w:rPr>
        <w:t>el final.</w:t>
      </w:r>
      <w:r w:rsidRPr="00D15FE4">
        <w:rPr>
          <w:lang w:val="es-ES_tradnl"/>
        </w:rPr>
        <w:t xml:space="preserve"> </w:t>
      </w:r>
      <w:r w:rsidRPr="00D15FE4">
        <w:rPr>
          <w:rStyle w:val="hps"/>
          <w:rFonts w:eastAsia="Times New Roman"/>
          <w:lang w:val="es-ES_tradnl"/>
        </w:rPr>
        <w:t>La lista de</w:t>
      </w:r>
      <w:r w:rsidRPr="00D15FE4">
        <w:rPr>
          <w:lang w:val="es-ES_tradnl"/>
        </w:rPr>
        <w:t xml:space="preserve"> </w:t>
      </w:r>
      <w:r w:rsidRPr="00D15FE4">
        <w:rPr>
          <w:rStyle w:val="hps"/>
          <w:rFonts w:eastAsia="Times New Roman"/>
          <w:lang w:val="es-ES_tradnl"/>
        </w:rPr>
        <w:t>infracciones está disponible en la</w:t>
      </w:r>
      <w:r w:rsidRPr="00D15FE4">
        <w:rPr>
          <w:lang w:val="es-ES_tradnl"/>
        </w:rPr>
        <w:t xml:space="preserve"> </w:t>
      </w:r>
      <w:r w:rsidRPr="00D15FE4">
        <w:rPr>
          <w:rStyle w:val="hps"/>
          <w:rFonts w:eastAsia="Times New Roman"/>
          <w:lang w:val="es-ES_tradnl"/>
        </w:rPr>
        <w:t>web.</w:t>
      </w:r>
    </w:p>
    <w:p w:rsidR="00181C1A" w:rsidRPr="00574A00" w:rsidRDefault="00181C1A" w:rsidP="007F01E8">
      <w:pPr>
        <w:pStyle w:val="Headingb0"/>
        <w:rPr>
          <w:lang w:val="es-ES_tradnl"/>
        </w:rPr>
      </w:pPr>
      <w:r w:rsidRPr="00574A00">
        <w:rPr>
          <w:lang w:val="es-ES_tradnl"/>
        </w:rPr>
        <w:t>Análisis</w:t>
      </w:r>
    </w:p>
    <w:p w:rsidR="00181C1A" w:rsidRPr="00D15FE4" w:rsidRDefault="00181C1A" w:rsidP="0028348F">
      <w:pPr>
        <w:rPr>
          <w:rFonts w:eastAsia="Times New Roman"/>
          <w:lang w:val="es-ES_tradnl"/>
        </w:rPr>
      </w:pPr>
      <w:r w:rsidRPr="00D15FE4">
        <w:rPr>
          <w:rStyle w:val="hps"/>
          <w:rFonts w:eastAsia="Times New Roman"/>
          <w:lang w:val="es-ES_tradnl"/>
        </w:rPr>
        <w:t>Israel</w:t>
      </w:r>
      <w:r w:rsidRPr="00D15FE4">
        <w:rPr>
          <w:rFonts w:eastAsia="Times New Roman"/>
          <w:lang w:val="es-ES_tradnl"/>
        </w:rPr>
        <w:t xml:space="preserve"> </w:t>
      </w:r>
      <w:r w:rsidRPr="00D15FE4">
        <w:rPr>
          <w:rStyle w:val="hps"/>
          <w:rFonts w:eastAsia="Times New Roman"/>
          <w:lang w:val="es-ES_tradnl"/>
        </w:rPr>
        <w:t>ha puesto en marcha</w:t>
      </w:r>
      <w:r w:rsidRPr="00D15FE4">
        <w:rPr>
          <w:rFonts w:eastAsia="Times New Roman"/>
          <w:lang w:val="es-ES_tradnl"/>
        </w:rPr>
        <w:t xml:space="preserve"> </w:t>
      </w:r>
      <w:r w:rsidRPr="00D15FE4">
        <w:rPr>
          <w:rStyle w:val="hps"/>
          <w:rFonts w:eastAsia="Times New Roman"/>
          <w:lang w:val="es-ES_tradnl"/>
        </w:rPr>
        <w:t>un sistema de supervisión técnica</w:t>
      </w:r>
      <w:r w:rsidRPr="00D15FE4">
        <w:rPr>
          <w:rFonts w:eastAsia="Times New Roman"/>
          <w:lang w:val="es-ES_tradnl"/>
        </w:rPr>
        <w:t xml:space="preserve"> </w:t>
      </w:r>
      <w:r w:rsidRPr="00D15FE4">
        <w:rPr>
          <w:rStyle w:val="hps"/>
          <w:rFonts w:eastAsia="Times New Roman"/>
          <w:lang w:val="es-ES_tradnl"/>
        </w:rPr>
        <w:t>sencillo para los usuarios y cuyo funcionamiento</w:t>
      </w:r>
      <w:r w:rsidRPr="00D15FE4">
        <w:rPr>
          <w:rFonts w:eastAsia="Times New Roman"/>
          <w:lang w:val="es-ES_tradnl"/>
        </w:rPr>
        <w:t xml:space="preserve"> </w:t>
      </w:r>
      <w:r w:rsidRPr="00D15FE4">
        <w:rPr>
          <w:rStyle w:val="hps"/>
          <w:rFonts w:eastAsia="Times New Roman"/>
          <w:lang w:val="es-ES_tradnl"/>
        </w:rPr>
        <w:t>es más eficiente y</w:t>
      </w:r>
      <w:r w:rsidRPr="00D15FE4">
        <w:rPr>
          <w:rFonts w:eastAsia="Times New Roman"/>
          <w:lang w:val="es-ES_tradnl"/>
        </w:rPr>
        <w:t xml:space="preserve"> </w:t>
      </w:r>
      <w:r w:rsidRPr="00D15FE4">
        <w:rPr>
          <w:rStyle w:val="hps"/>
          <w:rFonts w:eastAsia="Times New Roman"/>
          <w:lang w:val="es-ES_tradnl"/>
        </w:rPr>
        <w:t>fiable.</w:t>
      </w:r>
    </w:p>
    <w:p w:rsidR="00181C1A" w:rsidRPr="00D15FE4" w:rsidRDefault="00181C1A" w:rsidP="0028348F">
      <w:pPr>
        <w:rPr>
          <w:rStyle w:val="hps"/>
          <w:rFonts w:eastAsia="Times New Roman" w:cs="Simplified Arabic"/>
          <w:lang w:val="es-ES_tradnl"/>
        </w:rPr>
      </w:pPr>
      <w:r w:rsidRPr="00D15FE4">
        <w:rPr>
          <w:rStyle w:val="hps"/>
          <w:rFonts w:eastAsia="Times New Roman"/>
          <w:lang w:val="es-ES_tradnl"/>
        </w:rPr>
        <w:t>Debido a la</w:t>
      </w:r>
      <w:r w:rsidRPr="00D15FE4">
        <w:rPr>
          <w:rFonts w:eastAsia="Times New Roman"/>
          <w:lang w:val="es-ES_tradnl"/>
        </w:rPr>
        <w:t xml:space="preserve"> </w:t>
      </w:r>
      <w:r w:rsidRPr="00D15FE4">
        <w:rPr>
          <w:rStyle w:val="hps"/>
          <w:rFonts w:eastAsia="Times New Roman"/>
          <w:lang w:val="es-ES_tradnl"/>
        </w:rPr>
        <w:t>extensa</w:t>
      </w:r>
      <w:r w:rsidRPr="00D15FE4">
        <w:rPr>
          <w:rFonts w:eastAsia="Times New Roman"/>
          <w:lang w:val="es-ES_tradnl"/>
        </w:rPr>
        <w:t xml:space="preserve"> </w:t>
      </w:r>
      <w:r w:rsidRPr="00D15FE4">
        <w:rPr>
          <w:rStyle w:val="hps"/>
          <w:rFonts w:eastAsia="Times New Roman"/>
          <w:lang w:val="es-ES_tradnl"/>
        </w:rPr>
        <w:t>exposición de las personas a las RF</w:t>
      </w:r>
      <w:r w:rsidRPr="00D15FE4">
        <w:rPr>
          <w:rFonts w:eastAsia="Times New Roman"/>
          <w:lang w:val="es-ES_tradnl"/>
        </w:rPr>
        <w:t xml:space="preserve"> procedentes </w:t>
      </w:r>
      <w:r w:rsidRPr="00D15FE4">
        <w:rPr>
          <w:rStyle w:val="hps"/>
          <w:rFonts w:eastAsia="Times New Roman"/>
          <w:lang w:val="es-ES_tradnl"/>
        </w:rPr>
        <w:t>de</w:t>
      </w:r>
      <w:r w:rsidRPr="00D15FE4">
        <w:rPr>
          <w:rFonts w:eastAsia="Times New Roman"/>
          <w:lang w:val="es-ES_tradnl"/>
        </w:rPr>
        <w:t xml:space="preserve"> </w:t>
      </w:r>
      <w:r w:rsidRPr="00D15FE4">
        <w:rPr>
          <w:rStyle w:val="hps"/>
          <w:rFonts w:eastAsia="Times New Roman"/>
          <w:lang w:val="es-ES_tradnl"/>
        </w:rPr>
        <w:t>los</w:t>
      </w:r>
      <w:r w:rsidRPr="00D15FE4">
        <w:rPr>
          <w:rFonts w:eastAsia="Times New Roman"/>
          <w:lang w:val="es-ES_tradnl"/>
        </w:rPr>
        <w:t xml:space="preserve"> </w:t>
      </w:r>
      <w:r w:rsidRPr="00D15FE4">
        <w:rPr>
          <w:rStyle w:val="hps"/>
          <w:rFonts w:eastAsia="Times New Roman"/>
          <w:lang w:val="es-ES_tradnl"/>
        </w:rPr>
        <w:t>emisores</w:t>
      </w:r>
      <w:r w:rsidRPr="00D15FE4">
        <w:rPr>
          <w:rFonts w:eastAsia="Times New Roman"/>
          <w:lang w:val="es-ES_tradnl"/>
        </w:rPr>
        <w:t xml:space="preserve"> </w:t>
      </w:r>
      <w:r w:rsidRPr="00D15FE4">
        <w:rPr>
          <w:rStyle w:val="hps"/>
          <w:rFonts w:eastAsia="Times New Roman"/>
          <w:lang w:val="es-ES_tradnl"/>
        </w:rPr>
        <w:t>de</w:t>
      </w:r>
      <w:r w:rsidRPr="00D15FE4">
        <w:rPr>
          <w:rFonts w:eastAsia="Times New Roman"/>
          <w:lang w:val="es-ES_tradnl"/>
        </w:rPr>
        <w:t xml:space="preserve"> </w:t>
      </w:r>
      <w:r w:rsidRPr="00D15FE4">
        <w:rPr>
          <w:rStyle w:val="hps"/>
          <w:rFonts w:eastAsia="Times New Roman"/>
          <w:lang w:val="es-ES_tradnl"/>
        </w:rPr>
        <w:t>radiodifusión</w:t>
      </w:r>
      <w:r w:rsidRPr="00D15FE4">
        <w:rPr>
          <w:rFonts w:eastAsia="Times New Roman"/>
          <w:lang w:val="es-ES_tradnl"/>
        </w:rPr>
        <w:t xml:space="preserve"> </w:t>
      </w:r>
      <w:r w:rsidRPr="00D15FE4">
        <w:rPr>
          <w:rStyle w:val="hps"/>
          <w:rFonts w:eastAsia="Times New Roman"/>
          <w:lang w:val="es-ES_tradnl"/>
        </w:rPr>
        <w:t>y</w:t>
      </w:r>
      <w:r w:rsidRPr="00D15FE4">
        <w:rPr>
          <w:rFonts w:eastAsia="Times New Roman"/>
          <w:lang w:val="es-ES_tradnl"/>
        </w:rPr>
        <w:t xml:space="preserve"> las </w:t>
      </w:r>
      <w:r w:rsidRPr="00D15FE4">
        <w:rPr>
          <w:rStyle w:val="hps"/>
          <w:rFonts w:eastAsia="Times New Roman"/>
          <w:lang w:val="es-ES_tradnl"/>
        </w:rPr>
        <w:t>estaciones de base</w:t>
      </w:r>
      <w:r w:rsidRPr="00D15FE4">
        <w:rPr>
          <w:rFonts w:eastAsia="Times New Roman"/>
          <w:lang w:val="es-ES_tradnl"/>
        </w:rPr>
        <w:t xml:space="preserve"> </w:t>
      </w:r>
      <w:r w:rsidRPr="00D15FE4">
        <w:rPr>
          <w:rStyle w:val="hps"/>
          <w:rFonts w:eastAsia="Times New Roman"/>
          <w:lang w:val="es-ES_tradnl"/>
        </w:rPr>
        <w:t>celulares, así como a la</w:t>
      </w:r>
      <w:r w:rsidRPr="00D15FE4">
        <w:rPr>
          <w:rFonts w:eastAsia="Times New Roman"/>
          <w:lang w:val="es-ES_tradnl"/>
        </w:rPr>
        <w:t xml:space="preserve"> </w:t>
      </w:r>
      <w:r w:rsidRPr="00D15FE4">
        <w:rPr>
          <w:rStyle w:val="hps"/>
          <w:rFonts w:eastAsia="Times New Roman"/>
          <w:lang w:val="es-ES_tradnl"/>
        </w:rPr>
        <w:t>incertidumbre</w:t>
      </w:r>
      <w:r w:rsidRPr="00D15FE4">
        <w:rPr>
          <w:rFonts w:eastAsia="Times New Roman"/>
          <w:lang w:val="es-ES_tradnl"/>
        </w:rPr>
        <w:t xml:space="preserve"> </w:t>
      </w:r>
      <w:r w:rsidRPr="00D15FE4">
        <w:rPr>
          <w:rStyle w:val="hps"/>
          <w:rFonts w:eastAsia="Times New Roman"/>
          <w:lang w:val="es-ES_tradnl"/>
        </w:rPr>
        <w:t>científica</w:t>
      </w:r>
      <w:r w:rsidRPr="00D15FE4">
        <w:rPr>
          <w:rFonts w:eastAsia="Times New Roman"/>
          <w:lang w:val="es-ES_tradnl"/>
        </w:rPr>
        <w:t xml:space="preserve"> </w:t>
      </w:r>
      <w:r w:rsidRPr="00D15FE4">
        <w:rPr>
          <w:rStyle w:val="hps"/>
          <w:rFonts w:eastAsia="Times New Roman"/>
          <w:lang w:val="es-ES_tradnl"/>
        </w:rPr>
        <w:t>que existe aún con respecto a sus posibles efectos</w:t>
      </w:r>
      <w:r w:rsidRPr="00D15FE4">
        <w:rPr>
          <w:rFonts w:eastAsia="Times New Roman"/>
          <w:lang w:val="es-ES_tradnl"/>
        </w:rPr>
        <w:t xml:space="preserve"> </w:t>
      </w:r>
      <w:r w:rsidRPr="00D15FE4">
        <w:rPr>
          <w:rStyle w:val="hps"/>
          <w:rFonts w:eastAsia="Times New Roman"/>
          <w:lang w:val="es-ES_tradnl"/>
        </w:rPr>
        <w:t>nocivos</w:t>
      </w:r>
      <w:r w:rsidRPr="00D15FE4">
        <w:rPr>
          <w:rFonts w:eastAsia="Times New Roman"/>
          <w:lang w:val="es-ES_tradnl"/>
        </w:rPr>
        <w:t xml:space="preserve">, Israel </w:t>
      </w:r>
      <w:r w:rsidRPr="00D15FE4">
        <w:rPr>
          <w:rStyle w:val="hps"/>
          <w:rFonts w:eastAsia="Times New Roman"/>
          <w:lang w:val="es-ES_tradnl"/>
        </w:rPr>
        <w:t xml:space="preserve">propone que se dé prioridad a </w:t>
      </w:r>
      <w:r w:rsidRPr="00D15FE4">
        <w:rPr>
          <w:rFonts w:eastAsia="Times New Roman"/>
          <w:lang w:val="es-ES_tradnl"/>
        </w:rPr>
        <w:t>las telecomunicaciones alternativas por cable, fibra óptica y satélite, en lugar de a la televisión propagada por el aire, los enrutadores inalámbricos para Internet y el acceso fijo inalámbrico. Asimismo, aboga por la promoción de la coubicación de emplazamientos celulares entre los operadores con objeto de reducir el número de estaciones de base y la exposición de las personas a los CEM.</w:t>
      </w:r>
    </w:p>
    <w:p w:rsidR="00181C1A" w:rsidRPr="00574A00" w:rsidRDefault="00181C1A" w:rsidP="00DD6798">
      <w:pPr>
        <w:pStyle w:val="Heading2"/>
        <w:rPr>
          <w:lang w:val="es-ES_tradnl"/>
        </w:rPr>
      </w:pPr>
      <w:bookmarkStart w:id="34" w:name="_Toc330816731"/>
      <w:bookmarkStart w:id="35" w:name="_Toc370825004"/>
      <w:bookmarkStart w:id="36" w:name="_Toc377560457"/>
      <w:r w:rsidRPr="00574A00">
        <w:rPr>
          <w:lang w:val="es-ES_tradnl"/>
        </w:rPr>
        <w:t>5.5</w:t>
      </w:r>
      <w:r w:rsidRPr="00574A00">
        <w:rPr>
          <w:lang w:val="es-ES_tradnl"/>
        </w:rPr>
        <w:tab/>
        <w:t>Venezuela</w:t>
      </w:r>
      <w:bookmarkEnd w:id="34"/>
      <w:bookmarkEnd w:id="35"/>
      <w:bookmarkEnd w:id="36"/>
    </w:p>
    <w:p w:rsidR="00181C1A" w:rsidRPr="00D15FE4" w:rsidRDefault="00181C1A" w:rsidP="00DD6798">
      <w:pPr>
        <w:rPr>
          <w:lang w:val="es-ES_tradnl"/>
        </w:rPr>
      </w:pPr>
      <w:r w:rsidRPr="00D15FE4">
        <w:rPr>
          <w:b/>
          <w:lang w:val="es-ES_tradnl"/>
        </w:rPr>
        <w:t xml:space="preserve">Política: </w:t>
      </w:r>
      <w:r w:rsidRPr="00D15FE4">
        <w:rPr>
          <w:lang w:val="es-ES_tradnl"/>
        </w:rPr>
        <w:t>La Providencia Administrativa N° 581 de CONATEL fue publicada el 3 de junio del año 2005. Este documento tiene por objeto establecer las condiciones de seguridad para la exposición a emisiones de radiofrecuencia generadas por estaciones radioeléctricas fijas que operen en el rango de 3 kHz a</w:t>
      </w:r>
      <w:r>
        <w:rPr>
          <w:lang w:val="es-ES_tradnl"/>
        </w:rPr>
        <w:t> </w:t>
      </w:r>
      <w:r w:rsidRPr="00D15FE4">
        <w:rPr>
          <w:lang w:val="es-ES_tradnl"/>
        </w:rPr>
        <w:t>300</w:t>
      </w:r>
      <w:r>
        <w:rPr>
          <w:lang w:val="es-ES_tradnl"/>
        </w:rPr>
        <w:t> </w:t>
      </w:r>
      <w:r w:rsidRPr="00D15FE4">
        <w:rPr>
          <w:lang w:val="es-ES_tradnl"/>
        </w:rPr>
        <w:t xml:space="preserve">GHz; en concreto, determina los requisitos técnicos para la instalación de antenas transmisoras y la </w:t>
      </w:r>
      <w:r w:rsidRPr="00D15FE4">
        <w:rPr>
          <w:lang w:val="es-ES_tradnl"/>
        </w:rPr>
        <w:lastRenderedPageBreak/>
        <w:t>metodología a seguir a la hora de determinar la conformidad con los límites de exposición a dichas emisiones, establecidos en la normativa vigente.</w:t>
      </w:r>
    </w:p>
    <w:p w:rsidR="00181C1A" w:rsidRPr="00D15FE4" w:rsidRDefault="00181C1A" w:rsidP="00027E82">
      <w:pPr>
        <w:rPr>
          <w:lang w:val="es-ES_tradnl"/>
        </w:rPr>
      </w:pPr>
      <w:r w:rsidRPr="00D15FE4">
        <w:rPr>
          <w:lang w:val="es-ES_tradnl"/>
        </w:rPr>
        <w:t>La Providencia Administrativa contiene un articulado sobre las condiciones de seguridad aplicables a las emisiones de radiofrecuencia producidas por estaciones radioeléctricas fijas que operan en el rango de</w:t>
      </w:r>
      <w:r>
        <w:rPr>
          <w:lang w:val="es-ES_tradnl"/>
        </w:rPr>
        <w:t> </w:t>
      </w:r>
      <w:r w:rsidRPr="00D15FE4">
        <w:rPr>
          <w:lang w:val="es-ES_tradnl"/>
        </w:rPr>
        <w:t>3 kHz a 300 GHz, así como tres (3) anexos que lo complementan. Dicho documento se aplica a todos los operadores de estaciones radioeléctricas fijas transmisoras que funcionen en el rango de frecuencias de 3 kHz a 300 GHz.</w:t>
      </w:r>
    </w:p>
    <w:p w:rsidR="00181C1A" w:rsidRPr="00D15FE4" w:rsidRDefault="00181C1A" w:rsidP="00027E82">
      <w:pPr>
        <w:rPr>
          <w:lang w:val="es-ES_tradnl"/>
        </w:rPr>
      </w:pPr>
      <w:r w:rsidRPr="00D15FE4">
        <w:rPr>
          <w:lang w:val="es-ES_tradnl"/>
        </w:rPr>
        <w:t>Con respecto a los límites de exposición, se establece que los operadores de estaciones radioeléctricas fijas deben asegurar que, en las distintas zonas de acceso, el nivel de energía recibida generado por sus estaciones no exceda el límite de exposición correspondiente a la frecuencia de operación de cada estación, según lo señalado en las tablas correspondientes, de conformidad con los valores establecidos en la Norma Venezolana COVENIN 2238 vigente, en el rango de frecuencias objeto de dicha Providencia Administrativa.</w:t>
      </w:r>
    </w:p>
    <w:p w:rsidR="00181C1A" w:rsidRPr="00D15FE4" w:rsidRDefault="00181C1A" w:rsidP="00027E82">
      <w:pPr>
        <w:rPr>
          <w:lang w:val="es-ES_tradnl"/>
        </w:rPr>
      </w:pPr>
      <w:r w:rsidRPr="00D15FE4">
        <w:rPr>
          <w:bCs/>
          <w:lang w:val="es-ES_tradnl"/>
        </w:rPr>
        <w:t>En virtud de la Resolución N°</w:t>
      </w:r>
      <w:r>
        <w:rPr>
          <w:bCs/>
          <w:lang w:val="es-ES_tradnl"/>
        </w:rPr>
        <w:t> </w:t>
      </w:r>
      <w:r w:rsidRPr="00D15FE4">
        <w:rPr>
          <w:bCs/>
          <w:lang w:val="es-ES_tradnl"/>
        </w:rPr>
        <w:t xml:space="preserve">508 del Ministerio de Salud, toda estación radioeléctrica ubicada en una escuela, un centro de salud, un establecimiento para personas de edad avanzaba, un orfanato o un campo de juego, </w:t>
      </w:r>
      <w:r w:rsidRPr="00D15FE4">
        <w:rPr>
          <w:lang w:val="es-ES_tradnl"/>
        </w:rPr>
        <w:t xml:space="preserve">habrá de ajustar los valores de exposición a los campos electromagnéticos de las personas que viven en esa zona, de forma que sean diez veces inferiores a los establecidos </w:t>
      </w:r>
      <w:r w:rsidRPr="00D15FE4">
        <w:rPr>
          <w:rFonts w:eastAsia="Times New Roman"/>
          <w:lang w:val="es-ES_tradnl"/>
        </w:rPr>
        <w:t>en la Norma Venezolana COVENIN 2238.</w:t>
      </w:r>
    </w:p>
    <w:p w:rsidR="00181C1A" w:rsidRPr="00D15FE4" w:rsidRDefault="00181C1A" w:rsidP="00027E82">
      <w:pPr>
        <w:rPr>
          <w:lang w:val="es-ES_tradnl"/>
        </w:rPr>
      </w:pPr>
      <w:r w:rsidRPr="00D15FE4">
        <w:rPr>
          <w:b/>
          <w:lang w:val="es-ES_tradnl"/>
        </w:rPr>
        <w:t xml:space="preserve">Suministro de información: </w:t>
      </w:r>
      <w:r w:rsidRPr="00D15FE4">
        <w:rPr>
          <w:lang w:val="es-ES_tradnl"/>
        </w:rPr>
        <w:t>A fin de velar por el cumplimiento de la legislación nacional, la Comisión Nacional de Telecomunicaciones (CONATEL) realiza mediciones de las radiaciones no ionizantes en estaciones radioeléctricas a nivel nacional, con objeto de verificar los informes consignados por los operadores de telecomunicaciones. Posteriormente, remite estos informes al Ministerio de la Salud, con el fin de que este se pronuncie sobre los efectos de la exposición a emisiones de radiofrecuencia generadas por las estaciones producen sobre la salud de los ciudadanos. De esta forma, se pretende dar una respuesta adecuada, completa y oportuna a quienes se sientan afectados por la instalación y el funcionamiento de las estaciones.</w:t>
      </w:r>
    </w:p>
    <w:p w:rsidR="00181C1A" w:rsidRPr="00D15FE4" w:rsidRDefault="00181C1A" w:rsidP="00027E82">
      <w:pPr>
        <w:rPr>
          <w:lang w:val="es-ES_tradnl"/>
        </w:rPr>
      </w:pPr>
      <w:r w:rsidRPr="00D15FE4">
        <w:rPr>
          <w:lang w:val="es-ES_tradnl"/>
        </w:rPr>
        <w:t>Adicionalmente, se ofrecen charlas informativas a las comunidades organizadas sobre las radiaciones producidas por las estaciones radioeléctricas y sus posibles repercusiones sobre la salud de los ciudadanos. En ese contexto, se discuten los avances nacionales en materia de servicios de telecomunicaciones, así como los fundamentos normativos, legales y prácticos asociados a los campos electromagnéticos en zonas residenciales, con el único fin de fomentar la integración de los ciudadanos en el desarrollo y la evolución de las telecomunicaciones del país.</w:t>
      </w:r>
    </w:p>
    <w:p w:rsidR="00181C1A" w:rsidRPr="00574A00" w:rsidRDefault="00181C1A" w:rsidP="007F01E8">
      <w:pPr>
        <w:pStyle w:val="Headingb0"/>
        <w:rPr>
          <w:lang w:val="es-ES_tradnl"/>
        </w:rPr>
      </w:pPr>
      <w:r w:rsidRPr="00574A00">
        <w:rPr>
          <w:lang w:val="es-ES_tradnl"/>
        </w:rPr>
        <w:t>Análisis</w:t>
      </w:r>
    </w:p>
    <w:p w:rsidR="00181C1A" w:rsidRPr="00D15FE4" w:rsidRDefault="00181C1A" w:rsidP="0028348F">
      <w:pPr>
        <w:rPr>
          <w:rFonts w:eastAsia="Times New Roman"/>
          <w:lang w:val="es-ES_tradnl"/>
        </w:rPr>
      </w:pPr>
      <w:r w:rsidRPr="00D15FE4">
        <w:rPr>
          <w:rFonts w:eastAsia="Times New Roman"/>
          <w:lang w:val="es-ES_tradnl"/>
        </w:rPr>
        <w:t>Esta política respeta las directrices de la OMS y la ICNIRP. Además, la Norma COVENIN 2238 también se fundamenta en las Recomendaciones de la ICNIRP.</w:t>
      </w:r>
    </w:p>
    <w:p w:rsidR="00181C1A" w:rsidRPr="00D15FE4" w:rsidRDefault="00181C1A" w:rsidP="0028348F">
      <w:pPr>
        <w:rPr>
          <w:rFonts w:eastAsia="Times New Roman"/>
          <w:lang w:val="es-ES_tradnl"/>
        </w:rPr>
      </w:pPr>
      <w:r w:rsidRPr="00D15FE4">
        <w:rPr>
          <w:rFonts w:eastAsia="Times New Roman"/>
          <w:lang w:val="es-ES_tradnl"/>
        </w:rPr>
        <w:t>El organismo regulador, los operadores de telefonía móvil y las entidades competentes ponen al alcance de los ciudadanos una valiosa información.</w:t>
      </w:r>
    </w:p>
    <w:p w:rsidR="00181C1A" w:rsidRPr="00574A00" w:rsidRDefault="00181C1A" w:rsidP="00027E82">
      <w:pPr>
        <w:pStyle w:val="Heading2"/>
        <w:rPr>
          <w:lang w:val="es-ES_tradnl"/>
        </w:rPr>
      </w:pPr>
      <w:bookmarkStart w:id="37" w:name="_Toc370825005"/>
      <w:bookmarkStart w:id="38" w:name="_Toc377560458"/>
      <w:r w:rsidRPr="00574A00">
        <w:rPr>
          <w:lang w:val="es-ES_tradnl"/>
        </w:rPr>
        <w:t>5.6</w:t>
      </w:r>
      <w:r w:rsidRPr="00574A00">
        <w:rPr>
          <w:lang w:val="es-ES_tradnl"/>
        </w:rPr>
        <w:tab/>
        <w:t>Hungría</w:t>
      </w:r>
      <w:bookmarkEnd w:id="37"/>
      <w:bookmarkEnd w:id="38"/>
    </w:p>
    <w:p w:rsidR="00181C1A" w:rsidRPr="00D15FE4" w:rsidRDefault="00181C1A" w:rsidP="0028348F">
      <w:pPr>
        <w:rPr>
          <w:rFonts w:eastAsia="Times New Roman"/>
          <w:lang w:val="es-ES_tradnl"/>
        </w:rPr>
      </w:pPr>
      <w:r w:rsidRPr="00D15FE4">
        <w:rPr>
          <w:b/>
          <w:szCs w:val="19"/>
          <w:lang w:val="es-ES_tradnl"/>
        </w:rPr>
        <w:t>Política:</w:t>
      </w:r>
      <w:r w:rsidRPr="00D15FE4">
        <w:rPr>
          <w:szCs w:val="19"/>
          <w:lang w:val="es-ES_tradnl"/>
        </w:rPr>
        <w:t xml:space="preserve"> En Hungría, </w:t>
      </w:r>
      <w:r w:rsidRPr="00D15FE4">
        <w:rPr>
          <w:rFonts w:eastAsia="Times New Roman"/>
          <w:lang w:val="es-ES_tradnl"/>
        </w:rPr>
        <w:t>los aspectos de las radiaciones electromagnéticas relacionados con la salud son gestionados por una institución especializada, a saber, el Instituto Nacional de Investigación en materia de biología y salubridad radiológicas (NRIRR) del Servicio Nacional de Salud Pública. Entre las funciones de dicha institución, figura la participación en la concesión de licencias de construcción de instalaciones radioeléctricas y la realización de mediciones individuales. Sin embargo, debido a su capacidad y sus conocimientos técnicos, el Organismo Nacional de Medios e Infocomunicación de Hungría (NMIAH), en colaboración con el NRIRR, ha sido el encargado de instalar la red nacional de seguimiento para la medición de los CEM y la publicación de los datos obtenidos.</w:t>
      </w:r>
    </w:p>
    <w:p w:rsidR="00181C1A" w:rsidRPr="00D15FE4" w:rsidRDefault="00181C1A" w:rsidP="0028348F">
      <w:pPr>
        <w:rPr>
          <w:rStyle w:val="hps"/>
          <w:rFonts w:cs="Arial"/>
          <w:color w:val="333333"/>
          <w:szCs w:val="19"/>
          <w:lang w:val="es-ES_tradnl"/>
        </w:rPr>
      </w:pPr>
      <w:r w:rsidRPr="00D15FE4">
        <w:rPr>
          <w:rFonts w:eastAsia="Times New Roman"/>
          <w:lang w:val="es-ES_tradnl"/>
        </w:rPr>
        <w:lastRenderedPageBreak/>
        <w:t>El programa de medición comprende la recolección de datos por medio de veinticinco (25) instrumentos de observación de zona cuya ubicación varía cada dos semanas. Los lugares seleccionados para la realización de las mediciones fueron las instituciones educativas, las guarderías y las escuelas situadas cerca de instalaciones radioeléctricas. Asimismo, se efectúan pruebas ocasionalmente a petición de particulares.</w:t>
      </w:r>
    </w:p>
    <w:p w:rsidR="00181C1A" w:rsidRPr="00D15FE4" w:rsidRDefault="00181C1A" w:rsidP="007F01E8">
      <w:pPr>
        <w:rPr>
          <w:b/>
          <w:szCs w:val="19"/>
          <w:lang w:val="es-ES_tradnl"/>
        </w:rPr>
      </w:pPr>
      <w:r w:rsidRPr="00D15FE4">
        <w:rPr>
          <w:b/>
          <w:lang w:val="es-ES_tradnl"/>
        </w:rPr>
        <w:t>Suministro de información:</w:t>
      </w:r>
      <w:r w:rsidRPr="00D15FE4">
        <w:rPr>
          <w:lang w:val="es-ES_tradnl"/>
        </w:rPr>
        <w:t xml:space="preserve"> Los resultados de las mediciones son publicados en la web.</w:t>
      </w:r>
    </w:p>
    <w:p w:rsidR="00181C1A" w:rsidRPr="00C84BA8" w:rsidRDefault="00181C1A" w:rsidP="007F01E8">
      <w:pPr>
        <w:pStyle w:val="Headingb0"/>
        <w:rPr>
          <w:lang w:val="es-ES_tradnl"/>
        </w:rPr>
      </w:pPr>
      <w:r w:rsidRPr="00C84BA8">
        <w:rPr>
          <w:lang w:val="es-ES_tradnl"/>
        </w:rPr>
        <w:t xml:space="preserve">Análisis </w:t>
      </w:r>
    </w:p>
    <w:p w:rsidR="00181C1A" w:rsidRPr="00D15FE4" w:rsidRDefault="00181C1A" w:rsidP="007F01E8">
      <w:pPr>
        <w:rPr>
          <w:b/>
          <w:i/>
          <w:iCs/>
          <w:szCs w:val="19"/>
          <w:lang w:val="es-ES_tradnl"/>
        </w:rPr>
      </w:pPr>
      <w:r w:rsidRPr="00D15FE4">
        <w:rPr>
          <w:lang w:val="es-ES_tradnl"/>
        </w:rPr>
        <w:t>El sistema de seguimiento nacional húngaro y la publicación de sus resultados en la web son una herramienta útil para hacer frente a las preocupaciones asociadas a los peligros para la salud de los campos electromagnéticos, así como para promover la sensibilización del público en general.</w:t>
      </w:r>
    </w:p>
    <w:p w:rsidR="00181C1A" w:rsidRPr="00574A00" w:rsidRDefault="00181C1A" w:rsidP="007F01E8">
      <w:pPr>
        <w:pStyle w:val="Heading2"/>
        <w:rPr>
          <w:lang w:val="es-ES_tradnl"/>
        </w:rPr>
      </w:pPr>
      <w:bookmarkStart w:id="39" w:name="_Toc370825006"/>
      <w:bookmarkStart w:id="40" w:name="_Toc377560459"/>
      <w:r w:rsidRPr="00574A00">
        <w:rPr>
          <w:lang w:val="es-ES_tradnl"/>
        </w:rPr>
        <w:t>5.7</w:t>
      </w:r>
      <w:r w:rsidRPr="00574A00">
        <w:rPr>
          <w:lang w:val="es-ES_tradnl"/>
        </w:rPr>
        <w:tab/>
        <w:t>Uzbekistán</w:t>
      </w:r>
      <w:bookmarkEnd w:id="39"/>
      <w:bookmarkEnd w:id="40"/>
    </w:p>
    <w:p w:rsidR="00181C1A" w:rsidRPr="00D15FE4" w:rsidRDefault="00181C1A" w:rsidP="007F01E8">
      <w:pPr>
        <w:rPr>
          <w:lang w:val="es-ES_tradnl"/>
        </w:rPr>
      </w:pPr>
      <w:bookmarkStart w:id="41" w:name="_Toc370825007"/>
      <w:r w:rsidRPr="007F01E8">
        <w:rPr>
          <w:b/>
          <w:bCs/>
          <w:lang w:val="es-ES_tradnl"/>
        </w:rPr>
        <w:t>Política:</w:t>
      </w:r>
      <w:r w:rsidRPr="007F01E8">
        <w:rPr>
          <w:lang w:val="es-ES_tradnl"/>
        </w:rPr>
        <w:t xml:space="preserve"> La política nacional de Uzbekistán en materia de exposición de las personas a los campos</w:t>
      </w:r>
      <w:r w:rsidRPr="00D15FE4">
        <w:rPr>
          <w:lang w:val="es-ES_tradnl"/>
        </w:rPr>
        <w:t xml:space="preserve"> electromagnéticos viene definida en dos leyes: la del espectro de radiofrecuencia y la de inspección sanitaria estatal. La Ley del espectro de radiofrecuencia estipula que la salud humana y el mantenimiento de unas condiciones ambientales favorables prevalecen sobre el derecho de utilización de equipos de radiocomunicaciones y de alta frecuencia. La ley estatal de inspección sanitaria regula las relaciones sociales destinadas a garantizar la salud, el bienestar epidemiológico y la seguridad radiológica de las personas; establece el derecho humano a gozar de unas condiciones ambientales favorables y otros derechos afines; y ofrece mecanismos de garantía para la observación de los mismos.</w:t>
      </w:r>
      <w:bookmarkEnd w:id="41"/>
    </w:p>
    <w:p w:rsidR="00181C1A" w:rsidRPr="00D15FE4" w:rsidRDefault="00181C1A" w:rsidP="0028348F">
      <w:pPr>
        <w:rPr>
          <w:rFonts w:eastAsia="Times New Roman"/>
          <w:lang w:val="es-ES_tradnl"/>
        </w:rPr>
      </w:pPr>
      <w:r w:rsidRPr="00D15FE4">
        <w:rPr>
          <w:rFonts w:eastAsia="Times New Roman"/>
          <w:lang w:val="es-ES_tradnl"/>
        </w:rPr>
        <w:t>Las organizaciones que pretendan reconstruir o diseñar instalaciones radioeléctricas están obligadas a respetar las normas y las reglas relativas a la salud. El Organismo Estatal de Control Sanitario y Epidemiológico, perteneciente al Ministerio de Salud, es el encargado de supervisar el cumplimiento de los requisitos y los límites a los que están sujetas. Los niveles de CEM de las instalaciones radioeléctricas se definen mediante el uso tanto de cálculos teóricos como de mediciones reales.</w:t>
      </w:r>
    </w:p>
    <w:p w:rsidR="00181C1A" w:rsidRPr="00D15FE4" w:rsidRDefault="00181C1A" w:rsidP="007F01E8">
      <w:pPr>
        <w:rPr>
          <w:b/>
          <w:szCs w:val="19"/>
          <w:lang w:val="es-ES_tradnl"/>
        </w:rPr>
      </w:pPr>
      <w:r w:rsidRPr="00D15FE4">
        <w:rPr>
          <w:b/>
          <w:lang w:val="es-ES_tradnl"/>
        </w:rPr>
        <w:t>Suministro de información:</w:t>
      </w:r>
      <w:r w:rsidRPr="00D15FE4">
        <w:rPr>
          <w:lang w:val="es-ES_tradnl"/>
        </w:rPr>
        <w:t xml:space="preserve"> Toda instalación radioeléctrica que emita energía electromagnética a su entorno ha de poseer un pasaporte sanitario firmado por el director y el inspector nacional de sanidad, y debe conservarlo en sus mismas dependencias.</w:t>
      </w:r>
    </w:p>
    <w:p w:rsidR="00181C1A" w:rsidRPr="00574A00" w:rsidRDefault="00181C1A" w:rsidP="007F01E8">
      <w:pPr>
        <w:pStyle w:val="Heading2"/>
        <w:rPr>
          <w:lang w:val="es-ES_tradnl"/>
        </w:rPr>
      </w:pPr>
      <w:bookmarkStart w:id="42" w:name="_Toc370825008"/>
      <w:bookmarkStart w:id="43" w:name="_Toc377560460"/>
      <w:bookmarkStart w:id="44" w:name="_Toc330816732"/>
      <w:r w:rsidRPr="00574A00">
        <w:rPr>
          <w:lang w:val="es-ES_tradnl"/>
        </w:rPr>
        <w:t>5.8</w:t>
      </w:r>
      <w:r w:rsidRPr="00574A00">
        <w:rPr>
          <w:lang w:val="es-ES_tradnl"/>
        </w:rPr>
        <w:tab/>
        <w:t>Benín</w:t>
      </w:r>
      <w:bookmarkEnd w:id="42"/>
      <w:bookmarkEnd w:id="43"/>
    </w:p>
    <w:p w:rsidR="00181C1A" w:rsidRPr="00D15FE4" w:rsidRDefault="00181C1A" w:rsidP="0028348F">
      <w:pPr>
        <w:rPr>
          <w:szCs w:val="19"/>
          <w:lang w:val="es-ES_tradnl"/>
        </w:rPr>
      </w:pPr>
      <w:r w:rsidRPr="00D15FE4">
        <w:rPr>
          <w:b/>
          <w:szCs w:val="19"/>
          <w:lang w:val="es-ES_tradnl"/>
        </w:rPr>
        <w:t xml:space="preserve">Política: </w:t>
      </w:r>
      <w:r w:rsidRPr="00D15FE4">
        <w:rPr>
          <w:szCs w:val="19"/>
          <w:lang w:val="es-ES_tradnl"/>
        </w:rPr>
        <w:t xml:space="preserve">La </w:t>
      </w:r>
      <w:r w:rsidRPr="00D15FE4">
        <w:rPr>
          <w:rFonts w:eastAsia="Times New Roman"/>
          <w:lang w:val="es-ES_tradnl"/>
        </w:rPr>
        <w:t>Autoridad Nacional de Reglamentación de</w:t>
      </w:r>
      <w:r w:rsidRPr="00D15FE4">
        <w:rPr>
          <w:szCs w:val="19"/>
          <w:lang w:val="es-ES_tradnl"/>
        </w:rPr>
        <w:t xml:space="preserve"> Benín (ATRPT) adquirió a principios de 2012 una serie de </w:t>
      </w:r>
      <w:r w:rsidRPr="00D15FE4">
        <w:rPr>
          <w:rFonts w:eastAsia="Times New Roman"/>
          <w:lang w:val="es-ES_tradnl"/>
        </w:rPr>
        <w:t>estaciones fijas y móviles de comprobación técnica,</w:t>
      </w:r>
      <w:r w:rsidRPr="00D15FE4">
        <w:rPr>
          <w:szCs w:val="19"/>
          <w:lang w:val="es-ES_tradnl"/>
        </w:rPr>
        <w:t xml:space="preserve"> que incluían equipos para la evaluación de la exposición de la población a la radiación </w:t>
      </w:r>
      <w:r w:rsidRPr="00D15FE4">
        <w:rPr>
          <w:rFonts w:eastAsia="Times New Roman"/>
          <w:lang w:val="es-ES_tradnl"/>
        </w:rPr>
        <w:t>de la gama casi-infrarroja (NIR)</w:t>
      </w:r>
      <w:r w:rsidRPr="00D15FE4">
        <w:rPr>
          <w:szCs w:val="19"/>
          <w:lang w:val="es-ES_tradnl"/>
        </w:rPr>
        <w:t>. Los equipos efectúan mediciones de la intensidad del campo eléctrico en un punto dado. La ATRPT celebró asimismo, en abril de 2012, un seminario nacional cuyo tema fueron los efectos de las radiaciones no ionizantes sobre la salud de la población.</w:t>
      </w:r>
    </w:p>
    <w:p w:rsidR="00181C1A" w:rsidRPr="00D15FE4" w:rsidRDefault="00181C1A" w:rsidP="0028348F">
      <w:pPr>
        <w:rPr>
          <w:szCs w:val="19"/>
          <w:lang w:val="es-ES_tradnl"/>
        </w:rPr>
      </w:pPr>
      <w:r w:rsidRPr="00D15FE4">
        <w:rPr>
          <w:szCs w:val="19"/>
          <w:lang w:val="es-ES_tradnl"/>
        </w:rPr>
        <w:t>Durante el seminario, se propusieron tres proyectos de textos reglamentarios, a saber:</w:t>
      </w:r>
    </w:p>
    <w:p w:rsidR="00181C1A" w:rsidRPr="00D15FE4" w:rsidRDefault="00181C1A" w:rsidP="00FD027D">
      <w:pPr>
        <w:pStyle w:val="Enumlevel1"/>
        <w:numPr>
          <w:ilvl w:val="0"/>
          <w:numId w:val="13"/>
        </w:numPr>
        <w:ind w:left="567" w:hanging="567"/>
        <w:rPr>
          <w:lang w:val="es-ES_tradnl"/>
        </w:rPr>
      </w:pPr>
      <w:r w:rsidRPr="00D15FE4">
        <w:rPr>
          <w:lang w:val="es-ES_tradnl"/>
        </w:rPr>
        <w:t>el proyecto de decreto sobre la protección de las personas frente a los efectos de los campos eléctricos, magnéticos y electromagnéticos comprendidos entre 0 y 300 GHz;</w:t>
      </w:r>
    </w:p>
    <w:p w:rsidR="00181C1A" w:rsidRPr="00D15FE4" w:rsidRDefault="00181C1A" w:rsidP="00FD027D">
      <w:pPr>
        <w:pStyle w:val="Enumlevel1"/>
        <w:numPr>
          <w:ilvl w:val="0"/>
          <w:numId w:val="13"/>
        </w:numPr>
        <w:ind w:left="567" w:hanging="567"/>
        <w:rPr>
          <w:lang w:val="es-ES_tradnl"/>
        </w:rPr>
      </w:pPr>
      <w:r w:rsidRPr="00D15FE4">
        <w:rPr>
          <w:lang w:val="es-ES_tradnl"/>
        </w:rPr>
        <w:t>el proyecto de decreto sobre las condiciones de instalación de las estaciones radioeléctricas; y</w:t>
      </w:r>
    </w:p>
    <w:p w:rsidR="00181C1A" w:rsidRPr="00D15FE4" w:rsidRDefault="00181C1A" w:rsidP="00FD027D">
      <w:pPr>
        <w:pStyle w:val="Enumlevel1"/>
        <w:numPr>
          <w:ilvl w:val="0"/>
          <w:numId w:val="13"/>
        </w:numPr>
        <w:ind w:left="567" w:hanging="567"/>
        <w:rPr>
          <w:lang w:val="es-ES_tradnl"/>
        </w:rPr>
      </w:pPr>
      <w:r w:rsidRPr="00D15FE4">
        <w:rPr>
          <w:lang w:val="es-ES_tradnl"/>
        </w:rPr>
        <w:t>el proyecto de decreto que establece las especificaciones técnicas aplicables a los equipos terminales de radiocomunicaciones y telecomunicaciones.</w:t>
      </w:r>
    </w:p>
    <w:p w:rsidR="00181C1A" w:rsidRPr="00D15FE4" w:rsidRDefault="00181C1A" w:rsidP="0028348F">
      <w:pPr>
        <w:rPr>
          <w:lang w:val="es-ES_tradnl"/>
        </w:rPr>
      </w:pPr>
      <w:r w:rsidRPr="00D15FE4">
        <w:rPr>
          <w:lang w:val="es-ES_tradnl"/>
        </w:rPr>
        <w:t>En el marco regulatorio desarrollado se estipulan los siguientes aspectos:</w:t>
      </w:r>
    </w:p>
    <w:p w:rsidR="00181C1A" w:rsidRPr="007F01E8" w:rsidRDefault="00181C1A" w:rsidP="00FD027D">
      <w:pPr>
        <w:pStyle w:val="Enumlevel1"/>
        <w:numPr>
          <w:ilvl w:val="0"/>
          <w:numId w:val="13"/>
        </w:numPr>
        <w:ind w:left="567" w:hanging="567"/>
        <w:rPr>
          <w:lang w:val="es-ES_tradnl"/>
        </w:rPr>
      </w:pPr>
      <w:r w:rsidRPr="00D15FE4">
        <w:rPr>
          <w:lang w:val="es-ES_tradnl"/>
        </w:rPr>
        <w:t>los niveles de exposición permitidos serán los establecidos por la INCIRP para el público en general, sin distinción alguna ni entre los</w:t>
      </w:r>
      <w:r w:rsidRPr="007F01E8">
        <w:rPr>
          <w:lang w:val="es-ES_tradnl"/>
        </w:rPr>
        <w:t xml:space="preserve"> trabajadores, ni entre el público;</w:t>
      </w:r>
    </w:p>
    <w:p w:rsidR="00181C1A" w:rsidRPr="00D15FE4" w:rsidRDefault="00181C1A" w:rsidP="00FD027D">
      <w:pPr>
        <w:pStyle w:val="Enumlevel1"/>
        <w:numPr>
          <w:ilvl w:val="0"/>
          <w:numId w:val="13"/>
        </w:numPr>
        <w:ind w:left="567" w:hanging="567"/>
        <w:rPr>
          <w:lang w:val="es-ES_tradnl"/>
        </w:rPr>
      </w:pPr>
      <w:r w:rsidRPr="00D15FE4">
        <w:rPr>
          <w:lang w:val="es-ES_tradnl"/>
        </w:rPr>
        <w:lastRenderedPageBreak/>
        <w:t>a fin de hacer hincapié en el principio de precaución, en las escuelas y los establecimientos afines (tales como guarderías, jardines de infancia, hospitales o jardines públicos) los niveles de los campos eléctricos, magnéticos y electromagnéticos no deberán superar el 25% de la tasa de referencia establecida para el público en general;</w:t>
      </w:r>
    </w:p>
    <w:p w:rsidR="00181C1A" w:rsidRPr="00D15FE4" w:rsidRDefault="00181C1A" w:rsidP="00FD027D">
      <w:pPr>
        <w:pStyle w:val="Enumlevel1"/>
        <w:numPr>
          <w:ilvl w:val="0"/>
          <w:numId w:val="13"/>
        </w:numPr>
        <w:ind w:left="567" w:hanging="567"/>
        <w:rPr>
          <w:lang w:val="es-ES_tradnl"/>
        </w:rPr>
      </w:pPr>
      <w:r w:rsidRPr="00D15FE4">
        <w:rPr>
          <w:lang w:val="es-ES_tradnl"/>
        </w:rPr>
        <w:t>con el fin de evitar fluctuaciones de energía por parte de los operadores de las estaciones de base, se prohibirá a los operadores orientar los lóbulos principales de la antena hacia escuelas, hospitales y otros establecimientos sensibles, cuando dichas antenas estén ubicadas a menos de 100 m de distancia de los mismos;</w:t>
      </w:r>
    </w:p>
    <w:p w:rsidR="00181C1A" w:rsidRPr="00D15FE4" w:rsidRDefault="00181C1A" w:rsidP="00FD027D">
      <w:pPr>
        <w:pStyle w:val="Enumlevel1"/>
        <w:numPr>
          <w:ilvl w:val="0"/>
          <w:numId w:val="13"/>
        </w:numPr>
        <w:ind w:left="567" w:hanging="567"/>
        <w:rPr>
          <w:lang w:val="es-ES_tradnl"/>
        </w:rPr>
      </w:pPr>
      <w:r w:rsidRPr="00D15FE4">
        <w:rPr>
          <w:lang w:val="es-ES_tradnl"/>
        </w:rPr>
        <w:t>los operadores estarán obligados a realizar por sí mismos un seguimiento de los niveles de exposición durante la instalación de estaciones de base nuevas;</w:t>
      </w:r>
    </w:p>
    <w:p w:rsidR="00181C1A" w:rsidRPr="00D15FE4" w:rsidRDefault="00181C1A" w:rsidP="00FD027D">
      <w:pPr>
        <w:pStyle w:val="Enumlevel1"/>
        <w:numPr>
          <w:ilvl w:val="0"/>
          <w:numId w:val="13"/>
        </w:numPr>
        <w:ind w:left="567" w:hanging="567"/>
        <w:rPr>
          <w:lang w:val="es-ES_tradnl"/>
        </w:rPr>
      </w:pPr>
      <w:r w:rsidRPr="00D15FE4">
        <w:rPr>
          <w:lang w:val="es-ES_tradnl"/>
        </w:rPr>
        <w:t>los operadores deberán construir una valla de seguridad alrededor de sus instalaciones;</w:t>
      </w:r>
    </w:p>
    <w:p w:rsidR="00181C1A" w:rsidRPr="00D15FE4" w:rsidRDefault="00181C1A" w:rsidP="00FD027D">
      <w:pPr>
        <w:pStyle w:val="Enumlevel1"/>
        <w:numPr>
          <w:ilvl w:val="0"/>
          <w:numId w:val="13"/>
        </w:numPr>
        <w:ind w:left="567" w:hanging="567"/>
        <w:rPr>
          <w:lang w:val="es-ES_tradnl"/>
        </w:rPr>
      </w:pPr>
      <w:r w:rsidRPr="00D15FE4">
        <w:rPr>
          <w:lang w:val="es-ES_tradnl"/>
        </w:rPr>
        <w:t>en lo que respecta a los terminales, la tasa de absorción específica (SAR) máxima se establecerá en 2W/kg; y</w:t>
      </w:r>
    </w:p>
    <w:p w:rsidR="00181C1A" w:rsidRPr="007F01E8" w:rsidRDefault="00181C1A" w:rsidP="00FD027D">
      <w:pPr>
        <w:pStyle w:val="Enumlevel1"/>
        <w:numPr>
          <w:ilvl w:val="0"/>
          <w:numId w:val="13"/>
        </w:numPr>
        <w:ind w:left="567" w:hanging="567"/>
        <w:rPr>
          <w:lang w:val="es-ES_tradnl"/>
        </w:rPr>
      </w:pPr>
      <w:r w:rsidRPr="00D15FE4">
        <w:rPr>
          <w:lang w:val="es-ES_tradnl"/>
        </w:rPr>
        <w:t>la ATRPT será la responsable de controlar el cumplimiento de los niveles de exposición establecidos por la normativa</w:t>
      </w:r>
      <w:r w:rsidRPr="007F01E8">
        <w:rPr>
          <w:lang w:val="es-ES_tradnl"/>
        </w:rPr>
        <w:t>.</w:t>
      </w:r>
    </w:p>
    <w:p w:rsidR="00181C1A" w:rsidRPr="00D15FE4" w:rsidRDefault="00181C1A" w:rsidP="0028348F">
      <w:pPr>
        <w:rPr>
          <w:b/>
          <w:szCs w:val="19"/>
          <w:lang w:val="es-ES_tradnl"/>
        </w:rPr>
      </w:pPr>
      <w:r w:rsidRPr="00D15FE4">
        <w:rPr>
          <w:rFonts w:eastAsia="Times New Roman"/>
          <w:b/>
          <w:lang w:val="es-ES_tradnl"/>
        </w:rPr>
        <w:t>Suministro de información:</w:t>
      </w:r>
      <w:r w:rsidRPr="00D15FE4">
        <w:rPr>
          <w:rFonts w:eastAsia="Times New Roman"/>
          <w:lang w:val="es-ES_tradnl"/>
        </w:rPr>
        <w:t xml:space="preserve"> Se llevan a cabo campañas para sensibilizar al público acerca de los efectos de las radiaciones no ionizantes sobre la salud.</w:t>
      </w:r>
    </w:p>
    <w:p w:rsidR="00181C1A" w:rsidRPr="00574A00" w:rsidRDefault="00181C1A" w:rsidP="007F01E8">
      <w:pPr>
        <w:pStyle w:val="Heading2"/>
        <w:rPr>
          <w:lang w:val="es-ES_tradnl"/>
        </w:rPr>
      </w:pPr>
      <w:bookmarkStart w:id="45" w:name="_Toc369596146"/>
      <w:bookmarkStart w:id="46" w:name="_Toc370825009"/>
      <w:bookmarkStart w:id="47" w:name="_Toc377560461"/>
      <w:r w:rsidRPr="00574A00">
        <w:rPr>
          <w:lang w:val="es-ES_tradnl"/>
        </w:rPr>
        <w:t>5.9</w:t>
      </w:r>
      <w:r w:rsidRPr="00574A00">
        <w:rPr>
          <w:lang w:val="es-ES_tradnl"/>
        </w:rPr>
        <w:tab/>
        <w:t>India</w:t>
      </w:r>
      <w:bookmarkEnd w:id="45"/>
      <w:bookmarkEnd w:id="46"/>
      <w:bookmarkEnd w:id="47"/>
    </w:p>
    <w:p w:rsidR="00181C1A" w:rsidRPr="00D15FE4" w:rsidRDefault="00181C1A">
      <w:pPr>
        <w:rPr>
          <w:rFonts w:eastAsia="Times New Roman"/>
          <w:bCs/>
          <w:szCs w:val="19"/>
          <w:lang w:val="es-ES_tradnl"/>
        </w:rPr>
      </w:pPr>
      <w:r w:rsidRPr="00D15FE4">
        <w:rPr>
          <w:rFonts w:eastAsia="Times New Roman"/>
          <w:b/>
          <w:szCs w:val="19"/>
          <w:lang w:val="es-ES_tradnl"/>
        </w:rPr>
        <w:t>Política:</w:t>
      </w:r>
      <w:r w:rsidRPr="00D15FE4">
        <w:rPr>
          <w:rFonts w:eastAsia="Times New Roman"/>
          <w:szCs w:val="19"/>
          <w:lang w:val="es-ES_tradnl"/>
        </w:rPr>
        <w:t xml:space="preserve"> El estudio de caso de los CEM en la India (recogido en el Documento 1/278) que figura en el Anexo 10 al presente Informe contiene varias contribuciones interesantes sobre utilización de teléfonos móviles en los que se indica un nivel muy elevado de utilización de esos aparatos móviles en los países en desarrollo, lo cual podría deberse a que las actividades de muchos centros de llamadas se realizan con teléfonos móviles en lugar de teléfonos fijos como anteriormente.</w:t>
      </w:r>
    </w:p>
    <w:p w:rsidR="00181C1A" w:rsidRPr="00D15FE4" w:rsidRDefault="00181C1A">
      <w:pPr>
        <w:rPr>
          <w:rFonts w:eastAsia="Times New Roman"/>
          <w:bCs/>
          <w:szCs w:val="19"/>
          <w:lang w:val="es-ES_tradnl"/>
        </w:rPr>
      </w:pPr>
      <w:r w:rsidRPr="00D15FE4">
        <w:rPr>
          <w:rFonts w:eastAsia="Times New Roman"/>
          <w:szCs w:val="19"/>
          <w:lang w:val="es-ES_tradnl"/>
        </w:rPr>
        <w:t>Varios parámetros en la India y otros países en desarrollo que serán probablemente diferentes en comparación con los europeos en cuanto a:</w:t>
      </w:r>
    </w:p>
    <w:p w:rsidR="00181C1A" w:rsidRPr="007F01E8" w:rsidRDefault="00181C1A" w:rsidP="00FD027D">
      <w:pPr>
        <w:pStyle w:val="Enumlevel1"/>
        <w:numPr>
          <w:ilvl w:val="0"/>
          <w:numId w:val="13"/>
        </w:numPr>
        <w:ind w:left="567" w:hanging="567"/>
        <w:rPr>
          <w:lang w:val="es-ES_tradnl"/>
        </w:rPr>
      </w:pPr>
      <w:r w:rsidRPr="007F01E8">
        <w:rPr>
          <w:lang w:val="es-ES_tradnl"/>
        </w:rPr>
        <w:t>utilización de teléfonos móviles;</w:t>
      </w:r>
    </w:p>
    <w:p w:rsidR="00181C1A" w:rsidRPr="007F01E8" w:rsidRDefault="00181C1A" w:rsidP="00FD027D">
      <w:pPr>
        <w:pStyle w:val="Enumlevel1"/>
        <w:numPr>
          <w:ilvl w:val="0"/>
          <w:numId w:val="13"/>
        </w:numPr>
        <w:ind w:left="567" w:hanging="567"/>
        <w:rPr>
          <w:lang w:val="es-ES_tradnl"/>
        </w:rPr>
      </w:pPr>
      <w:r w:rsidRPr="007F01E8">
        <w:rPr>
          <w:lang w:val="es-ES_tradnl"/>
        </w:rPr>
        <w:t>número de operadores;</w:t>
      </w:r>
    </w:p>
    <w:p w:rsidR="00181C1A" w:rsidRPr="007F01E8" w:rsidRDefault="00181C1A" w:rsidP="00FD027D">
      <w:pPr>
        <w:pStyle w:val="Enumlevel1"/>
        <w:numPr>
          <w:ilvl w:val="0"/>
          <w:numId w:val="13"/>
        </w:numPr>
        <w:ind w:left="567" w:hanging="567"/>
        <w:rPr>
          <w:lang w:val="es-ES_tradnl"/>
        </w:rPr>
      </w:pPr>
      <w:r w:rsidRPr="007F01E8">
        <w:rPr>
          <w:lang w:val="es-ES_tradnl"/>
        </w:rPr>
        <w:t xml:space="preserve">mayor densidad demográfica; </w:t>
      </w:r>
    </w:p>
    <w:p w:rsidR="00181C1A" w:rsidRPr="007F01E8" w:rsidRDefault="00181C1A" w:rsidP="00FD027D">
      <w:pPr>
        <w:pStyle w:val="Enumlevel1"/>
        <w:numPr>
          <w:ilvl w:val="0"/>
          <w:numId w:val="13"/>
        </w:numPr>
        <w:ind w:left="567" w:hanging="567"/>
        <w:rPr>
          <w:lang w:val="es-ES_tradnl"/>
        </w:rPr>
      </w:pPr>
      <w:r w:rsidRPr="007F01E8">
        <w:rPr>
          <w:lang w:val="es-ES_tradnl"/>
        </w:rPr>
        <w:t xml:space="preserve">crecimiento inorgánico en zonas urbanas; </w:t>
      </w:r>
    </w:p>
    <w:p w:rsidR="00181C1A" w:rsidRPr="007F01E8" w:rsidRDefault="00181C1A" w:rsidP="00FD027D">
      <w:pPr>
        <w:pStyle w:val="Enumlevel1"/>
        <w:numPr>
          <w:ilvl w:val="0"/>
          <w:numId w:val="13"/>
        </w:numPr>
        <w:ind w:left="567" w:hanging="567"/>
        <w:rPr>
          <w:lang w:val="es-ES_tradnl"/>
        </w:rPr>
      </w:pPr>
      <w:r w:rsidRPr="007F01E8">
        <w:rPr>
          <w:lang w:val="es-ES_tradnl"/>
        </w:rPr>
        <w:t>poca separación entre los edificios;</w:t>
      </w:r>
    </w:p>
    <w:p w:rsidR="00181C1A" w:rsidRPr="007F01E8" w:rsidRDefault="00181C1A" w:rsidP="00FD027D">
      <w:pPr>
        <w:pStyle w:val="Enumlevel1"/>
        <w:numPr>
          <w:ilvl w:val="0"/>
          <w:numId w:val="13"/>
        </w:numPr>
        <w:ind w:left="567" w:hanging="567"/>
        <w:rPr>
          <w:lang w:val="es-ES_tradnl"/>
        </w:rPr>
      </w:pPr>
      <w:r w:rsidRPr="007F01E8">
        <w:rPr>
          <w:lang w:val="es-ES_tradnl"/>
        </w:rPr>
        <w:t>menos espectro por operador;</w:t>
      </w:r>
    </w:p>
    <w:p w:rsidR="00181C1A" w:rsidRPr="007F01E8" w:rsidRDefault="00181C1A" w:rsidP="00FD027D">
      <w:pPr>
        <w:pStyle w:val="Enumlevel1"/>
        <w:numPr>
          <w:ilvl w:val="0"/>
          <w:numId w:val="13"/>
        </w:numPr>
        <w:ind w:left="567" w:hanging="567"/>
        <w:rPr>
          <w:lang w:val="es-ES_tradnl"/>
        </w:rPr>
      </w:pPr>
      <w:r w:rsidRPr="007F01E8">
        <w:rPr>
          <w:lang w:val="es-ES_tradnl"/>
        </w:rPr>
        <w:t>potencia radiada de 20W por sector;</w:t>
      </w:r>
    </w:p>
    <w:p w:rsidR="00181C1A" w:rsidRPr="007F01E8" w:rsidRDefault="00181C1A" w:rsidP="00FD027D">
      <w:pPr>
        <w:pStyle w:val="Enumlevel1"/>
        <w:numPr>
          <w:ilvl w:val="0"/>
          <w:numId w:val="13"/>
        </w:numPr>
        <w:ind w:left="567" w:hanging="567"/>
        <w:rPr>
          <w:lang w:val="es-ES_tradnl"/>
        </w:rPr>
      </w:pPr>
      <w:r w:rsidRPr="007F01E8">
        <w:rPr>
          <w:lang w:val="es-ES_tradnl"/>
        </w:rPr>
        <w:t>antenas montadas a menor altura, etc.;</w:t>
      </w:r>
    </w:p>
    <w:p w:rsidR="00181C1A" w:rsidRPr="007F01E8" w:rsidRDefault="00181C1A" w:rsidP="00FD027D">
      <w:pPr>
        <w:pStyle w:val="Enumlevel1"/>
        <w:numPr>
          <w:ilvl w:val="0"/>
          <w:numId w:val="13"/>
        </w:numPr>
        <w:ind w:left="567" w:hanging="567"/>
        <w:rPr>
          <w:lang w:val="es-ES_tradnl"/>
        </w:rPr>
      </w:pPr>
      <w:r w:rsidRPr="007F01E8">
        <w:rPr>
          <w:lang w:val="es-ES_tradnl"/>
        </w:rPr>
        <w:t>las malas condiciones de cobertura también suponen que los teléfonos funcionan con niveles de potencia más elevados;</w:t>
      </w:r>
    </w:p>
    <w:p w:rsidR="00181C1A" w:rsidRPr="007F01E8" w:rsidRDefault="00181C1A" w:rsidP="00FD027D">
      <w:pPr>
        <w:pStyle w:val="Enumlevel1"/>
        <w:numPr>
          <w:ilvl w:val="0"/>
          <w:numId w:val="13"/>
        </w:numPr>
        <w:ind w:left="567" w:hanging="567"/>
        <w:rPr>
          <w:lang w:val="es-ES_tradnl"/>
        </w:rPr>
      </w:pPr>
      <w:r w:rsidRPr="007F01E8">
        <w:rPr>
          <w:lang w:val="es-ES_tradnl"/>
        </w:rPr>
        <w:t>los operadores subcontratan la instalación y el mantenimiento de infraestructuras a terceros;</w:t>
      </w:r>
    </w:p>
    <w:p w:rsidR="00181C1A" w:rsidRDefault="00181C1A" w:rsidP="00FD027D">
      <w:pPr>
        <w:pStyle w:val="Enumlevel1"/>
        <w:numPr>
          <w:ilvl w:val="0"/>
          <w:numId w:val="13"/>
        </w:numPr>
        <w:ind w:left="567" w:hanging="567"/>
        <w:rPr>
          <w:lang w:val="es-ES_tradnl"/>
        </w:rPr>
      </w:pPr>
      <w:r w:rsidRPr="007F01E8">
        <w:rPr>
          <w:lang w:val="es-ES_tradnl"/>
        </w:rPr>
        <w:t>conocimientos técnicos inapropiados en el terreno y de las autoridades locales para comprender que los cálculos son de zona de exclusión basados en las Recomendaciones de la serie K de la UIT. Esta situación también debe analizarse con respecto a las exigencias de supervisión que se extienden a 0,747 millones de BTS.</w:t>
      </w:r>
    </w:p>
    <w:p w:rsidR="00574A00" w:rsidRPr="007F01E8" w:rsidRDefault="00574A00" w:rsidP="00574A00">
      <w:pPr>
        <w:rPr>
          <w:lang w:val="es-ES_tradnl"/>
        </w:rPr>
      </w:pPr>
    </w:p>
    <w:p w:rsidR="00181C1A" w:rsidRPr="00D15FE4" w:rsidRDefault="00181C1A" w:rsidP="00574A00">
      <w:pPr>
        <w:rPr>
          <w:lang w:val="es-ES_tradnl"/>
        </w:rPr>
      </w:pPr>
      <w:bookmarkStart w:id="48" w:name="_Toc370825010"/>
      <w:r w:rsidRPr="00D15FE4">
        <w:rPr>
          <w:lang w:val="es-ES_tradnl"/>
        </w:rPr>
        <w:lastRenderedPageBreak/>
        <w:t>El estudio de caso también se refiere a muchas otras contribuciones sobre iniciativas de política de la India, incluidos detalles en enlaces de referencia en la web</w:t>
      </w:r>
      <w:r w:rsidRPr="00134C36">
        <w:rPr>
          <w:rStyle w:val="FootnoteReference"/>
          <w:rFonts w:cs="VendettaLight"/>
          <w:sz w:val="19"/>
          <w:lang w:val="es-ES_tradnl"/>
        </w:rPr>
        <w:footnoteReference w:id="12"/>
      </w:r>
      <w:r w:rsidRPr="00D15FE4">
        <w:rPr>
          <w:lang w:val="es-ES_tradnl"/>
        </w:rPr>
        <w:t>.</w:t>
      </w:r>
      <w:bookmarkEnd w:id="48"/>
    </w:p>
    <w:p w:rsidR="00181C1A" w:rsidRPr="00D15FE4" w:rsidRDefault="00181C1A" w:rsidP="00574A00">
      <w:pPr>
        <w:pStyle w:val="Heading1"/>
        <w:ind w:left="851" w:hanging="851"/>
        <w:rPr>
          <w:smallCaps/>
          <w:lang w:val="es-ES_tradnl"/>
        </w:rPr>
      </w:pPr>
      <w:bookmarkStart w:id="49" w:name="_Toc370825011"/>
      <w:bookmarkStart w:id="50" w:name="_Toc377560462"/>
      <w:r w:rsidRPr="00D15FE4">
        <w:rPr>
          <w:lang w:val="es-ES_tradnl"/>
        </w:rPr>
        <w:t>6</w:t>
      </w:r>
      <w:r w:rsidRPr="00D15FE4">
        <w:rPr>
          <w:lang w:val="es-ES_tradnl"/>
        </w:rPr>
        <w:tab/>
        <w:t xml:space="preserve">Proyecto de la UIT en América Central relativo a las emisiones </w:t>
      </w:r>
      <w:r w:rsidRPr="00C84BA8">
        <w:rPr>
          <w:lang w:val="es-ES_tradnl"/>
        </w:rPr>
        <w:t>electromagnéticas</w:t>
      </w:r>
      <w:r w:rsidRPr="00D15FE4">
        <w:rPr>
          <w:lang w:val="es-ES_tradnl"/>
        </w:rPr>
        <w:t xml:space="preserve"> no ionizantes, la regulación sobre la exposición humana y los despliegues de redes inalámbricas y sus infraestructuras asociadas</w:t>
      </w:r>
      <w:bookmarkEnd w:id="49"/>
      <w:bookmarkEnd w:id="50"/>
      <w:r w:rsidRPr="00D15FE4">
        <w:rPr>
          <w:lang w:val="es-ES_tradnl"/>
        </w:rPr>
        <w:t xml:space="preserve"> </w:t>
      </w:r>
    </w:p>
    <w:p w:rsidR="00181C1A" w:rsidRPr="00D15FE4" w:rsidRDefault="00181C1A" w:rsidP="00574A00">
      <w:pPr>
        <w:rPr>
          <w:b/>
          <w:lang w:val="es-ES_tradnl"/>
        </w:rPr>
      </w:pPr>
      <w:r w:rsidRPr="00130625">
        <w:rPr>
          <w:bCs/>
          <w:lang w:val="es-ES_tradnl"/>
        </w:rPr>
        <w:t>6.1</w:t>
      </w:r>
      <w:r w:rsidRPr="00130625">
        <w:rPr>
          <w:bCs/>
          <w:lang w:val="es-ES_tradnl"/>
        </w:rPr>
        <w:tab/>
        <w:t xml:space="preserve">El objetivo de </w:t>
      </w:r>
      <w:r w:rsidRPr="00130625">
        <w:rPr>
          <w:bCs/>
          <w:lang w:val="es-ES_tradnl" w:eastAsia="zh-CN"/>
        </w:rPr>
        <w:t xml:space="preserve">este Proyecto era analizar las dificultades </w:t>
      </w:r>
      <w:r w:rsidRPr="00130625">
        <w:rPr>
          <w:bCs/>
          <w:lang w:val="es-ES_tradnl"/>
        </w:rPr>
        <w:t>existentes ante los despliegues de redes</w:t>
      </w:r>
      <w:r w:rsidRPr="00D15FE4">
        <w:rPr>
          <w:lang w:val="es-ES_tradnl"/>
        </w:rPr>
        <w:t xml:space="preserve"> móviles y sus infraestructuras asociadas </w:t>
      </w:r>
      <w:r w:rsidRPr="00D15FE4">
        <w:rPr>
          <w:lang w:val="es-ES_tradnl" w:eastAsia="zh-CN"/>
        </w:rPr>
        <w:t>en América Central, debidas a la aprensión social a la radiación electromagnética, y evaluar la normativa r</w:t>
      </w:r>
      <w:r w:rsidRPr="00D15FE4">
        <w:rPr>
          <w:lang w:val="es-ES_tradnl"/>
        </w:rPr>
        <w:t>elacionada con el control de las mismas en los países beneficiarios. Asimismo, el Proyecto desarrolló, en base a dichos estudios y evaluaciones, propuestas de solución que comprendían la realización de cambios en las normativas o su desarrollo; proyectos pilotos que incluían la medición de la comunicación social de las mismas; y las herramientas generales necesarias para facilitar, a la hora del despliegue de las redes inalámbricas, la aceptación social de la población y sus asociaciones políticas y civiles.</w:t>
      </w:r>
    </w:p>
    <w:p w:rsidR="00181C1A" w:rsidRPr="00D15FE4" w:rsidRDefault="00181C1A" w:rsidP="00574A00">
      <w:pPr>
        <w:rPr>
          <w:lang w:val="es-ES_tradnl"/>
        </w:rPr>
      </w:pPr>
      <w:r w:rsidRPr="00D15FE4">
        <w:rPr>
          <w:lang w:val="es-ES_tradnl" w:eastAsia="zh-CN"/>
        </w:rPr>
        <w:t>En particular, con respecto a esta última cuestión, se han realizado mediciones piloto en El Salvador cuyos resultados figuran al final del presente documento.</w:t>
      </w:r>
    </w:p>
    <w:p w:rsidR="00181C1A" w:rsidRPr="00D15FE4" w:rsidRDefault="00181C1A" w:rsidP="00574A00">
      <w:pPr>
        <w:rPr>
          <w:lang w:val="es-ES_tradnl"/>
        </w:rPr>
      </w:pPr>
      <w:r w:rsidRPr="00130625">
        <w:rPr>
          <w:lang w:val="es-ES_tradnl"/>
        </w:rPr>
        <w:lastRenderedPageBreak/>
        <w:t>6.2</w:t>
      </w:r>
      <w:r w:rsidRPr="00130625">
        <w:rPr>
          <w:lang w:val="es-ES_tradnl"/>
        </w:rPr>
        <w:tab/>
        <w:t>Las dificultades para el despliegue de redes inalámbricas de telecomunicaciones, generadas por la</w:t>
      </w:r>
      <w:r w:rsidRPr="00D15FE4">
        <w:rPr>
          <w:lang w:val="es-ES_tradnl"/>
        </w:rPr>
        <w:t xml:space="preserve"> aprensión popular a las antenas y los posibles efectos de la exposición a las RF, se han transformado en un problema de difícil solución y figuran entre los temas de estudio prioritarios de la UIT, la Comisión Interamericana de Telecomunicaciones (CITEL) y en la Comisión Técnica de Telecomunicaciones de Centro América (COMTELCA).</w:t>
      </w:r>
    </w:p>
    <w:p w:rsidR="00181C1A" w:rsidRPr="00D15FE4" w:rsidRDefault="00181C1A" w:rsidP="00130625">
      <w:pPr>
        <w:rPr>
          <w:lang w:val="es-ES_tradnl"/>
        </w:rPr>
      </w:pPr>
      <w:r w:rsidRPr="00130625">
        <w:rPr>
          <w:lang w:val="es-ES_tradnl"/>
        </w:rPr>
        <w:t>6.3</w:t>
      </w:r>
      <w:r w:rsidRPr="00130625">
        <w:rPr>
          <w:lang w:val="es-ES_tradnl"/>
        </w:rPr>
        <w:tab/>
        <w:t>El presente Proyecto tuvo como cometido estudiar, proponer y ejecutar un proyecto piloto en la</w:t>
      </w:r>
      <w:r w:rsidRPr="00D15FE4">
        <w:rPr>
          <w:lang w:val="es-ES_tradnl"/>
        </w:rPr>
        <w:t xml:space="preserve"> región de América Central, relacionado tanto con el despliegue de antenas de telefonía móvil y sus infraestructuras asociadas, como con la cuestión de las radiaciones no ionizantes y la protección de la salud. Dicho proyecto se desarrolló de conformidad con distintas resoluciones, tales como la Resolución</w:t>
      </w:r>
      <w:r>
        <w:rPr>
          <w:lang w:val="es-ES_tradnl"/>
        </w:rPr>
        <w:t> </w:t>
      </w:r>
      <w:r w:rsidRPr="00D15FE4">
        <w:rPr>
          <w:lang w:val="es-ES_tradnl"/>
        </w:rPr>
        <w:t>176 (Guadalajara, 2010) de la Conferencia de Plenipotenciarios de la UIT sobre “Exposición de las personas a los campos electromagnéticos y medición de los mismos”, la Resolución 72 (AMNT, Johannesburgo, 2008, Dubái, 2012) sobre “Problemas de medición relativos a la exposición de las personas a los campos electromagnéticos”, y la Resolución 62 (CMDT, Hyderabad, 2010). Además, en el marco de esa iniciativa se considera la posibilidad de facilitar información sobre las lecciones aprendidas a la Cuestión 23/1 sobre “Estrategias y políticas relativas a la exposición de las personas a los campos electromagnéticos” de la Comisión de Estudio 1 del Sector Desarrollo, y al Grupo Regional de Latinoamérica y el Caribe de la Comisión de Estudio 5 del UIT-T.</w:t>
      </w:r>
    </w:p>
    <w:p w:rsidR="00181C1A" w:rsidRPr="00D15FE4" w:rsidRDefault="00181C1A" w:rsidP="00130625">
      <w:pPr>
        <w:rPr>
          <w:lang w:val="es-ES_tradnl"/>
        </w:rPr>
      </w:pPr>
      <w:r w:rsidRPr="00130625">
        <w:rPr>
          <w:lang w:val="es-ES_tradnl"/>
        </w:rPr>
        <w:t>6.4</w:t>
      </w:r>
      <w:r w:rsidRPr="00D15FE4">
        <w:rPr>
          <w:lang w:val="es-ES_tradnl"/>
        </w:rPr>
        <w:tab/>
      </w:r>
      <w:r w:rsidRPr="00130625">
        <w:rPr>
          <w:lang w:val="es-ES_tradnl"/>
        </w:rPr>
        <w:t>El presente Proyecto fue puesto en práctica por la Oficina de Desarrollo de las Telecomunicaciones de la UIT (BDT), a través de su Oficina de Zona para Centroamérica, Cuba, México y República Dominicana, en estrecha colaboración con la Oficina Regional para las Américas y el Caribe. Del mismo modo, contó con la cooperación de expertos externos y de los países participantes.</w:t>
      </w:r>
    </w:p>
    <w:p w:rsidR="00181C1A" w:rsidRPr="00D15FE4" w:rsidRDefault="00181C1A" w:rsidP="00130625">
      <w:pPr>
        <w:rPr>
          <w:lang w:val="es-ES_tradnl"/>
        </w:rPr>
      </w:pPr>
      <w:r w:rsidRPr="00130625">
        <w:rPr>
          <w:lang w:val="es-ES_tradnl"/>
        </w:rPr>
        <w:t>6.5</w:t>
      </w:r>
      <w:r w:rsidRPr="00D15FE4">
        <w:rPr>
          <w:lang w:val="es-ES_tradnl"/>
        </w:rPr>
        <w:tab/>
      </w:r>
      <w:r w:rsidRPr="00130625">
        <w:rPr>
          <w:lang w:val="es-ES_tradnl"/>
        </w:rPr>
        <w:t>La aprensión social a las radiaciones electromagnéticas está siendo manifestada por las comunidades y los grupos de usuarios de los servicios de telecomunicaciones, quienes se resisten al despliegue de antenas por miedo a sus posibles efectos sobre la salud. Por su parte, las Administraciones de los países centroamericanos están estudiando propuestas de solución que incluyan también el desarrollo de las herramientas generales necesarias para facilitar tanto el despliegue de las redes inalámbricas, como la aceptación social de la población y sus asociaciones políticas y civiles.</w:t>
      </w:r>
    </w:p>
    <w:p w:rsidR="00181C1A" w:rsidRPr="00D15FE4" w:rsidRDefault="00181C1A" w:rsidP="00130625">
      <w:pPr>
        <w:rPr>
          <w:lang w:val="es-ES_tradnl"/>
        </w:rPr>
      </w:pPr>
      <w:r w:rsidRPr="00130625">
        <w:rPr>
          <w:lang w:val="es-ES_tradnl"/>
        </w:rPr>
        <w:t>6.6</w:t>
      </w:r>
      <w:r w:rsidRPr="00D15FE4">
        <w:rPr>
          <w:lang w:val="es-ES_tradnl"/>
        </w:rPr>
        <w:tab/>
      </w:r>
      <w:r w:rsidRPr="00130625">
        <w:rPr>
          <w:lang w:val="es-ES_tradnl"/>
        </w:rPr>
        <w:t>El Salvador, Panamá y Honduras se incorporaron a este Proyecto con miras a realizar un estudio destinado a esclarecer el estado de situación relativa a los despliegues de redes de telefonía móvil y sus infraestructuras asociadas en dichos países, a causa de la aprensión social a las radiaciones electromagnéticas manifestada por la población, con el objetivo final de facilitar la instalación de las antenas y sus infraestructuras asociadas.</w:t>
      </w:r>
    </w:p>
    <w:p w:rsidR="00181C1A" w:rsidRPr="00130625" w:rsidRDefault="00181C1A" w:rsidP="00130625">
      <w:pPr>
        <w:rPr>
          <w:lang w:val="es-ES_tradnl"/>
        </w:rPr>
      </w:pPr>
      <w:r w:rsidRPr="00130625">
        <w:rPr>
          <w:lang w:val="es-ES_tradnl"/>
        </w:rPr>
        <w:t>6.7</w:t>
      </w:r>
      <w:r w:rsidRPr="00130625">
        <w:rPr>
          <w:lang w:val="es-ES_tradnl"/>
        </w:rPr>
        <w:tab/>
        <w:t>Se decidió celebrar reuniones con distintos departamentos gubernamentales que pudieran ocuparse de este mismo tema, tales como: el Organismo Regulador de las Telecomunicaciones, el Ministerio de Sanidad, el Ministerio de Medio Ambiente, las oficinas nacionales de apoyo a municipios, las oficinas de planificación municipal de las áreas metropolitanas y los municipios principales, la Asociación Gremial de Alcaldes y las empresas operadoras. El objetivo fue no solo recabar información procedente de diversas fuentes que no siempre están relacionadas entre sí, sino también intentar que los distintos sectores del gobierno nacional involucrados en la cuestión alcanzaran una posición común.</w:t>
      </w:r>
    </w:p>
    <w:p w:rsidR="00181C1A" w:rsidRPr="00D15FE4" w:rsidRDefault="00181C1A" w:rsidP="00130625">
      <w:pPr>
        <w:rPr>
          <w:lang w:val="es-ES_tradnl"/>
        </w:rPr>
      </w:pPr>
      <w:r w:rsidRPr="00130625">
        <w:rPr>
          <w:lang w:val="es-ES_tradnl"/>
        </w:rPr>
        <w:t>6.8</w:t>
      </w:r>
      <w:r w:rsidRPr="00D15FE4">
        <w:rPr>
          <w:lang w:val="es-ES_tradnl"/>
        </w:rPr>
        <w:tab/>
      </w:r>
      <w:r w:rsidRPr="00130625">
        <w:rPr>
          <w:lang w:val="es-ES_tradnl"/>
        </w:rPr>
        <w:t>Podemos afirmar que en dos de los tres países participantes se mantienen las siguientes características, similares a las que comparten el resto de Latinoamérica y otras regiones del mundo:</w:t>
      </w:r>
    </w:p>
    <w:p w:rsidR="00181C1A" w:rsidRPr="00D15FE4" w:rsidRDefault="00181C1A" w:rsidP="00130625">
      <w:pPr>
        <w:rPr>
          <w:lang w:val="es-ES_tradnl"/>
        </w:rPr>
      </w:pPr>
      <w:r w:rsidRPr="00130625">
        <w:rPr>
          <w:lang w:val="es-ES_tradnl"/>
        </w:rPr>
        <w:t>Carencia de normativa coherente en diversos sectores gubernamentales; falta de integración y de una política común en las distintas áreas del gobierno nacional; carencia de una política de comunicación social referente a las RNI y la protección de la salud; incumplimientos de las ordenanzas municipales; existencia de instalaciones no autorizadas a nivel municipal; rechazo de las instalaciones por parte de la población; participación de organizaciones medioambientales; politización de la cuestión; miedo a los posibles efectos de las RNI sobre la salud; alarma social inicial; y tendencia al incremento del rechazo a las instalaciones en los barrios o zonas locales.</w:t>
      </w:r>
    </w:p>
    <w:p w:rsidR="00181C1A" w:rsidRPr="00D15FE4" w:rsidRDefault="00181C1A" w:rsidP="00130625">
      <w:pPr>
        <w:rPr>
          <w:lang w:val="es-ES_tradnl"/>
        </w:rPr>
      </w:pPr>
      <w:r w:rsidRPr="00130625">
        <w:rPr>
          <w:lang w:val="es-ES_tradnl"/>
        </w:rPr>
        <w:t>6.9</w:t>
      </w:r>
      <w:r w:rsidRPr="00130625">
        <w:rPr>
          <w:lang w:val="es-ES_tradnl"/>
        </w:rPr>
        <w:tab/>
        <w:t>Existe un conflicto que no es ni técnico ni comercial y que, en el fondo, tampoco está relacionado</w:t>
      </w:r>
      <w:r w:rsidRPr="00D15FE4">
        <w:rPr>
          <w:lang w:val="es-ES_tradnl"/>
        </w:rPr>
        <w:t xml:space="preserve"> con la salud. En este caso, se trata de un problema basado en la percepción social del riesgo y el </w:t>
      </w:r>
      <w:r w:rsidRPr="00D15FE4">
        <w:rPr>
          <w:lang w:val="es-ES_tradnl"/>
        </w:rPr>
        <w:lastRenderedPageBreak/>
        <w:t>consecuente temor a las radiaciones por parte de la población. Dicho conflicto está dando lugar, por medio de la presión popular ejercida sobre los alcaldes y los órganos legislativos municipales, a la adopción de barreras normativas al despliegue de infraestructuras.</w:t>
      </w:r>
    </w:p>
    <w:p w:rsidR="00181C1A" w:rsidRPr="00130625" w:rsidRDefault="00181C1A" w:rsidP="00130625">
      <w:pPr>
        <w:rPr>
          <w:bCs/>
          <w:lang w:val="es-ES_tradnl"/>
        </w:rPr>
      </w:pPr>
      <w:r w:rsidRPr="00130625">
        <w:rPr>
          <w:bCs/>
          <w:lang w:val="es-ES_tradnl"/>
        </w:rPr>
        <w:t>6.10</w:t>
      </w:r>
      <w:r w:rsidRPr="00130625">
        <w:rPr>
          <w:bCs/>
          <w:lang w:val="es-ES_tradnl"/>
        </w:rPr>
        <w:tab/>
        <w:t>Algunos países carecen de una legislación nacional de salud que regule explícitamente la cuestión de las RNI; no obstante, en algunos casos existen normas procedentes del sector de las telecomunicaciones, y en otros se aplica la normativa de COMTELCA. Sea como fuere, se efectuaron recomendaciones específicas para desarrollo de normativa local.</w:t>
      </w:r>
    </w:p>
    <w:p w:rsidR="00181C1A" w:rsidRPr="00130625" w:rsidRDefault="00181C1A" w:rsidP="00130625">
      <w:pPr>
        <w:rPr>
          <w:bCs/>
          <w:lang w:val="es-ES_tradnl"/>
        </w:rPr>
      </w:pPr>
      <w:r w:rsidRPr="00130625">
        <w:rPr>
          <w:bCs/>
          <w:lang w:val="es-ES_tradnl"/>
        </w:rPr>
        <w:t>6.11</w:t>
      </w:r>
      <w:r w:rsidRPr="00130625">
        <w:rPr>
          <w:bCs/>
          <w:lang w:val="es-ES_tradnl"/>
        </w:rPr>
        <w:tab/>
        <w:t>Tras haber considerado la situación específica de cada país y el documento “Estableciendo un diálogo sobre los riesgos de los campos electromagnéticos” de la OMS, se realizó una propuesta concreta para cada país sobre gestión de la aceptación social en materia de instalación de antenas. Asimismo, se presentó un plan de trabajo sostenible para lograr dicho objetivo</w:t>
      </w:r>
    </w:p>
    <w:p w:rsidR="00181C1A" w:rsidRPr="00130625" w:rsidRDefault="00181C1A" w:rsidP="00130625">
      <w:pPr>
        <w:rPr>
          <w:bCs/>
          <w:lang w:val="es-ES_tradnl"/>
        </w:rPr>
      </w:pPr>
      <w:r w:rsidRPr="00130625">
        <w:rPr>
          <w:bCs/>
          <w:lang w:val="es-ES_tradnl"/>
        </w:rPr>
        <w:t>6.12</w:t>
      </w:r>
      <w:r w:rsidRPr="00130625">
        <w:rPr>
          <w:bCs/>
          <w:lang w:val="es-ES_tradnl"/>
        </w:rPr>
        <w:tab/>
        <w:t>Se redactó un borrador de la Guía de Buenas Prácticas para la Instalación de Antenas, que incluye desde una reseña sobre el funcionamiento de la telefonía móvil y conocimientos básicos sobre radiaciones no ionizantes, hasta metodologías de instalación que protegen el medioambiente, disminuyen el impacto visual y observan las normativas urbanística, de protección del patrimonio cultural y de control de las radiaciones. Dicha Guía comprende asimismo algunas pautas relacionadas con los procedimientos municipales de concesión de licencias, a fin de lograr la homogenización de los mismos en los diversos municipios.</w:t>
      </w:r>
    </w:p>
    <w:p w:rsidR="00181C1A" w:rsidRPr="00130625" w:rsidRDefault="00181C1A" w:rsidP="00130625">
      <w:pPr>
        <w:rPr>
          <w:bCs/>
          <w:lang w:val="es-ES_tradnl"/>
        </w:rPr>
      </w:pPr>
      <w:r w:rsidRPr="00130625">
        <w:rPr>
          <w:bCs/>
          <w:lang w:val="es-ES_tradnl"/>
        </w:rPr>
        <w:t>6.13</w:t>
      </w:r>
      <w:r w:rsidRPr="00130625">
        <w:rPr>
          <w:bCs/>
          <w:lang w:val="es-ES_tradnl"/>
        </w:rPr>
        <w:tab/>
        <w:t>Se suministraron los siguientes equipos y licencias a El Salvador, donde se efectuó el proyecto piloto:</w:t>
      </w:r>
    </w:p>
    <w:p w:rsidR="00181C1A" w:rsidRPr="00D15FE4" w:rsidRDefault="00181C1A" w:rsidP="00FD027D">
      <w:pPr>
        <w:pStyle w:val="Enumlevel1"/>
        <w:numPr>
          <w:ilvl w:val="0"/>
          <w:numId w:val="13"/>
        </w:numPr>
        <w:ind w:left="567" w:hanging="567"/>
        <w:rPr>
          <w:lang w:val="es-ES_tradnl"/>
        </w:rPr>
      </w:pPr>
      <w:r w:rsidRPr="00130625">
        <w:rPr>
          <w:lang w:val="es-ES_tradnl"/>
        </w:rPr>
        <w:t>un equipo portátil de medición de RNI;</w:t>
      </w:r>
    </w:p>
    <w:p w:rsidR="00181C1A" w:rsidRPr="00D15FE4" w:rsidRDefault="00181C1A" w:rsidP="00FD027D">
      <w:pPr>
        <w:pStyle w:val="Enumlevel1"/>
        <w:numPr>
          <w:ilvl w:val="0"/>
          <w:numId w:val="13"/>
        </w:numPr>
        <w:ind w:left="567" w:hanging="567"/>
        <w:rPr>
          <w:lang w:val="es-ES_tradnl"/>
        </w:rPr>
      </w:pPr>
      <w:r w:rsidRPr="00130625">
        <w:rPr>
          <w:lang w:val="es-ES_tradnl"/>
        </w:rPr>
        <w:t>2 equipos de medición permanente de campos electromagnéticos y su Centro de Control (todos ellos calibrados, instalados y supervisados), junto con las aplicaciones necesarias para la gestión y la publicación de los datos en Internet, de conformidad con la Recomendación UIT-T K.83; y</w:t>
      </w:r>
    </w:p>
    <w:p w:rsidR="00181C1A" w:rsidRPr="00D15FE4" w:rsidRDefault="00181C1A" w:rsidP="00FD027D">
      <w:pPr>
        <w:pStyle w:val="Enumlevel1"/>
        <w:numPr>
          <w:ilvl w:val="0"/>
          <w:numId w:val="13"/>
        </w:numPr>
        <w:ind w:left="567" w:hanging="567"/>
        <w:rPr>
          <w:lang w:val="es-ES_tradnl"/>
        </w:rPr>
      </w:pPr>
      <w:r w:rsidRPr="00130625">
        <w:rPr>
          <w:lang w:val="es-ES_tradnl"/>
        </w:rPr>
        <w:t>un mapa de radiación de una zona comprendida en el área metropolitana de El Salvador.</w:t>
      </w:r>
    </w:p>
    <w:p w:rsidR="00181C1A" w:rsidRPr="00E861AE" w:rsidRDefault="00181C1A" w:rsidP="00E861AE">
      <w:pPr>
        <w:rPr>
          <w:lang w:val="es-ES_tradnl"/>
        </w:rPr>
      </w:pPr>
      <w:r w:rsidRPr="00E861AE">
        <w:rPr>
          <w:lang w:val="es-ES_tradnl"/>
        </w:rPr>
        <w:t>La UIT compró dichos equipos a través de un proceso de licitación del que resultó ganadora la empresa Wave Control.</w:t>
      </w:r>
    </w:p>
    <w:p w:rsidR="00181C1A" w:rsidRPr="00E861AE" w:rsidRDefault="00181C1A" w:rsidP="00E861AE">
      <w:pPr>
        <w:rPr>
          <w:lang w:val="es-ES_tradnl"/>
        </w:rPr>
      </w:pPr>
      <w:r w:rsidRPr="00E861AE">
        <w:rPr>
          <w:lang w:val="es-ES_tradnl"/>
        </w:rPr>
        <w:t>6.14</w:t>
      </w:r>
      <w:r w:rsidRPr="00E861AE">
        <w:rPr>
          <w:lang w:val="es-ES_tradnl"/>
        </w:rPr>
        <w:tab/>
      </w:r>
      <w:r w:rsidRPr="00E861AE">
        <w:rPr>
          <w:rFonts w:eastAsia="Times New Roman"/>
          <w:lang w:val="es-ES_tradnl"/>
        </w:rPr>
        <w:t>Esta herramienta no se basa en las normas de medición establecidas y, en consecuencia, no sustituye a las mediciones de control que debe realizar la autoridad competente, sino que ha de considerarse como una vía adicional de comunicación social, cuyo cometido es disminuir el miedo de la población a los posibles efectos perjudiciales de las RNI sobre la salud. El objetivo es medir los niveles de RNI en las calles y los lugares sensibles determinados por la autoridad pública. Dichos niveles serán controlados permanentemente. De esta forma, se pretende mostrar de manera transparente y comprensible a la población (a través de la web, de publicaciones, etc.) que los niveles de radiación son sensiblemente inferiores a los establecidos por la normativa vigente, en aras de disminuir la aprensión social.</w:t>
      </w:r>
    </w:p>
    <w:p w:rsidR="00181C1A" w:rsidRPr="00E861AE" w:rsidRDefault="00181C1A" w:rsidP="00E861AE">
      <w:pPr>
        <w:rPr>
          <w:lang w:val="es-ES_tradnl"/>
        </w:rPr>
      </w:pPr>
      <w:r w:rsidRPr="00E861AE">
        <w:rPr>
          <w:lang w:val="es-ES_tradnl"/>
        </w:rPr>
        <w:t>6.15</w:t>
      </w:r>
      <w:r w:rsidRPr="00E861AE">
        <w:rPr>
          <w:lang w:val="es-ES_tradnl"/>
        </w:rPr>
        <w:tab/>
        <w:t xml:space="preserve">Con objeto de crear </w:t>
      </w:r>
      <w:r w:rsidRPr="00E861AE">
        <w:rPr>
          <w:rFonts w:eastAsia="Times New Roman"/>
          <w:lang w:val="es-ES_tradnl"/>
        </w:rPr>
        <w:t>los mapas electromagnéticos, se recorrieron todas las calles de una zona determinada del área metropolitana de San Salvador para obtener una visión general y exhaustiva de los niveles de campo electromagnético. Se realizaron las mediciones a nivel de calle por medio de sondas isótropas de campo electromagnético con un margen frecuencial de 300 KHz a 3 GHz (banda ancha), y se obtuvieron los niveles existentes en cada punto de la ciudad, de forma dinámica, junto con su fecha y su posición GPS.</w:t>
      </w:r>
    </w:p>
    <w:p w:rsidR="00181C1A" w:rsidRDefault="00181C1A" w:rsidP="00E861AE">
      <w:pPr>
        <w:rPr>
          <w:lang w:val="es-ES_tradnl"/>
        </w:rPr>
      </w:pPr>
      <w:r w:rsidRPr="00E861AE">
        <w:rPr>
          <w:lang w:val="es-ES_tradnl"/>
        </w:rPr>
        <w:t>6.16</w:t>
      </w:r>
      <w:r w:rsidRPr="00E861AE">
        <w:rPr>
          <w:lang w:val="es-ES_tradnl"/>
        </w:rPr>
        <w:tab/>
        <w:t>El proceso se llevó a cabo con ayuda del vehículo y el personal logístico provistos por la SIGET. Los niveles se midieron en V/m, con el objetivo de que pudieran ser directamente comparados con los niveles especificados por las normas internacionales relativas a los límites de exposición de las personas a los campos electromagnéticos de radiofrecuencia. Los datos se recopilaron y almacenaron junto con su fecha y su posición GPS, y fueron presentados mediante un sistema de información geográfica (GIS) que permite visualizarlos de forma gráfica sobre un mapa, junto con sus distintos niveles codificados por colores.</w:t>
      </w:r>
    </w:p>
    <w:p w:rsidR="00E861AE" w:rsidRPr="00E861AE" w:rsidRDefault="00E861AE" w:rsidP="00E861AE">
      <w:pPr>
        <w:pStyle w:val="Figuretitle"/>
        <w:ind w:left="851" w:hanging="851"/>
        <w:jc w:val="left"/>
        <w:rPr>
          <w:lang w:val="es-ES_tradnl"/>
        </w:rPr>
      </w:pPr>
      <w:bookmarkStart w:id="51" w:name="_Toc375239129"/>
      <w:r>
        <w:rPr>
          <w:lang w:val="es-ES_tradnl"/>
        </w:rPr>
        <w:lastRenderedPageBreak/>
        <w:t>Figura</w:t>
      </w:r>
      <w:r w:rsidRPr="00E861AE">
        <w:rPr>
          <w:lang w:val="es-ES_tradnl"/>
        </w:rPr>
        <w:t xml:space="preserve"> 1:</w:t>
      </w:r>
      <w:bookmarkEnd w:id="51"/>
      <w:r>
        <w:rPr>
          <w:lang w:val="es-ES_tradnl"/>
        </w:rPr>
        <w:tab/>
      </w:r>
      <w:r w:rsidRPr="00E861AE">
        <w:rPr>
          <w:lang w:val="es-ES_tradnl"/>
        </w:rPr>
        <w:t xml:space="preserve">Mapa de RNI de San Salvador, no publicado en el momento </w:t>
      </w:r>
      <w:r w:rsidRPr="00E861AE">
        <w:rPr>
          <w:lang w:val="es-ES_tradnl"/>
        </w:rPr>
        <w:br/>
        <w:t>de la elaboración de este Informe</w:t>
      </w:r>
    </w:p>
    <w:p w:rsidR="00E861AE" w:rsidRDefault="00E861AE" w:rsidP="00E861AE">
      <w:pPr>
        <w:pStyle w:val="Figure"/>
        <w:spacing w:before="120" w:after="0"/>
      </w:pPr>
      <w:r w:rsidRPr="007E78E4">
        <w:rPr>
          <w:noProof/>
          <w:lang w:val="en-US" w:eastAsia="zh-CN"/>
        </w:rPr>
        <w:drawing>
          <wp:inline distT="0" distB="0" distL="0" distR="0" wp14:anchorId="30B55B23" wp14:editId="387628C1">
            <wp:extent cx="3876675" cy="2276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6061" cy="2276114"/>
                    </a:xfrm>
                    <a:prstGeom prst="rect">
                      <a:avLst/>
                    </a:prstGeom>
                    <a:noFill/>
                  </pic:spPr>
                </pic:pic>
              </a:graphicData>
            </a:graphic>
          </wp:inline>
        </w:drawing>
      </w:r>
    </w:p>
    <w:p w:rsidR="00E861AE" w:rsidRDefault="00E861AE" w:rsidP="00E861AE">
      <w:pPr>
        <w:pStyle w:val="figuresource"/>
        <w:spacing w:before="0"/>
      </w:pPr>
    </w:p>
    <w:p w:rsidR="00181C1A" w:rsidRPr="00E861AE" w:rsidRDefault="00181C1A" w:rsidP="00E861AE">
      <w:pPr>
        <w:rPr>
          <w:lang w:val="es-ES_tradnl"/>
        </w:rPr>
      </w:pPr>
      <w:r w:rsidRPr="00E861AE">
        <w:rPr>
          <w:lang w:val="es-ES_tradnl"/>
        </w:rPr>
        <w:t>6.17</w:t>
      </w:r>
      <w:r w:rsidRPr="00E861AE">
        <w:rPr>
          <w:lang w:val="es-ES_tradnl"/>
        </w:rPr>
        <w:tab/>
        <w:t>En el presente mapa se aprecian los distintos niveles de RNI que la población puede comparar en una escala de azul a rojo, por encima de la cual se superan los límites máximos establecidos por la OMS.</w:t>
      </w:r>
    </w:p>
    <w:p w:rsidR="00181C1A" w:rsidRDefault="00181C1A" w:rsidP="00E861AE">
      <w:pPr>
        <w:rPr>
          <w:lang w:val="es-ES_tradnl"/>
        </w:rPr>
      </w:pPr>
      <w:r w:rsidRPr="00E861AE">
        <w:rPr>
          <w:lang w:val="es-ES_tradnl"/>
        </w:rPr>
        <w:t>6.18</w:t>
      </w:r>
      <w:r w:rsidRPr="00E861AE">
        <w:rPr>
          <w:lang w:val="es-ES_tradnl"/>
        </w:rPr>
        <w:tab/>
        <w:t>A continuación figura un mapa similar de la ciudad de Lomas de Zamora, en Argentina, publicado con su escala de niveles de RNI:</w:t>
      </w:r>
    </w:p>
    <w:p w:rsidR="00F9694B" w:rsidRPr="00F9694B" w:rsidRDefault="00F9694B" w:rsidP="00872CD1">
      <w:pPr>
        <w:pStyle w:val="Figuretitle"/>
        <w:ind w:left="851" w:hanging="851"/>
        <w:rPr>
          <w:lang w:val="es-ES_tradnl"/>
        </w:rPr>
      </w:pPr>
      <w:bookmarkStart w:id="52" w:name="_Toc375239130"/>
      <w:r w:rsidRPr="00F9694B">
        <w:rPr>
          <w:lang w:val="es-ES_tradnl"/>
        </w:rPr>
        <w:t>Figur</w:t>
      </w:r>
      <w:r w:rsidR="00872CD1">
        <w:rPr>
          <w:lang w:val="es-ES_tradnl"/>
        </w:rPr>
        <w:t>a</w:t>
      </w:r>
      <w:r w:rsidRPr="00F9694B">
        <w:rPr>
          <w:lang w:val="es-ES_tradnl"/>
        </w:rPr>
        <w:t xml:space="preserve"> 2:</w:t>
      </w:r>
      <w:bookmarkEnd w:id="52"/>
      <w:r>
        <w:rPr>
          <w:lang w:val="es-ES_tradnl"/>
        </w:rPr>
        <w:tab/>
      </w:r>
      <w:r w:rsidRPr="00F9694B">
        <w:rPr>
          <w:lang w:val="es-ES_tradnl"/>
        </w:rPr>
        <w:t>Sistema de Monitoreo Continuo - “Control popular de las RNI”</w:t>
      </w:r>
    </w:p>
    <w:p w:rsidR="00F9694B" w:rsidRDefault="00F9694B" w:rsidP="00F9694B">
      <w:pPr>
        <w:pStyle w:val="Figure"/>
        <w:spacing w:before="120" w:after="0"/>
      </w:pPr>
      <w:r w:rsidRPr="007E78E4">
        <w:rPr>
          <w:noProof/>
          <w:lang w:val="en-US" w:eastAsia="zh-CN"/>
        </w:rPr>
        <w:drawing>
          <wp:inline distT="0" distB="0" distL="0" distR="0" wp14:anchorId="28064231" wp14:editId="13260F9F">
            <wp:extent cx="2990850" cy="2533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3636" cy="2536010"/>
                    </a:xfrm>
                    <a:prstGeom prst="rect">
                      <a:avLst/>
                    </a:prstGeom>
                    <a:noFill/>
                  </pic:spPr>
                </pic:pic>
              </a:graphicData>
            </a:graphic>
          </wp:inline>
        </w:drawing>
      </w:r>
    </w:p>
    <w:p w:rsidR="00F9694B" w:rsidRDefault="00F9694B" w:rsidP="00F9694B">
      <w:pPr>
        <w:pStyle w:val="figuresource"/>
        <w:spacing w:before="0"/>
      </w:pPr>
    </w:p>
    <w:p w:rsidR="00181C1A" w:rsidRPr="00872CD1" w:rsidRDefault="00181C1A" w:rsidP="00872CD1">
      <w:pPr>
        <w:rPr>
          <w:lang w:val="es-ES_tradnl"/>
        </w:rPr>
      </w:pPr>
      <w:r w:rsidRPr="00872CD1">
        <w:rPr>
          <w:lang w:val="es-ES_tradnl"/>
        </w:rPr>
        <w:t>6.19</w:t>
      </w:r>
      <w:r w:rsidRPr="00872CD1">
        <w:rPr>
          <w:lang w:val="es-ES_tradnl"/>
        </w:rPr>
        <w:tab/>
        <w:t>A fin de tranquilizar a los diversos barrios o vecindarios en los que existía un gran conflicto debido al miedo a las RNI, se puso en marcha un pequeño sistema de monitoreo continuo en calidad de proyecto piloto. Gracias a esta iniciativa, las personas pueden entrar en la página web de la SIGET y, al pulsar sobre el punto verde, acceden a las mediciones del monitor seleccionado y visualizan los resultados tal y como se muestra en la imagen inferior. Asimismo, el sistema de programación envía informes por correo electrónico con la periodicidad requerida a actores fundamentales, tales como el presidente de la junta de vecinos, el director de la escuela, los líderes vecinales y las asociaciones no gubernamentales involucradas en la cuestión, entre otros.</w:t>
      </w:r>
    </w:p>
    <w:p w:rsidR="00181C1A" w:rsidRDefault="00181C1A" w:rsidP="00872CD1">
      <w:pPr>
        <w:rPr>
          <w:lang w:val="es-ES_tradnl"/>
        </w:rPr>
      </w:pPr>
      <w:r w:rsidRPr="00872CD1">
        <w:rPr>
          <w:lang w:val="es-ES_tradnl"/>
        </w:rPr>
        <w:t>6.20</w:t>
      </w:r>
      <w:r w:rsidRPr="00872CD1">
        <w:rPr>
          <w:lang w:val="es-ES_tradnl"/>
        </w:rPr>
        <w:tab/>
        <w:t>En el momento en que se elaboró el presente Informe, la SIGET aún no había publicado la información de manera oficial, razón por la cual no se indica el link correspondiente.</w:t>
      </w:r>
    </w:p>
    <w:p w:rsidR="00AE42D9" w:rsidRDefault="00AE42D9" w:rsidP="00872CD1">
      <w:pPr>
        <w:rPr>
          <w:lang w:val="es-ES_tradnl"/>
        </w:rPr>
      </w:pPr>
    </w:p>
    <w:p w:rsidR="00AE42D9" w:rsidRPr="00AE42D9" w:rsidRDefault="00AE42D9" w:rsidP="00AE42D9">
      <w:pPr>
        <w:pStyle w:val="Figuretitle"/>
        <w:ind w:left="851" w:hanging="851"/>
        <w:rPr>
          <w:lang w:val="es-ES_tradnl"/>
        </w:rPr>
      </w:pPr>
      <w:bookmarkStart w:id="53" w:name="_Toc375239131"/>
      <w:r w:rsidRPr="00AE42D9">
        <w:rPr>
          <w:lang w:val="es-ES_tradnl"/>
        </w:rPr>
        <w:lastRenderedPageBreak/>
        <w:t>Figur</w:t>
      </w:r>
      <w:r>
        <w:rPr>
          <w:lang w:val="es-ES_tradnl"/>
        </w:rPr>
        <w:t>a</w:t>
      </w:r>
      <w:r w:rsidRPr="00AE42D9">
        <w:rPr>
          <w:lang w:val="es-ES_tradnl"/>
        </w:rPr>
        <w:t xml:space="preserve"> 3:</w:t>
      </w:r>
      <w:bookmarkEnd w:id="53"/>
      <w:r>
        <w:rPr>
          <w:lang w:val="es-ES_tradnl"/>
        </w:rPr>
        <w:tab/>
      </w:r>
      <w:r w:rsidRPr="00AE42D9">
        <w:rPr>
          <w:lang w:val="es-ES_tradnl"/>
        </w:rPr>
        <w:t>Sistema de Monitoreo Continuo de El Salvador, Proyecto conjunto con la UIT</w:t>
      </w:r>
    </w:p>
    <w:p w:rsidR="00AE42D9" w:rsidRDefault="00AE42D9" w:rsidP="00AE42D9">
      <w:pPr>
        <w:pStyle w:val="Figure"/>
        <w:spacing w:before="120" w:after="0"/>
      </w:pPr>
      <w:r w:rsidRPr="007E78E4">
        <w:rPr>
          <w:noProof/>
          <w:lang w:val="en-US" w:eastAsia="zh-CN"/>
        </w:rPr>
        <w:drawing>
          <wp:inline distT="0" distB="0" distL="0" distR="0" wp14:anchorId="3631F49E" wp14:editId="35823188">
            <wp:extent cx="3609975" cy="2895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9414" cy="2895150"/>
                    </a:xfrm>
                    <a:prstGeom prst="rect">
                      <a:avLst/>
                    </a:prstGeom>
                    <a:noFill/>
                  </pic:spPr>
                </pic:pic>
              </a:graphicData>
            </a:graphic>
          </wp:inline>
        </w:drawing>
      </w:r>
    </w:p>
    <w:p w:rsidR="00AE42D9" w:rsidRDefault="00AE42D9" w:rsidP="00AE42D9">
      <w:pPr>
        <w:pStyle w:val="figuresource"/>
        <w:spacing w:before="0"/>
      </w:pPr>
    </w:p>
    <w:p w:rsidR="00181C1A" w:rsidRPr="00AE42D9" w:rsidRDefault="00181C1A" w:rsidP="00AE42D9">
      <w:pPr>
        <w:rPr>
          <w:lang w:val="es-ES_tradnl"/>
        </w:rPr>
      </w:pPr>
      <w:r w:rsidRPr="00AE42D9">
        <w:rPr>
          <w:lang w:val="es-ES_tradnl"/>
        </w:rPr>
        <w:t>6.21</w:t>
      </w:r>
      <w:r w:rsidRPr="00AE42D9">
        <w:rPr>
          <w:lang w:val="es-ES_tradnl"/>
        </w:rPr>
        <w:tab/>
        <w:t>En el caso salvadoreño, se utilizó una sonda de banda ancha y otra de banda estrecha que incluían las bandas en las que operan las empresas celulares de dicho país</w:t>
      </w:r>
    </w:p>
    <w:p w:rsidR="00181C1A" w:rsidRPr="00AF23DD" w:rsidRDefault="00181C1A" w:rsidP="00AF23DD">
      <w:pPr>
        <w:rPr>
          <w:lang w:val="es-ES_tradnl"/>
        </w:rPr>
      </w:pPr>
      <w:r w:rsidRPr="00AF23DD">
        <w:rPr>
          <w:lang w:val="es-ES_tradnl"/>
        </w:rPr>
        <w:t>6.22</w:t>
      </w:r>
      <w:r w:rsidRPr="00AF23DD">
        <w:rPr>
          <w:lang w:val="es-ES_tradnl"/>
        </w:rPr>
        <w:tab/>
        <w:t>Sistemas de Monitoreo Continuo en la Región de las Américas</w:t>
      </w:r>
    </w:p>
    <w:p w:rsidR="00181C1A" w:rsidRPr="00D15FE4" w:rsidRDefault="00181C1A" w:rsidP="00AF23DD">
      <w:pPr>
        <w:rPr>
          <w:lang w:val="es-ES_tradnl"/>
        </w:rPr>
      </w:pPr>
      <w:r w:rsidRPr="00AF23DD">
        <w:rPr>
          <w:lang w:val="es-ES_tradnl"/>
        </w:rPr>
        <w:t>Además de este Proyecto, varios países de la Región de las Américas están desarrollando sus propios sistemas de monitoreo continuo de conformidad con la Recomendación UIT-T K.83.</w:t>
      </w:r>
    </w:p>
    <w:p w:rsidR="00181C1A" w:rsidRPr="00D15FE4" w:rsidRDefault="00181C1A" w:rsidP="00DC2326">
      <w:pPr>
        <w:rPr>
          <w:lang w:val="es-ES_tradnl"/>
        </w:rPr>
      </w:pPr>
      <w:r w:rsidRPr="00D15FE4">
        <w:rPr>
          <w:lang w:val="es-ES_tradnl"/>
        </w:rPr>
        <w:t>Argentina:</w:t>
      </w:r>
      <w:r w:rsidRPr="00D15FE4">
        <w:rPr>
          <w:lang w:val="es-ES_tradnl"/>
        </w:rPr>
        <w:tab/>
        <w:t>En fase de expansión</w:t>
      </w:r>
    </w:p>
    <w:p w:rsidR="00181C1A" w:rsidRPr="00D15FE4" w:rsidRDefault="00181C1A" w:rsidP="00DC2326">
      <w:pPr>
        <w:rPr>
          <w:lang w:val="es-ES_tradnl"/>
        </w:rPr>
      </w:pPr>
      <w:r w:rsidRPr="00D15FE4">
        <w:rPr>
          <w:lang w:val="es-ES_tradnl"/>
        </w:rPr>
        <w:t>Colombia:</w:t>
      </w:r>
      <w:r w:rsidRPr="00DC2326">
        <w:rPr>
          <w:lang w:val="es-ES_tradnl"/>
        </w:rPr>
        <w:tab/>
        <w:t>Recientemente instalado (no publicado aún)</w:t>
      </w:r>
    </w:p>
    <w:p w:rsidR="00181C1A" w:rsidRPr="00D15FE4" w:rsidRDefault="00181C1A" w:rsidP="00DC2326">
      <w:pPr>
        <w:rPr>
          <w:lang w:val="es-ES_tradnl"/>
        </w:rPr>
      </w:pPr>
      <w:r w:rsidRPr="00D15FE4">
        <w:rPr>
          <w:lang w:val="es-ES_tradnl"/>
        </w:rPr>
        <w:t>Ecuador:</w:t>
      </w:r>
      <w:r w:rsidRPr="00D15FE4">
        <w:rPr>
          <w:lang w:val="es-ES_tradnl"/>
        </w:rPr>
        <w:tab/>
      </w:r>
      <w:r w:rsidRPr="00DC2326">
        <w:rPr>
          <w:lang w:val="es-ES_tradnl"/>
        </w:rPr>
        <w:t>Recientemente instalado (no publicado aún)</w:t>
      </w:r>
    </w:p>
    <w:p w:rsidR="00181C1A" w:rsidRPr="00D15FE4" w:rsidRDefault="00181C1A" w:rsidP="00DC2326">
      <w:pPr>
        <w:rPr>
          <w:lang w:val="es-ES_tradnl"/>
        </w:rPr>
      </w:pPr>
      <w:r w:rsidRPr="00D15FE4">
        <w:rPr>
          <w:lang w:val="es-ES_tradnl"/>
        </w:rPr>
        <w:t>Brasil:</w:t>
      </w:r>
      <w:r w:rsidRPr="00D15FE4">
        <w:rPr>
          <w:lang w:val="es-ES_tradnl"/>
        </w:rPr>
        <w:tab/>
      </w:r>
      <w:r w:rsidRPr="00DC2326">
        <w:rPr>
          <w:lang w:val="es-ES_tradnl"/>
        </w:rPr>
        <w:t>Recientemente adquirido, no instalado aún</w:t>
      </w:r>
    </w:p>
    <w:p w:rsidR="00181C1A" w:rsidRPr="00D15FE4" w:rsidRDefault="00181C1A" w:rsidP="00DC2326">
      <w:pPr>
        <w:rPr>
          <w:lang w:val="es-ES_tradnl"/>
        </w:rPr>
      </w:pPr>
      <w:r w:rsidRPr="00D15FE4">
        <w:rPr>
          <w:lang w:val="es-ES_tradnl"/>
        </w:rPr>
        <w:t xml:space="preserve">Para recibir más información sobre este proyecto, sírvase consultar a Héctor Mario Carril </w:t>
      </w:r>
      <w:r w:rsidRPr="00DC2326">
        <w:rPr>
          <w:szCs w:val="21"/>
          <w:lang w:val="es-ES_tradnl"/>
        </w:rPr>
        <w:t>(</w:t>
      </w:r>
      <w:hyperlink r:id="rId23" w:history="1">
        <w:r w:rsidRPr="00DC2326">
          <w:rPr>
            <w:rStyle w:val="Hyperlink"/>
            <w:rFonts w:eastAsiaTheme="minorHAnsi" w:cstheme="minorBidi"/>
            <w:szCs w:val="21"/>
            <w:lang w:val="es-ES_tradnl"/>
          </w:rPr>
          <w:t>hectormario.carril@ties.itu.int</w:t>
        </w:r>
      </w:hyperlink>
      <w:r w:rsidRPr="00DC2326">
        <w:rPr>
          <w:bCs/>
          <w:szCs w:val="21"/>
          <w:lang w:val="es-ES_tradnl"/>
        </w:rPr>
        <w:t>)</w:t>
      </w:r>
      <w:r w:rsidRPr="00DC2326">
        <w:rPr>
          <w:szCs w:val="21"/>
          <w:lang w:val="es-ES_tradnl"/>
        </w:rPr>
        <w:t xml:space="preserve"> o a Miguel Alcaine (</w:t>
      </w:r>
      <w:hyperlink r:id="rId24" w:history="1">
        <w:r w:rsidRPr="00DC2326">
          <w:rPr>
            <w:rStyle w:val="Hyperlink"/>
            <w:rFonts w:eastAsiaTheme="minorHAnsi" w:cstheme="minorBidi"/>
            <w:szCs w:val="21"/>
            <w:lang w:val="es-ES_tradnl"/>
          </w:rPr>
          <w:t>miguel.alcaine@itu.int</w:t>
        </w:r>
      </w:hyperlink>
      <w:r w:rsidRPr="00DC2326">
        <w:rPr>
          <w:bCs/>
          <w:szCs w:val="21"/>
          <w:lang w:val="es-ES_tradnl"/>
        </w:rPr>
        <w:t>),</w:t>
      </w:r>
      <w:r w:rsidRPr="00DC2326">
        <w:rPr>
          <w:szCs w:val="21"/>
          <w:lang w:val="es-ES_tradnl"/>
        </w:rPr>
        <w:t xml:space="preserve"> de la Oficina Regional de la UIT en</w:t>
      </w:r>
      <w:r w:rsidRPr="00D15FE4">
        <w:rPr>
          <w:lang w:val="es-ES_tradnl"/>
        </w:rPr>
        <w:t xml:space="preserve"> Honduras. </w:t>
      </w:r>
    </w:p>
    <w:p w:rsidR="00181C1A" w:rsidRPr="00C84BA8" w:rsidRDefault="00283C78" w:rsidP="00283C78">
      <w:pPr>
        <w:pStyle w:val="Heading1"/>
        <w:rPr>
          <w:lang w:val="es-ES_tradnl"/>
        </w:rPr>
      </w:pPr>
      <w:bookmarkStart w:id="54" w:name="_Toc370825012"/>
      <w:bookmarkStart w:id="55" w:name="_Toc377560463"/>
      <w:r w:rsidRPr="00C84BA8">
        <w:rPr>
          <w:lang w:val="es-ES_tradnl"/>
        </w:rPr>
        <w:t>7</w:t>
      </w:r>
      <w:r w:rsidR="00181C1A" w:rsidRPr="00C84BA8">
        <w:rPr>
          <w:lang w:val="es-ES_tradnl"/>
        </w:rPr>
        <w:tab/>
      </w:r>
      <w:bookmarkEnd w:id="44"/>
      <w:r w:rsidR="00181C1A" w:rsidRPr="00C84BA8">
        <w:rPr>
          <w:lang w:val="es-ES_tradnl"/>
        </w:rPr>
        <w:t>Orientación a los Estados Miembros</w:t>
      </w:r>
      <w:bookmarkEnd w:id="54"/>
      <w:bookmarkEnd w:id="55"/>
    </w:p>
    <w:p w:rsidR="00181C1A" w:rsidRPr="00D15FE4" w:rsidRDefault="00181C1A" w:rsidP="00283C78">
      <w:pPr>
        <w:rPr>
          <w:lang w:val="es-ES_tradnl"/>
        </w:rPr>
      </w:pPr>
      <w:r w:rsidRPr="00283C78">
        <w:rPr>
          <w:bCs/>
          <w:lang w:val="es-ES_tradnl"/>
        </w:rPr>
        <w:t>7.1</w:t>
      </w:r>
      <w:r w:rsidRPr="00283C78">
        <w:rPr>
          <w:bCs/>
          <w:lang w:val="es-ES_tradnl"/>
        </w:rPr>
        <w:tab/>
        <w:t>Se recomienda a los Estados Miembros adoptar las Directrices sobre CEM estipuladas por la ICNIRP</w:t>
      </w:r>
      <w:r w:rsidRPr="00D15FE4">
        <w:rPr>
          <w:lang w:val="es-ES_tradnl"/>
        </w:rPr>
        <w:t xml:space="preserve"> (y respaldadas por la OMS</w:t>
      </w:r>
      <w:r w:rsidRPr="00C7152A">
        <w:rPr>
          <w:rStyle w:val="FootnoteReference"/>
          <w:rFonts w:cs="VendettaLight"/>
          <w:sz w:val="19"/>
          <w:szCs w:val="19"/>
          <w:lang w:val="es-ES_tradnl"/>
        </w:rPr>
        <w:footnoteReference w:id="13"/>
      </w:r>
      <w:r w:rsidRPr="00D15FE4">
        <w:rPr>
          <w:lang w:val="es-ES_tradnl"/>
        </w:rPr>
        <w:t xml:space="preserve"> y la UIT</w:t>
      </w:r>
      <w:r w:rsidRPr="00C7152A">
        <w:rPr>
          <w:rStyle w:val="FootnoteReference"/>
          <w:rFonts w:cs="VendettaLight"/>
          <w:sz w:val="19"/>
          <w:szCs w:val="19"/>
          <w:lang w:val="es-ES_tradnl"/>
        </w:rPr>
        <w:footnoteReference w:id="14"/>
      </w:r>
      <w:r w:rsidRPr="00D15FE4">
        <w:rPr>
          <w:lang w:val="es-ES_tradnl"/>
        </w:rPr>
        <w:t xml:space="preserve">), en lugar de fijar sus propios umbrales. La OMS, a través del Proyecto Internacional CEM, ha establecido un marco para el desarrollo de nomas sanitarias para los CEM, a las que se puede recurrir en caso de que las normas nacionales difieran de las recomendaciones </w:t>
      </w:r>
      <w:r w:rsidRPr="00D15FE4">
        <w:rPr>
          <w:lang w:val="es-ES_tradnl"/>
        </w:rPr>
        <w:lastRenderedPageBreak/>
        <w:t>internacionales</w:t>
      </w:r>
      <w:r w:rsidRPr="00D15FE4">
        <w:rPr>
          <w:rStyle w:val="FootnoteReference"/>
          <w:rFonts w:cs="VendettaLight"/>
          <w:sz w:val="19"/>
          <w:szCs w:val="19"/>
          <w:lang w:val="es-ES_tradnl"/>
        </w:rPr>
        <w:footnoteReference w:id="15"/>
      </w:r>
      <w:r w:rsidRPr="00D15FE4">
        <w:rPr>
          <w:lang w:val="es-ES_tradnl"/>
        </w:rPr>
        <w:t xml:space="preserve">. La </w:t>
      </w:r>
      <w:r w:rsidRPr="00C7152A">
        <w:rPr>
          <w:lang w:val="es-ES_tradnl"/>
        </w:rPr>
        <w:t>OMS</w:t>
      </w:r>
      <w:r w:rsidRPr="00D15FE4">
        <w:rPr>
          <w:lang w:val="es-ES_tradnl"/>
        </w:rPr>
        <w:t xml:space="preserve"> reconoce que los países pueden decidir adoptar otras políticas de gestión de riesgos para la exposición a las RF.</w:t>
      </w:r>
    </w:p>
    <w:p w:rsidR="00181C1A" w:rsidRPr="00CB2FFE" w:rsidRDefault="00181C1A" w:rsidP="00CB2FFE">
      <w:pPr>
        <w:rPr>
          <w:bCs/>
          <w:lang w:val="es-ES_tradnl"/>
        </w:rPr>
      </w:pPr>
      <w:r w:rsidRPr="00CB2FFE">
        <w:rPr>
          <w:bCs/>
          <w:lang w:val="es-ES_tradnl"/>
        </w:rPr>
        <w:t>7.2</w:t>
      </w:r>
      <w:r w:rsidRPr="00CB2FFE">
        <w:rPr>
          <w:bCs/>
          <w:lang w:val="es-ES_tradnl"/>
        </w:rPr>
        <w:tab/>
        <w:t>A nivel nacional, la normativa destinada a limitar la exposición de las personas a los CEM puede clasificarse como un instrumento de carácter voluntario u obligatorio.</w:t>
      </w:r>
    </w:p>
    <w:p w:rsidR="00181C1A" w:rsidRPr="00CB2FFE" w:rsidRDefault="00181C1A" w:rsidP="00CB2FFE">
      <w:pPr>
        <w:rPr>
          <w:bCs/>
          <w:lang w:val="es-ES_tradnl"/>
        </w:rPr>
      </w:pPr>
      <w:r w:rsidRPr="00CB2FFE">
        <w:rPr>
          <w:bCs/>
          <w:lang w:val="es-ES_tradnl"/>
        </w:rPr>
        <w:t>7.2.1</w:t>
      </w:r>
      <w:r w:rsidRPr="00CB2FFE">
        <w:rPr>
          <w:bCs/>
          <w:lang w:val="es-ES_tradnl"/>
        </w:rPr>
        <w:tab/>
        <w:t xml:space="preserve"> Entre los instrumentos voluntarios, figuran las directrices, instrucciones y recomendaciones que no están establecidas por ley y que, por lo general, carecen de valor jurídico (por ejemplo, las directrices internacionales desarrolladas por la ICNIRP, el IEEE y otros). Estas proporcionan orientación a los organismos nacionales y solo adquieren un carácter jurídicamente vinculante cuando el país las transpone a su propia legislación.</w:t>
      </w:r>
    </w:p>
    <w:p w:rsidR="00181C1A" w:rsidRPr="00CB2FFE" w:rsidRDefault="00181C1A" w:rsidP="00CB2FFE">
      <w:pPr>
        <w:rPr>
          <w:bCs/>
          <w:lang w:val="es-ES_tradnl"/>
        </w:rPr>
      </w:pPr>
      <w:r w:rsidRPr="00CB2FFE">
        <w:rPr>
          <w:bCs/>
          <w:lang w:val="es-ES_tradnl"/>
        </w:rPr>
        <w:t>7.2.2</w:t>
      </w:r>
      <w:r w:rsidRPr="00CB2FFE">
        <w:rPr>
          <w:bCs/>
          <w:lang w:val="es-ES_tradnl"/>
        </w:rPr>
        <w:tab/>
        <w:t xml:space="preserve"> Los instrumentos de obligatorio cumplimiento o jurídicamente vinculantes incluyen leyes, actos, reglamentos, ordenanzas, resoluciones y decretos, y requieren un marco legislativo.</w:t>
      </w:r>
    </w:p>
    <w:p w:rsidR="00181C1A" w:rsidRPr="00CB2FFE" w:rsidRDefault="00181C1A" w:rsidP="00CB2FFE">
      <w:pPr>
        <w:rPr>
          <w:bCs/>
          <w:lang w:val="es-ES_tradnl"/>
        </w:rPr>
      </w:pPr>
      <w:r w:rsidRPr="00CB2FFE">
        <w:rPr>
          <w:bCs/>
          <w:lang w:val="es-ES_tradnl"/>
        </w:rPr>
        <w:t>7.2.3</w:t>
      </w:r>
      <w:r w:rsidRPr="00CB2FFE">
        <w:rPr>
          <w:bCs/>
          <w:lang w:val="es-ES_tradnl"/>
        </w:rPr>
        <w:tab/>
        <w:t xml:space="preserve"> En el Proyecto Internacional CEM de la OMS, se estima que sería más útil promover las normas internacionales vigentes en un modelo legislativo que permita a las autoridades nacionales que lo deseen transponerlas a sus legislaciones. Además, la legislación modelo de la OMS</w:t>
      </w:r>
      <w:r w:rsidRPr="00CB2FFE">
        <w:rPr>
          <w:bCs/>
          <w:vertAlign w:val="superscript"/>
          <w:lang w:val="en-GB" w:eastAsia="en-US"/>
        </w:rPr>
        <w:footnoteReference w:id="16"/>
      </w:r>
      <w:r w:rsidRPr="00CB2FFE">
        <w:rPr>
          <w:bCs/>
          <w:lang w:val="es-ES_tradnl"/>
        </w:rPr>
        <w:t xml:space="preserve"> permitiría que los Estados que quisieran desarrollar sus propias normas nacionales pudieran hacerlo dentro de ese marco.</w:t>
      </w:r>
    </w:p>
    <w:p w:rsidR="00181C1A" w:rsidRPr="00CB2FFE" w:rsidRDefault="00181C1A" w:rsidP="00CB2FFE">
      <w:pPr>
        <w:rPr>
          <w:rFonts w:cs="VendettaMediumItalic"/>
          <w:bCs/>
          <w:iCs/>
          <w:lang w:val="es-ES_tradnl"/>
        </w:rPr>
      </w:pPr>
      <w:r w:rsidRPr="00CB2FFE">
        <w:rPr>
          <w:rFonts w:cs="VendettaMediumItalic"/>
          <w:bCs/>
          <w:iCs/>
          <w:lang w:val="es-ES_tradnl"/>
        </w:rPr>
        <w:t>7.3</w:t>
      </w:r>
      <w:r w:rsidRPr="00CB2FFE">
        <w:rPr>
          <w:rFonts w:cs="VendettaMediumItalic"/>
          <w:bCs/>
          <w:iCs/>
          <w:lang w:val="es-ES_tradnl"/>
        </w:rPr>
        <w:tab/>
        <w:t>Las normas de medición que describen cómo se podría garantizar el cumplimiento de la normativa sobre exposición o emisión, basadas en normas de la CEI, el IEEE/CIEM y el CENELEC, aunque los países son libres de actualizarlas con arreglo a sus normas nacionales. Éstas pueden proporcionar cierta orientación a la hora de medir la exposición a los CEM generados por una instalación o un producto (por ejemplo, la medición fantasma de los valores de SAR en teléfonos móviles).</w:t>
      </w:r>
    </w:p>
    <w:p w:rsidR="00181C1A" w:rsidRPr="00CB2FFE" w:rsidRDefault="00181C1A" w:rsidP="00CB2FFE">
      <w:pPr>
        <w:rPr>
          <w:rFonts w:cs="VendettaMediumItalic"/>
          <w:bCs/>
          <w:iCs/>
          <w:lang w:val="es-ES_tradnl"/>
        </w:rPr>
      </w:pPr>
      <w:r w:rsidRPr="00CB2FFE">
        <w:rPr>
          <w:rFonts w:cs="VendettaMediumItalic"/>
          <w:bCs/>
          <w:iCs/>
          <w:lang w:val="es-ES_tradnl"/>
        </w:rPr>
        <w:t>7.3.1</w:t>
      </w:r>
      <w:r w:rsidRPr="00CB2FFE">
        <w:rPr>
          <w:rFonts w:cs="VendettaMediumItalic"/>
          <w:bCs/>
          <w:iCs/>
          <w:lang w:val="es-ES_tradnl"/>
        </w:rPr>
        <w:tab/>
        <w:t xml:space="preserve">De acuerdo con </w:t>
      </w:r>
      <w:r w:rsidRPr="00CB2FFE">
        <w:rPr>
          <w:rFonts w:cs="Consolas"/>
          <w:bCs/>
          <w:lang w:val="es-ES_tradnl"/>
        </w:rPr>
        <w:t>el Capítulo 5.6 del Manual de Gestión del Espectro de la UIT</w:t>
      </w:r>
      <w:r w:rsidRPr="00CB2FFE">
        <w:rPr>
          <w:rFonts w:cs="VendettaMediumItalic"/>
          <w:bCs/>
          <w:iCs/>
          <w:lang w:val="es-ES_tradnl"/>
        </w:rPr>
        <w:t xml:space="preserve">, la autoridad competente en materia de gestión del espectro será la encargada de aplicar los reglamentos sobre niveles máximos de NIR procedentes de dispositivos de telecomunicación, </w:t>
      </w:r>
      <w:r w:rsidRPr="00CB2FFE">
        <w:rPr>
          <w:rFonts w:cs="Consolas"/>
          <w:bCs/>
          <w:lang w:val="es-ES_tradnl"/>
        </w:rPr>
        <w:t>aprovechando sus conocimientos técnicos especializados en dicho campo</w:t>
      </w:r>
      <w:r w:rsidRPr="00CB2FFE">
        <w:rPr>
          <w:rFonts w:cs="VendettaMediumItalic"/>
          <w:bCs/>
          <w:iCs/>
          <w:lang w:val="es-ES_tradnl"/>
        </w:rPr>
        <w:t xml:space="preserve">. Las </w:t>
      </w:r>
      <w:r w:rsidRPr="00CB2FFE">
        <w:rPr>
          <w:rFonts w:eastAsia="Times New Roman"/>
          <w:bCs/>
          <w:lang w:val="es-ES_tradnl"/>
        </w:rPr>
        <w:t>contribuciones sobre las experiencias nacionales</w:t>
      </w:r>
      <w:r w:rsidRPr="00CB2FFE">
        <w:rPr>
          <w:rFonts w:cs="VendettaMediumItalic"/>
          <w:bCs/>
          <w:iCs/>
          <w:lang w:val="es-ES_tradnl"/>
        </w:rPr>
        <w:t xml:space="preserve"> que figuran en el presente Informe demuestran que, en la mayoría de los casos, la aplicación de las mismas es competencia de las autoridades encargadas de la concesión de licencias.</w:t>
      </w:r>
    </w:p>
    <w:p w:rsidR="00181C1A" w:rsidRPr="00CB2FFE" w:rsidRDefault="00181C1A" w:rsidP="00CB2FFE">
      <w:pPr>
        <w:rPr>
          <w:rFonts w:cs="Consolas"/>
          <w:bCs/>
          <w:lang w:val="es-ES_tradnl"/>
        </w:rPr>
      </w:pPr>
      <w:r w:rsidRPr="00CB2FFE">
        <w:rPr>
          <w:rFonts w:cs="Consolas"/>
          <w:bCs/>
          <w:lang w:val="es-ES_tradnl"/>
        </w:rPr>
        <w:t>7.3.2</w:t>
      </w:r>
      <w:r w:rsidRPr="00CB2FFE">
        <w:rPr>
          <w:rFonts w:cs="Consolas"/>
          <w:bCs/>
          <w:lang w:val="es-ES_tradnl"/>
        </w:rPr>
        <w:tab/>
        <w:t xml:space="preserve"> Asimismo, el Manual recomienda efectuar las mediciones de las radiaciones no ionizantes (NIR) del siguiente modo:</w:t>
      </w:r>
    </w:p>
    <w:p w:rsidR="00181C1A" w:rsidRPr="00CB2FFE" w:rsidRDefault="00181C1A" w:rsidP="00FD027D">
      <w:pPr>
        <w:pStyle w:val="Enumlevel1"/>
        <w:numPr>
          <w:ilvl w:val="0"/>
          <w:numId w:val="13"/>
        </w:numPr>
        <w:ind w:left="567" w:hanging="567"/>
        <w:rPr>
          <w:lang w:val="es-ES_tradnl"/>
        </w:rPr>
      </w:pPr>
      <w:r w:rsidRPr="00CB2FFE">
        <w:rPr>
          <w:lang w:val="es-ES_tradnl"/>
        </w:rPr>
        <w:t>asociándolas a la expedición de una licencia de radiocomunicaciones;</w:t>
      </w:r>
    </w:p>
    <w:p w:rsidR="00181C1A" w:rsidRPr="00CB2FFE" w:rsidRDefault="00181C1A" w:rsidP="00FD027D">
      <w:pPr>
        <w:pStyle w:val="Enumlevel1"/>
        <w:numPr>
          <w:ilvl w:val="0"/>
          <w:numId w:val="13"/>
        </w:numPr>
        <w:ind w:left="567" w:hanging="567"/>
        <w:rPr>
          <w:lang w:val="es-ES_tradnl"/>
        </w:rPr>
      </w:pPr>
      <w:r w:rsidRPr="00CB2FFE">
        <w:rPr>
          <w:lang w:val="es-ES_tradnl"/>
        </w:rPr>
        <w:t>periódicamente, con arreglo a un plan de control y comprobación técnica de las NIR; o</w:t>
      </w:r>
    </w:p>
    <w:p w:rsidR="00181C1A" w:rsidRPr="00CB2FFE" w:rsidRDefault="00181C1A" w:rsidP="00FD027D">
      <w:pPr>
        <w:pStyle w:val="Enumlevel1"/>
        <w:numPr>
          <w:ilvl w:val="0"/>
          <w:numId w:val="13"/>
        </w:numPr>
        <w:ind w:left="567" w:hanging="567"/>
        <w:rPr>
          <w:lang w:val="es-ES_tradnl"/>
        </w:rPr>
      </w:pPr>
      <w:r w:rsidRPr="00CB2FFE">
        <w:rPr>
          <w:lang w:val="es-ES_tradnl"/>
        </w:rPr>
        <w:t>por razones de interés social, es decir, porque exista una reclamación pública u oficial</w:t>
      </w:r>
      <w:r w:rsidRPr="00CB2FFE">
        <w:rPr>
          <w:lang w:val="es-ES_tradnl"/>
        </w:rPr>
        <w:footnoteReference w:id="17"/>
      </w:r>
      <w:r w:rsidRPr="00CB2FFE">
        <w:rPr>
          <w:lang w:val="es-ES_tradnl"/>
        </w:rPr>
        <w:t>.</w:t>
      </w:r>
    </w:p>
    <w:p w:rsidR="00181C1A" w:rsidRPr="00C84BA8" w:rsidRDefault="00181C1A" w:rsidP="002D5135">
      <w:pPr>
        <w:rPr>
          <w:bCs/>
          <w:lang w:val="es-ES_tradnl" w:eastAsia="en-US"/>
        </w:rPr>
      </w:pPr>
      <w:r w:rsidRPr="00C84BA8">
        <w:rPr>
          <w:bCs/>
          <w:lang w:val="es-ES_tradnl" w:eastAsia="en-US"/>
        </w:rPr>
        <w:t>7.4</w:t>
      </w:r>
      <w:r w:rsidRPr="00C84BA8">
        <w:rPr>
          <w:bCs/>
          <w:lang w:val="es-ES_tradnl" w:eastAsia="en-US"/>
        </w:rPr>
        <w:tab/>
        <w:t>Los emisores sujetos a mediciones serán:</w:t>
      </w:r>
    </w:p>
    <w:p w:rsidR="00181C1A" w:rsidRPr="00D15FE4" w:rsidRDefault="00181C1A" w:rsidP="00FD027D">
      <w:pPr>
        <w:pStyle w:val="Enumlevel1"/>
        <w:numPr>
          <w:ilvl w:val="0"/>
          <w:numId w:val="13"/>
        </w:numPr>
        <w:ind w:left="567" w:hanging="567"/>
        <w:rPr>
          <w:lang w:val="es-ES_tradnl"/>
        </w:rPr>
      </w:pPr>
      <w:r w:rsidRPr="00CB2FFE">
        <w:rPr>
          <w:lang w:val="es-ES_tradnl"/>
        </w:rPr>
        <w:t>las estaciones de base celulares y de radiodifusión</w:t>
      </w:r>
      <w:r w:rsidRPr="00D15FE4">
        <w:rPr>
          <w:lang w:val="es-ES_tradnl"/>
        </w:rPr>
        <w:t>;</w:t>
      </w:r>
    </w:p>
    <w:p w:rsidR="00181C1A" w:rsidRPr="00D15FE4" w:rsidRDefault="00181C1A" w:rsidP="00FD027D">
      <w:pPr>
        <w:pStyle w:val="Enumlevel1"/>
        <w:numPr>
          <w:ilvl w:val="0"/>
          <w:numId w:val="13"/>
        </w:numPr>
        <w:ind w:left="567" w:hanging="567"/>
        <w:rPr>
          <w:lang w:val="es-ES_tradnl"/>
        </w:rPr>
      </w:pPr>
      <w:r w:rsidRPr="00CB2FFE">
        <w:rPr>
          <w:lang w:val="es-ES_tradnl"/>
        </w:rPr>
        <w:t>las estaciones de radioaficionados</w:t>
      </w:r>
      <w:r w:rsidRPr="00D15FE4">
        <w:rPr>
          <w:lang w:val="es-ES_tradnl"/>
        </w:rPr>
        <w:t>; y</w:t>
      </w:r>
    </w:p>
    <w:p w:rsidR="00181C1A" w:rsidRPr="00CB2FFE" w:rsidRDefault="00181C1A" w:rsidP="00FD027D">
      <w:pPr>
        <w:pStyle w:val="Enumlevel1"/>
        <w:numPr>
          <w:ilvl w:val="0"/>
          <w:numId w:val="13"/>
        </w:numPr>
        <w:ind w:left="567" w:hanging="567"/>
        <w:rPr>
          <w:lang w:val="es-ES_tradnl"/>
        </w:rPr>
      </w:pPr>
      <w:r w:rsidRPr="00CB2FFE">
        <w:rPr>
          <w:lang w:val="es-ES_tradnl"/>
        </w:rPr>
        <w:t>los terminales de mano (en este caso, se verificarán únicamente las especificaciones técnicas, ya que la medición de estos dispositivos puede resultar muy costosa).</w:t>
      </w:r>
    </w:p>
    <w:p w:rsidR="00181C1A" w:rsidRPr="00C84BA8" w:rsidRDefault="00181C1A" w:rsidP="002D5135">
      <w:pPr>
        <w:keepNext/>
        <w:rPr>
          <w:bCs/>
          <w:lang w:val="es-ES_tradnl"/>
        </w:rPr>
      </w:pPr>
      <w:r w:rsidRPr="00C84BA8">
        <w:rPr>
          <w:lang w:val="es-ES_tradnl"/>
        </w:rPr>
        <w:lastRenderedPageBreak/>
        <w:t>7.5</w:t>
      </w:r>
      <w:r w:rsidRPr="00C84BA8">
        <w:rPr>
          <w:lang w:val="es-ES_tradnl"/>
        </w:rPr>
        <w:tab/>
        <w:t>Procedimiento</w:t>
      </w:r>
    </w:p>
    <w:p w:rsidR="00181C1A" w:rsidRPr="002D5135" w:rsidRDefault="00181C1A" w:rsidP="002D5135">
      <w:pPr>
        <w:rPr>
          <w:bCs/>
          <w:u w:val="single"/>
          <w:lang w:val="es-ES_tradnl"/>
        </w:rPr>
      </w:pPr>
      <w:r w:rsidRPr="002D5135">
        <w:rPr>
          <w:bCs/>
          <w:lang w:val="es-ES_tradnl"/>
        </w:rPr>
        <w:t>7.5.1</w:t>
      </w:r>
      <w:r w:rsidRPr="002D5135">
        <w:rPr>
          <w:bCs/>
          <w:lang w:val="es-ES_tradnl"/>
        </w:rPr>
        <w:tab/>
        <w:t>Deberían existir procedimientos que garantizaran el cumplimiento de las normas de carácter obligatorio. En lo que respecta a la normativa de exposición a los CEM, normalmente, se impone a un organismo (público o privado) el mandato de verificar la conformidad con las normas sobre exposición a los CEM mediante la realización de cálculos y mediciones en el lugar de trabajo y en otras zonas. En cuanto a los límites de exposición, el fabricante suele certificar la conformidad de los dispositivos (</w:t>
      </w:r>
      <w:r w:rsidRPr="002D5135">
        <w:rPr>
          <w:rFonts w:eastAsia="Times New Roman"/>
          <w:bCs/>
          <w:lang w:val="es-ES_tradnl"/>
        </w:rPr>
        <w:t>medición de la SAR)</w:t>
      </w:r>
      <w:r w:rsidRPr="002D5135">
        <w:rPr>
          <w:bCs/>
          <w:lang w:val="es-ES_tradnl"/>
        </w:rPr>
        <w:t>.</w:t>
      </w:r>
    </w:p>
    <w:p w:rsidR="00181C1A" w:rsidRPr="002D5135" w:rsidRDefault="00181C1A" w:rsidP="002D5135">
      <w:pPr>
        <w:rPr>
          <w:bCs/>
          <w:lang w:val="es-ES_tradnl"/>
        </w:rPr>
      </w:pPr>
      <w:r w:rsidRPr="002D5135">
        <w:rPr>
          <w:bCs/>
          <w:lang w:val="es-ES_tradnl"/>
        </w:rPr>
        <w:t>7.5.2</w:t>
      </w:r>
      <w:r w:rsidRPr="002D5135">
        <w:rPr>
          <w:bCs/>
          <w:lang w:val="es-ES_tradnl"/>
        </w:rPr>
        <w:tab/>
      </w:r>
      <w:r w:rsidRPr="002D5135">
        <w:rPr>
          <w:rFonts w:eastAsia="Times New Roman"/>
          <w:bCs/>
          <w:lang w:val="es-ES_tradnl"/>
        </w:rPr>
        <w:t xml:space="preserve">Las directrices para la evaluación de la exposición de las personas en situaciones reales están basadas actualmente en las normas CEI/CENELEC vigentes. </w:t>
      </w:r>
      <w:r w:rsidRPr="002D5135">
        <w:rPr>
          <w:rStyle w:val="hps"/>
          <w:rFonts w:eastAsia="Times New Roman"/>
          <w:bCs/>
          <w:lang w:val="es-ES_tradnl"/>
        </w:rPr>
        <w:t>Por tanto,</w:t>
      </w:r>
      <w:r w:rsidRPr="002D5135">
        <w:rPr>
          <w:rFonts w:eastAsia="Times New Roman"/>
          <w:bCs/>
          <w:lang w:val="es-ES_tradnl"/>
        </w:rPr>
        <w:t xml:space="preserve"> </w:t>
      </w:r>
      <w:r w:rsidRPr="002D5135">
        <w:rPr>
          <w:rStyle w:val="hps"/>
          <w:rFonts w:eastAsia="Times New Roman"/>
          <w:bCs/>
          <w:lang w:val="es-ES_tradnl"/>
        </w:rPr>
        <w:t>se aconseja a</w:t>
      </w:r>
      <w:r w:rsidRPr="002D5135">
        <w:rPr>
          <w:rFonts w:eastAsia="Times New Roman"/>
          <w:bCs/>
          <w:lang w:val="es-ES_tradnl"/>
        </w:rPr>
        <w:t xml:space="preserve"> </w:t>
      </w:r>
      <w:r w:rsidRPr="002D5135">
        <w:rPr>
          <w:rStyle w:val="hps"/>
          <w:rFonts w:eastAsia="Times New Roman"/>
          <w:bCs/>
          <w:lang w:val="es-ES_tradnl"/>
        </w:rPr>
        <w:t>los Estados Miembros</w:t>
      </w:r>
      <w:r w:rsidRPr="002D5135">
        <w:rPr>
          <w:rFonts w:eastAsia="Times New Roman"/>
          <w:bCs/>
          <w:lang w:val="es-ES_tradnl"/>
        </w:rPr>
        <w:t xml:space="preserve"> </w:t>
      </w:r>
      <w:r w:rsidRPr="002D5135">
        <w:rPr>
          <w:rStyle w:val="hps"/>
          <w:rFonts w:eastAsia="Times New Roman"/>
          <w:bCs/>
          <w:lang w:val="es-ES_tradnl"/>
        </w:rPr>
        <w:t>respetar dichas</w:t>
      </w:r>
      <w:r w:rsidRPr="002D5135">
        <w:rPr>
          <w:rFonts w:eastAsia="Times New Roman"/>
          <w:bCs/>
          <w:lang w:val="es-ES_tradnl"/>
        </w:rPr>
        <w:t xml:space="preserve"> </w:t>
      </w:r>
      <w:r w:rsidRPr="002D5135">
        <w:rPr>
          <w:rStyle w:val="hps"/>
          <w:rFonts w:eastAsia="Times New Roman"/>
          <w:bCs/>
          <w:lang w:val="es-ES_tradnl"/>
        </w:rPr>
        <w:t>normas</w:t>
      </w:r>
      <w:r w:rsidRPr="002D5135">
        <w:rPr>
          <w:rFonts w:eastAsia="Times New Roman"/>
          <w:bCs/>
          <w:lang w:val="es-ES_tradnl"/>
        </w:rPr>
        <w:t xml:space="preserve">. </w:t>
      </w:r>
      <w:r w:rsidRPr="002D5135">
        <w:rPr>
          <w:rStyle w:val="hps"/>
          <w:rFonts w:eastAsia="Times New Roman"/>
          <w:bCs/>
          <w:lang w:val="es-ES_tradnl"/>
        </w:rPr>
        <w:t xml:space="preserve">Asimismo, </w:t>
      </w:r>
      <w:r w:rsidRPr="002D5135">
        <w:rPr>
          <w:bCs/>
          <w:lang w:val="es-ES_tradnl"/>
        </w:rPr>
        <w:t>puede utilizarse como referencia la Recomendación (02)04 de la Comisión de Comunicaciones Electrónicas (ECC) de la Conferencia Europea de Administraciones de Correos y Telecomunicaciones (CEPT), revisada en 2003 en Bratislava y en 2007 en Helsinki, sobre medición de la radiación electromagnética no ionizante (9 kHz – 300 GHz).</w:t>
      </w:r>
    </w:p>
    <w:p w:rsidR="00181C1A" w:rsidRPr="002D5135" w:rsidRDefault="00181C1A" w:rsidP="002D5135">
      <w:pPr>
        <w:rPr>
          <w:rFonts w:cs="Consolas"/>
          <w:bCs/>
          <w:u w:val="single"/>
          <w:lang w:val="es-ES_tradnl"/>
        </w:rPr>
      </w:pPr>
      <w:r w:rsidRPr="002D5135">
        <w:rPr>
          <w:rFonts w:cs="Consolas"/>
          <w:bCs/>
          <w:lang w:val="es-ES_tradnl"/>
        </w:rPr>
        <w:t>7.5.3</w:t>
      </w:r>
      <w:r w:rsidRPr="002D5135">
        <w:rPr>
          <w:rFonts w:cs="Consolas"/>
          <w:bCs/>
          <w:lang w:val="es-ES_tradnl"/>
        </w:rPr>
        <w:tab/>
        <w:t>En el Capítulo 5.6 del Manual de Gestión del Espectro de la UIT también se esbozan los procedimientos de medición y se explica cómo se selecciona el emplazamiento, cómo se colocan los instrumentos, qué precauciones adoptar, qué equipos utilizar, las incertidumbres y el formato de los informes.</w:t>
      </w:r>
    </w:p>
    <w:p w:rsidR="00181C1A" w:rsidRPr="002D5135" w:rsidRDefault="00181C1A" w:rsidP="002D5135">
      <w:pPr>
        <w:rPr>
          <w:rFonts w:cs="Consolas"/>
          <w:bCs/>
          <w:lang w:val="es-ES_tradnl"/>
        </w:rPr>
      </w:pPr>
      <w:r w:rsidRPr="002D5135">
        <w:rPr>
          <w:rFonts w:cs="Consolas"/>
          <w:bCs/>
          <w:lang w:val="es-ES_tradnl"/>
        </w:rPr>
        <w:t>7.5.4</w:t>
      </w:r>
      <w:r w:rsidRPr="002D5135">
        <w:rPr>
          <w:rFonts w:cs="Consolas"/>
          <w:bCs/>
          <w:lang w:val="es-ES_tradnl"/>
        </w:rPr>
        <w:tab/>
        <w:t>Se recomienda la elaboración de directrices sobre el control de la circulación de teléfonos celulares en todos los países o regiones, con objeto de evitar que los dispositivos incumplan las normas vigentes o no se ajusten a las mismas.</w:t>
      </w:r>
    </w:p>
    <w:p w:rsidR="00181C1A" w:rsidRPr="002D5135" w:rsidRDefault="00181C1A" w:rsidP="002D5135">
      <w:pPr>
        <w:rPr>
          <w:rFonts w:cs="Consolas"/>
          <w:bCs/>
          <w:lang w:val="es-ES_tradnl"/>
        </w:rPr>
      </w:pPr>
      <w:r w:rsidRPr="002D5135">
        <w:rPr>
          <w:rFonts w:cs="Consolas"/>
          <w:bCs/>
          <w:lang w:val="es-ES_tradnl"/>
        </w:rPr>
        <w:t>7.5.5</w:t>
      </w:r>
      <w:r w:rsidRPr="002D5135">
        <w:rPr>
          <w:rFonts w:cs="Consolas"/>
          <w:bCs/>
          <w:lang w:val="es-ES_tradnl"/>
        </w:rPr>
        <w:tab/>
        <w:t>Se recomienda que las mediciones de radiación se efectúen regularmente a fin de verificar su conformidad. Los países deben asimismo fomentar la coubicación y la compartición de infraestructuras con el objetivo de evitar la proliferación de antenas y, de esta forma, reducir la exposición de las personas y la percepción de sus efectos nocivos.</w:t>
      </w:r>
    </w:p>
    <w:p w:rsidR="00181C1A" w:rsidRPr="00D15FE4" w:rsidRDefault="00181C1A" w:rsidP="0028348F">
      <w:pPr>
        <w:pStyle w:val="Heading1"/>
        <w:spacing w:before="240" w:after="120"/>
        <w:rPr>
          <w:smallCaps/>
          <w:szCs w:val="19"/>
          <w:lang w:val="es-ES_tradnl"/>
        </w:rPr>
      </w:pPr>
      <w:bookmarkStart w:id="56" w:name="_Toc330816733"/>
      <w:bookmarkStart w:id="57" w:name="_Toc370825013"/>
      <w:bookmarkStart w:id="58" w:name="_Toc377560464"/>
      <w:r w:rsidRPr="00D15FE4">
        <w:rPr>
          <w:szCs w:val="19"/>
          <w:lang w:val="es-ES_tradnl"/>
        </w:rPr>
        <w:t>8</w:t>
      </w:r>
      <w:r w:rsidRPr="00D15FE4">
        <w:rPr>
          <w:szCs w:val="19"/>
          <w:lang w:val="es-ES_tradnl"/>
        </w:rPr>
        <w:tab/>
        <w:t>Conclusión</w:t>
      </w:r>
      <w:bookmarkEnd w:id="56"/>
      <w:bookmarkEnd w:id="57"/>
      <w:bookmarkEnd w:id="58"/>
    </w:p>
    <w:p w:rsidR="00181C1A" w:rsidRPr="002D5135" w:rsidRDefault="00181C1A" w:rsidP="002D5135">
      <w:pPr>
        <w:rPr>
          <w:bCs/>
          <w:snapToGrid w:val="0"/>
          <w:szCs w:val="19"/>
          <w:lang w:val="es-ES_tradnl"/>
        </w:rPr>
      </w:pPr>
      <w:r w:rsidRPr="002D5135">
        <w:rPr>
          <w:bCs/>
          <w:snapToGrid w:val="0"/>
          <w:szCs w:val="19"/>
          <w:lang w:val="es-ES_tradnl"/>
        </w:rPr>
        <w:t>8.1</w:t>
      </w:r>
      <w:r w:rsidRPr="002D5135">
        <w:rPr>
          <w:bCs/>
          <w:snapToGrid w:val="0"/>
          <w:szCs w:val="19"/>
          <w:lang w:val="es-ES_tradnl"/>
        </w:rPr>
        <w:tab/>
      </w:r>
      <w:r w:rsidRPr="002D5135">
        <w:rPr>
          <w:bCs/>
          <w:lang w:val="es-ES_tradnl"/>
        </w:rPr>
        <w:t>Es importante que los informes elaborados sean accesibles para el público, en consecuencia, podrían divulgarse a través de los medios de comunicación de los que disponga el país.</w:t>
      </w:r>
      <w:r w:rsidRPr="002D5135">
        <w:rPr>
          <w:bCs/>
          <w:snapToGrid w:val="0"/>
          <w:szCs w:val="19"/>
          <w:lang w:val="es-ES_tradnl"/>
        </w:rPr>
        <w:t xml:space="preserve"> </w:t>
      </w:r>
      <w:r w:rsidRPr="002D5135">
        <w:rPr>
          <w:bCs/>
          <w:lang w:val="es-ES_tradnl"/>
        </w:rPr>
        <w:t>Las cantidades medidas y calculadas han de compararse. Si los valores medidos o calculados superan los niveles de la ICNIRP, se hará constar en el informe y se adoptarán las disposiciones pertinentes de conformidad con el reglamento en vigor.</w:t>
      </w:r>
    </w:p>
    <w:p w:rsidR="00181C1A" w:rsidRPr="002D5135" w:rsidRDefault="00181C1A" w:rsidP="002D5135">
      <w:pPr>
        <w:rPr>
          <w:bCs/>
          <w:szCs w:val="19"/>
          <w:lang w:val="es-ES_tradnl"/>
        </w:rPr>
      </w:pPr>
      <w:r w:rsidRPr="002D5135">
        <w:rPr>
          <w:bCs/>
          <w:szCs w:val="19"/>
          <w:lang w:val="es-ES_tradnl"/>
        </w:rPr>
        <w:t>8.2</w:t>
      </w:r>
      <w:r w:rsidRPr="002D5135">
        <w:rPr>
          <w:bCs/>
          <w:szCs w:val="19"/>
          <w:lang w:val="es-ES_tradnl"/>
        </w:rPr>
        <w:tab/>
        <w:t xml:space="preserve">Se recomienda que </w:t>
      </w:r>
      <w:r w:rsidRPr="002D5135">
        <w:rPr>
          <w:bCs/>
          <w:lang w:val="es-ES_tradnl"/>
        </w:rPr>
        <w:t>un informe de medición completo incluya la siguiente información:</w:t>
      </w:r>
    </w:p>
    <w:p w:rsidR="00181C1A" w:rsidRPr="005A4319" w:rsidRDefault="00181C1A" w:rsidP="00FD027D">
      <w:pPr>
        <w:pStyle w:val="Enumlevel1"/>
        <w:numPr>
          <w:ilvl w:val="0"/>
          <w:numId w:val="13"/>
        </w:numPr>
        <w:ind w:left="567" w:hanging="567"/>
        <w:rPr>
          <w:lang w:val="es-ES_tradnl"/>
        </w:rPr>
      </w:pPr>
      <w:r w:rsidRPr="005A4319">
        <w:rPr>
          <w:lang w:val="es-ES_tradnl"/>
        </w:rPr>
        <w:t>fin y objetivos de las mediciones;</w:t>
      </w:r>
    </w:p>
    <w:p w:rsidR="00181C1A" w:rsidRPr="005A4319" w:rsidRDefault="00181C1A" w:rsidP="00FD027D">
      <w:pPr>
        <w:pStyle w:val="Enumlevel1"/>
        <w:numPr>
          <w:ilvl w:val="0"/>
          <w:numId w:val="13"/>
        </w:numPr>
        <w:ind w:left="567" w:hanging="567"/>
        <w:rPr>
          <w:lang w:val="es-ES_tradnl"/>
        </w:rPr>
      </w:pPr>
      <w:r w:rsidRPr="005A4319">
        <w:rPr>
          <w:lang w:val="es-ES_tradnl"/>
        </w:rPr>
        <w:t>fecha y hora de inicio y finalización;</w:t>
      </w:r>
    </w:p>
    <w:p w:rsidR="00181C1A" w:rsidRPr="005A4319" w:rsidRDefault="00181C1A" w:rsidP="00FD027D">
      <w:pPr>
        <w:pStyle w:val="Enumlevel1"/>
        <w:numPr>
          <w:ilvl w:val="0"/>
          <w:numId w:val="13"/>
        </w:numPr>
        <w:ind w:left="567" w:hanging="567"/>
        <w:rPr>
          <w:lang w:val="es-ES_tradnl"/>
        </w:rPr>
      </w:pPr>
      <w:r w:rsidRPr="005A4319">
        <w:rPr>
          <w:lang w:val="es-ES_tradnl"/>
        </w:rPr>
        <w:t>coordenadas geográficas, altura sobre el terreno y características peculiares de los emplazamientos objeto de evaluación;</w:t>
      </w:r>
    </w:p>
    <w:p w:rsidR="00181C1A" w:rsidRPr="005A4319" w:rsidRDefault="00181C1A" w:rsidP="00FD027D">
      <w:pPr>
        <w:pStyle w:val="Enumlevel1"/>
        <w:numPr>
          <w:ilvl w:val="0"/>
          <w:numId w:val="13"/>
        </w:numPr>
        <w:ind w:left="567" w:hanging="567"/>
        <w:rPr>
          <w:lang w:val="es-ES_tradnl"/>
        </w:rPr>
      </w:pPr>
      <w:r w:rsidRPr="005A4319">
        <w:rPr>
          <w:lang w:val="es-ES_tradnl"/>
        </w:rPr>
        <w:t>relación de los transmisores identificados;</w:t>
      </w:r>
    </w:p>
    <w:p w:rsidR="00181C1A" w:rsidRPr="005A4319" w:rsidRDefault="00181C1A" w:rsidP="00FD027D">
      <w:pPr>
        <w:pStyle w:val="Enumlevel1"/>
        <w:numPr>
          <w:ilvl w:val="0"/>
          <w:numId w:val="13"/>
        </w:numPr>
        <w:ind w:left="567" w:hanging="567"/>
        <w:rPr>
          <w:lang w:val="es-ES_tradnl"/>
        </w:rPr>
      </w:pPr>
      <w:r w:rsidRPr="005A4319">
        <w:rPr>
          <w:lang w:val="es-ES_tradnl"/>
        </w:rPr>
        <w:t xml:space="preserve">equipos utilizados con sus números de serie e información detallada sobre su calibración; </w:t>
      </w:r>
    </w:p>
    <w:p w:rsidR="00181C1A" w:rsidRPr="005A4319" w:rsidRDefault="00181C1A" w:rsidP="00FD027D">
      <w:pPr>
        <w:pStyle w:val="Enumlevel1"/>
        <w:numPr>
          <w:ilvl w:val="0"/>
          <w:numId w:val="13"/>
        </w:numPr>
        <w:ind w:left="567" w:hanging="567"/>
        <w:rPr>
          <w:lang w:val="es-ES_tradnl"/>
        </w:rPr>
      </w:pPr>
      <w:r w:rsidRPr="005A4319">
        <w:rPr>
          <w:lang w:val="es-ES_tradnl"/>
        </w:rPr>
        <w:t xml:space="preserve">incertidumbre de las mediciones; </w:t>
      </w:r>
    </w:p>
    <w:p w:rsidR="00181C1A" w:rsidRPr="005A4319" w:rsidRDefault="00181C1A" w:rsidP="00FD027D">
      <w:pPr>
        <w:pStyle w:val="Enumlevel1"/>
        <w:numPr>
          <w:ilvl w:val="0"/>
          <w:numId w:val="13"/>
        </w:numPr>
        <w:ind w:left="567" w:hanging="567"/>
        <w:rPr>
          <w:lang w:val="es-ES_tradnl"/>
        </w:rPr>
      </w:pPr>
      <w:r w:rsidRPr="005A4319">
        <w:rPr>
          <w:lang w:val="es-ES_tradnl"/>
        </w:rPr>
        <w:t>protocolo o normas de medición; y temperatura o condiciones meteorológicas, incluida la humedad</w:t>
      </w:r>
      <w:r w:rsidRPr="005A4319">
        <w:rPr>
          <w:rStyle w:val="FootnoteReference"/>
          <w:lang w:val="es-ES_tradnl"/>
        </w:rPr>
        <w:footnoteReference w:id="18"/>
      </w:r>
      <w:r w:rsidRPr="005A4319">
        <w:rPr>
          <w:lang w:val="es-ES_tradnl"/>
        </w:rPr>
        <w:t>.</w:t>
      </w:r>
    </w:p>
    <w:p w:rsidR="00181C1A" w:rsidRPr="00C1663E" w:rsidRDefault="00181C1A" w:rsidP="00C1663E">
      <w:pPr>
        <w:rPr>
          <w:bCs/>
          <w:lang w:val="es-ES_tradnl"/>
        </w:rPr>
      </w:pPr>
      <w:r w:rsidRPr="00C1663E">
        <w:rPr>
          <w:bCs/>
          <w:lang w:val="es-ES_tradnl"/>
        </w:rPr>
        <w:lastRenderedPageBreak/>
        <w:t>8.3</w:t>
      </w:r>
      <w:r w:rsidRPr="00C1663E">
        <w:rPr>
          <w:bCs/>
          <w:lang w:val="es-ES_tradnl"/>
        </w:rPr>
        <w:tab/>
        <w:t>Además, para que el informe resulte más inteligible, conviene representar gráficamente los resultados por medio de mapas, diagramas y fotos. A través de estos medios, se presentarán los resultados de las evaluaciones realizadas en los emplazamientos, así como la posición relativa de los principales transmisores y zonas de interés (tales como escuelas, hospitales o viviendas)</w:t>
      </w:r>
      <w:r w:rsidRPr="00C1663E">
        <w:rPr>
          <w:rStyle w:val="FootnoteReference"/>
          <w:bCs/>
          <w:sz w:val="19"/>
          <w:szCs w:val="19"/>
          <w:lang w:val="es-ES_tradnl"/>
        </w:rPr>
        <w:footnoteReference w:id="19"/>
      </w:r>
      <w:r w:rsidRPr="00C1663E">
        <w:rPr>
          <w:bCs/>
          <w:lang w:val="es-ES_tradnl"/>
        </w:rPr>
        <w:t>.</w:t>
      </w:r>
    </w:p>
    <w:p w:rsidR="00181C1A" w:rsidRPr="00C1663E" w:rsidRDefault="00181C1A" w:rsidP="00C1663E">
      <w:pPr>
        <w:rPr>
          <w:bCs/>
          <w:lang w:val="es-ES_tradnl"/>
        </w:rPr>
      </w:pPr>
      <w:r w:rsidRPr="00C1663E">
        <w:rPr>
          <w:bCs/>
          <w:lang w:val="es-ES_tradnl"/>
        </w:rPr>
        <w:t>8.4</w:t>
      </w:r>
      <w:r w:rsidRPr="00C1663E">
        <w:rPr>
          <w:bCs/>
          <w:lang w:val="es-ES_tradnl"/>
        </w:rPr>
        <w:tab/>
        <w:t xml:space="preserve">En lo que respecta a la sensibilización pública, es importante proporcionar información a la población sobre los productos que generan CEM, con el fin de reducir la percepción del peligro derivado de la exposición a los mimos. Se pude informar al público acerca de la importación de equipos de medición de campos electromagnéticos al país facilitándole las SAR. En este sentido, la coordinación regional entre los países vecinos es fundamental para controlar el tráfico de estos dispositivos, de forma que un país solo admita equipos autorizados. </w:t>
      </w:r>
    </w:p>
    <w:p w:rsidR="00181C1A" w:rsidRPr="00C1663E" w:rsidRDefault="00181C1A" w:rsidP="00C1663E">
      <w:pPr>
        <w:rPr>
          <w:bCs/>
          <w:lang w:val="es-ES_tradnl"/>
        </w:rPr>
      </w:pPr>
      <w:r w:rsidRPr="00C1663E">
        <w:rPr>
          <w:bCs/>
          <w:lang w:val="es-ES_tradnl"/>
        </w:rPr>
        <w:t>8.5</w:t>
      </w:r>
      <w:r w:rsidRPr="00C1663E">
        <w:rPr>
          <w:bCs/>
          <w:lang w:val="es-ES_tradnl"/>
        </w:rPr>
        <w:tab/>
        <w:t>Nótese que existe una diferencia entre las estaciones de base instaladas por los proveedores de servicios y los teléfonos celulares portátiles, adquiridos en base a decisiones personales. El control de estos dispositivos se efectúa a distintos niveles (proveedores de servicios y clientes) y precisa de la colaboración y el intercambio de información entre ambos. Se recomienda, por tanto, que la SAR de cada teléfono móvil esté disponible para el público en general</w:t>
      </w:r>
      <w:r w:rsidRPr="00C1663E">
        <w:rPr>
          <w:rStyle w:val="FootnoteReference"/>
          <w:rFonts w:cs="VendettaLight"/>
          <w:bCs/>
          <w:sz w:val="19"/>
          <w:szCs w:val="19"/>
          <w:lang w:val="es-ES_tradnl"/>
        </w:rPr>
        <w:footnoteReference w:id="20"/>
      </w:r>
      <w:r w:rsidRPr="00C1663E">
        <w:rPr>
          <w:bCs/>
          <w:lang w:val="es-ES_tradnl"/>
        </w:rPr>
        <w:t>, a fin de que todo el mundo pueda tomar una decisión fundamentada.</w:t>
      </w:r>
    </w:p>
    <w:p w:rsidR="00181C1A" w:rsidRPr="00C84BA8" w:rsidRDefault="00C1663E" w:rsidP="00C1663E">
      <w:pPr>
        <w:pStyle w:val="Heading1"/>
        <w:rPr>
          <w:lang w:val="es-ES_tradnl"/>
        </w:rPr>
      </w:pPr>
      <w:bookmarkStart w:id="59" w:name="_Toc370825014"/>
      <w:bookmarkStart w:id="60" w:name="_Toc377560465"/>
      <w:r w:rsidRPr="00C84BA8">
        <w:rPr>
          <w:lang w:val="es-ES_tradnl"/>
        </w:rPr>
        <w:t>9</w:t>
      </w:r>
      <w:r w:rsidR="00181C1A" w:rsidRPr="00C84BA8">
        <w:rPr>
          <w:lang w:val="es-ES_tradnl"/>
        </w:rPr>
        <w:tab/>
        <w:t>Directrices</w:t>
      </w:r>
      <w:bookmarkEnd w:id="59"/>
      <w:bookmarkEnd w:id="60"/>
    </w:p>
    <w:p w:rsidR="00181C1A" w:rsidRPr="00C84BA8" w:rsidRDefault="00181C1A" w:rsidP="00EB5290">
      <w:pPr>
        <w:pStyle w:val="Heading2"/>
        <w:rPr>
          <w:lang w:val="es-ES_tradnl"/>
        </w:rPr>
      </w:pPr>
      <w:bookmarkStart w:id="61" w:name="_Toc377560466"/>
      <w:r w:rsidRPr="00C84BA8">
        <w:rPr>
          <w:lang w:val="es-ES_tradnl"/>
        </w:rPr>
        <w:t>9.1</w:t>
      </w:r>
      <w:r w:rsidRPr="00C84BA8">
        <w:rPr>
          <w:lang w:val="es-ES_tradnl"/>
        </w:rPr>
        <w:tab/>
        <w:t>Alcance de las Directrices</w:t>
      </w:r>
      <w:bookmarkEnd w:id="61"/>
    </w:p>
    <w:p w:rsidR="00181C1A" w:rsidRPr="00D15FE4" w:rsidRDefault="00181C1A" w:rsidP="00C1663E">
      <w:pPr>
        <w:rPr>
          <w:lang w:val="es-ES_tradnl"/>
        </w:rPr>
      </w:pPr>
      <w:r w:rsidRPr="00D15FE4">
        <w:rPr>
          <w:lang w:val="es-ES_tradnl"/>
        </w:rPr>
        <w:t>Se prevé que el presente Informe contemple lo siguiente:</w:t>
      </w:r>
    </w:p>
    <w:p w:rsidR="00181C1A" w:rsidRPr="00D15FE4" w:rsidRDefault="00181C1A" w:rsidP="00C1663E">
      <w:pPr>
        <w:rPr>
          <w:lang w:val="es-ES_tradnl"/>
        </w:rPr>
      </w:pPr>
      <w:r w:rsidRPr="00D15FE4">
        <w:rPr>
          <w:lang w:val="es-ES_tradnl"/>
        </w:rPr>
        <w:t>9.1.1</w:t>
      </w:r>
      <w:r w:rsidRPr="00D15FE4">
        <w:rPr>
          <w:lang w:val="es-ES_tradnl"/>
        </w:rPr>
        <w:tab/>
        <w:t>Políticas de reglamentación de la exposición de las personas a los campos electromagnéticos que deban considerarse o estén vigentes, para autorizar la instalación de emplazamientos de radiocomunicación</w:t>
      </w:r>
      <w:r>
        <w:rPr>
          <w:lang w:val="es-ES_tradnl"/>
        </w:rPr>
        <w:t>.</w:t>
      </w:r>
    </w:p>
    <w:p w:rsidR="00181C1A" w:rsidRPr="00D15FE4" w:rsidRDefault="00181C1A" w:rsidP="00C1663E">
      <w:pPr>
        <w:rPr>
          <w:lang w:val="es-ES_tradnl"/>
        </w:rPr>
      </w:pPr>
      <w:r w:rsidRPr="00D15FE4">
        <w:rPr>
          <w:lang w:val="es-ES_tradnl"/>
        </w:rPr>
        <w:t>9.1.2</w:t>
      </w:r>
      <w:r w:rsidRPr="00D15FE4">
        <w:rPr>
          <w:lang w:val="es-ES_tradnl"/>
        </w:rPr>
        <w:tab/>
        <w:t>Describir las estrategias o los métodos destinados a aumentar la sensibilización de la población e informar a la misma sobre los efectos de los campos electromagnéticos generados por los sistemas de radiocomunicación.</w:t>
      </w:r>
    </w:p>
    <w:p w:rsidR="00181C1A" w:rsidRPr="00C84BA8" w:rsidRDefault="00181C1A" w:rsidP="00EB5290">
      <w:pPr>
        <w:pStyle w:val="Heading2"/>
        <w:rPr>
          <w:lang w:val="es-ES_tradnl"/>
        </w:rPr>
      </w:pPr>
      <w:bookmarkStart w:id="62" w:name="_Toc370825015"/>
      <w:bookmarkStart w:id="63" w:name="_Toc377560467"/>
      <w:r w:rsidRPr="00C84BA8">
        <w:rPr>
          <w:lang w:val="es-ES_tradnl"/>
        </w:rPr>
        <w:t>9.2</w:t>
      </w:r>
      <w:r w:rsidRPr="00C84BA8">
        <w:rPr>
          <w:lang w:val="es-ES_tradnl"/>
        </w:rPr>
        <w:tab/>
        <w:t>Objetivo de las Directrices</w:t>
      </w:r>
      <w:bookmarkEnd w:id="62"/>
      <w:bookmarkEnd w:id="63"/>
    </w:p>
    <w:p w:rsidR="00181C1A" w:rsidRPr="0057501D" w:rsidRDefault="00181C1A" w:rsidP="0057501D">
      <w:pPr>
        <w:rPr>
          <w:lang w:val="es-ES_tradnl"/>
        </w:rPr>
      </w:pPr>
      <w:r w:rsidRPr="0057501D">
        <w:rPr>
          <w:lang w:val="es-ES_tradnl"/>
        </w:rPr>
        <w:t>9.2.1</w:t>
      </w:r>
      <w:r w:rsidRPr="0057501D">
        <w:rPr>
          <w:lang w:val="es-ES_tradnl"/>
        </w:rPr>
        <w:tab/>
        <w:t>Estas Directrices tienen por objeto orientar a los Estados Miembros para responder a las percepciones sobre la exposición de las personas a la RF.</w:t>
      </w:r>
    </w:p>
    <w:p w:rsidR="00181C1A" w:rsidRPr="0057501D" w:rsidRDefault="00181C1A" w:rsidP="0057501D">
      <w:pPr>
        <w:rPr>
          <w:lang w:val="es-ES_tradnl"/>
        </w:rPr>
      </w:pPr>
      <w:r w:rsidRPr="0057501D">
        <w:rPr>
          <w:lang w:val="es-ES_tradnl"/>
        </w:rPr>
        <w:t>Las Directrices contienen:</w:t>
      </w:r>
    </w:p>
    <w:p w:rsidR="00181C1A" w:rsidRPr="0057501D" w:rsidRDefault="00181C1A" w:rsidP="00FD027D">
      <w:pPr>
        <w:pStyle w:val="Enumlevel1"/>
        <w:numPr>
          <w:ilvl w:val="0"/>
          <w:numId w:val="13"/>
        </w:numPr>
        <w:ind w:left="567" w:hanging="567"/>
        <w:rPr>
          <w:lang w:val="es-ES_tradnl"/>
        </w:rPr>
      </w:pPr>
      <w:r w:rsidRPr="0057501D">
        <w:rPr>
          <w:lang w:val="es-ES_tradnl"/>
        </w:rPr>
        <w:t>información sobre parámetros técnicos (por ejemplo, valores límite de radiación, distancia, altura de las antenas sobre el tejado);</w:t>
      </w:r>
    </w:p>
    <w:p w:rsidR="00181C1A" w:rsidRPr="0057501D" w:rsidRDefault="00181C1A" w:rsidP="00FD027D">
      <w:pPr>
        <w:pStyle w:val="Enumlevel1"/>
        <w:numPr>
          <w:ilvl w:val="0"/>
          <w:numId w:val="13"/>
        </w:numPr>
        <w:ind w:left="567" w:hanging="567"/>
        <w:rPr>
          <w:lang w:val="es-ES_tradnl"/>
        </w:rPr>
      </w:pPr>
      <w:r w:rsidRPr="0057501D">
        <w:rPr>
          <w:lang w:val="es-ES_tradnl"/>
        </w:rPr>
        <w:t>resultados científicos para demostrar la seguridad de la instalación de torres;</w:t>
      </w:r>
    </w:p>
    <w:p w:rsidR="00181C1A" w:rsidRPr="0057501D" w:rsidRDefault="00181C1A" w:rsidP="00FD027D">
      <w:pPr>
        <w:pStyle w:val="Enumlevel1"/>
        <w:numPr>
          <w:ilvl w:val="0"/>
          <w:numId w:val="13"/>
        </w:numPr>
        <w:ind w:left="567" w:hanging="567"/>
        <w:rPr>
          <w:lang w:val="es-ES_tradnl"/>
        </w:rPr>
      </w:pPr>
      <w:r w:rsidRPr="0057501D">
        <w:rPr>
          <w:lang w:val="es-ES_tradnl"/>
        </w:rPr>
        <w:t>detalles sobre cómo tratar zonas sensibles tales como escuelas y hospitales;</w:t>
      </w:r>
    </w:p>
    <w:p w:rsidR="00181C1A" w:rsidRPr="0057501D" w:rsidRDefault="00181C1A" w:rsidP="00FD027D">
      <w:pPr>
        <w:pStyle w:val="Enumlevel1"/>
        <w:numPr>
          <w:ilvl w:val="0"/>
          <w:numId w:val="13"/>
        </w:numPr>
        <w:ind w:left="567" w:hanging="567"/>
        <w:rPr>
          <w:lang w:val="es-ES_tradnl"/>
        </w:rPr>
      </w:pPr>
      <w:r w:rsidRPr="0057501D">
        <w:rPr>
          <w:lang w:val="es-ES_tradnl"/>
        </w:rPr>
        <w:t>comprobación técnica de la conformidad de las instalaciones con los límites de radiación;</w:t>
      </w:r>
    </w:p>
    <w:p w:rsidR="00181C1A" w:rsidRPr="0057501D" w:rsidRDefault="00181C1A" w:rsidP="00FD027D">
      <w:pPr>
        <w:pStyle w:val="Enumlevel1"/>
        <w:numPr>
          <w:ilvl w:val="0"/>
          <w:numId w:val="13"/>
        </w:numPr>
        <w:ind w:left="567" w:hanging="567"/>
        <w:rPr>
          <w:lang w:val="es-ES_tradnl"/>
        </w:rPr>
      </w:pPr>
      <w:r w:rsidRPr="0057501D">
        <w:rPr>
          <w:lang w:val="es-ES_tradnl"/>
        </w:rPr>
        <w:t>procedimiento de medición de niveles de radiación.</w:t>
      </w:r>
    </w:p>
    <w:p w:rsidR="00181C1A" w:rsidRPr="00C84BA8" w:rsidRDefault="00181C1A" w:rsidP="00EB5290">
      <w:pPr>
        <w:pStyle w:val="Heading2"/>
        <w:rPr>
          <w:rFonts w:cs="Times New Roman"/>
          <w:lang w:val="es-ES_tradnl"/>
        </w:rPr>
      </w:pPr>
      <w:bookmarkStart w:id="64" w:name="_Toc370825016"/>
      <w:bookmarkStart w:id="65" w:name="_Toc377560468"/>
      <w:r w:rsidRPr="00C84BA8">
        <w:rPr>
          <w:rFonts w:cs="Times New Roman"/>
          <w:lang w:val="es-ES_tradnl"/>
        </w:rPr>
        <w:lastRenderedPageBreak/>
        <w:t>9.3</w:t>
      </w:r>
      <w:r w:rsidRPr="00C84BA8">
        <w:rPr>
          <w:rFonts w:cs="Times New Roman"/>
          <w:lang w:val="es-ES_tradnl"/>
        </w:rPr>
        <w:tab/>
      </w:r>
      <w:r w:rsidRPr="00C84BA8">
        <w:rPr>
          <w:lang w:val="es-ES_tradnl"/>
        </w:rPr>
        <w:t>Principios de elaboración de las Directrices</w:t>
      </w:r>
      <w:bookmarkEnd w:id="64"/>
      <w:bookmarkEnd w:id="65"/>
    </w:p>
    <w:p w:rsidR="00181C1A" w:rsidRPr="0057501D" w:rsidRDefault="00181C1A" w:rsidP="0057501D">
      <w:pPr>
        <w:rPr>
          <w:lang w:val="es-ES_tradnl"/>
        </w:rPr>
      </w:pPr>
      <w:r w:rsidRPr="0057501D">
        <w:rPr>
          <w:lang w:val="es-ES_tradnl"/>
        </w:rPr>
        <w:t>Los principios fundamentales de la exposición de los seres humanos a los CEM son los siguientes:</w:t>
      </w:r>
    </w:p>
    <w:p w:rsidR="00181C1A" w:rsidRPr="0057501D" w:rsidRDefault="00181C1A" w:rsidP="0057501D">
      <w:pPr>
        <w:rPr>
          <w:lang w:val="es-ES_tradnl"/>
        </w:rPr>
      </w:pPr>
      <w:r w:rsidRPr="0057501D">
        <w:rPr>
          <w:lang w:val="es-ES_tradnl"/>
        </w:rPr>
        <w:t>9.3.1</w:t>
      </w:r>
      <w:r w:rsidRPr="0057501D">
        <w:rPr>
          <w:lang w:val="es-ES_tradnl"/>
        </w:rPr>
        <w:tab/>
        <w:t>Respeto de los límites de CEM estipulados en las Recomendaciones de la UIT.</w:t>
      </w:r>
    </w:p>
    <w:p w:rsidR="00181C1A" w:rsidRPr="0057501D" w:rsidRDefault="00181C1A" w:rsidP="0057501D">
      <w:pPr>
        <w:rPr>
          <w:lang w:val="es-ES_tradnl"/>
        </w:rPr>
      </w:pPr>
      <w:r w:rsidRPr="0057501D">
        <w:rPr>
          <w:lang w:val="es-ES_tradnl"/>
        </w:rPr>
        <w:t>9.3.2</w:t>
      </w:r>
      <w:r w:rsidRPr="0057501D">
        <w:rPr>
          <w:lang w:val="es-ES_tradnl"/>
        </w:rPr>
        <w:tab/>
        <w:t>Respeto de las directrices de la ICNIRP, así como de los objetivos propuestos.</w:t>
      </w:r>
    </w:p>
    <w:p w:rsidR="00181C1A" w:rsidRPr="0057501D" w:rsidRDefault="00181C1A" w:rsidP="0057501D">
      <w:pPr>
        <w:rPr>
          <w:lang w:val="es-ES_tradnl"/>
        </w:rPr>
      </w:pPr>
      <w:r w:rsidRPr="0057501D">
        <w:rPr>
          <w:lang w:val="es-ES_tradnl"/>
        </w:rPr>
        <w:t>9.3.3</w:t>
      </w:r>
      <w:r w:rsidRPr="0057501D">
        <w:rPr>
          <w:lang w:val="es-ES_tradnl"/>
        </w:rPr>
        <w:tab/>
        <w:t>Respecto de las recomendaciones de la OMS, la OIT, la ICNIRP y el PNUMA.</w:t>
      </w:r>
    </w:p>
    <w:p w:rsidR="00181C1A" w:rsidRPr="0057501D" w:rsidRDefault="00181C1A" w:rsidP="0057501D">
      <w:pPr>
        <w:rPr>
          <w:rFonts w:cs="Arial"/>
          <w:lang w:val="es-ES_tradnl"/>
        </w:rPr>
      </w:pPr>
      <w:r w:rsidRPr="0057501D">
        <w:rPr>
          <w:rFonts w:cs="Arial"/>
          <w:lang w:val="es-ES_tradnl"/>
        </w:rPr>
        <w:t>9.3.4</w:t>
      </w:r>
      <w:r w:rsidRPr="0057501D">
        <w:rPr>
          <w:rFonts w:cs="Arial"/>
          <w:lang w:val="es-ES_tradnl"/>
        </w:rPr>
        <w:tab/>
        <w:t>Deben comunicarse al público los resultados de mediciones de CEM de todos los equipos de comunicación.</w:t>
      </w:r>
    </w:p>
    <w:p w:rsidR="00181C1A" w:rsidRPr="0057501D" w:rsidRDefault="00181C1A" w:rsidP="0057501D">
      <w:pPr>
        <w:rPr>
          <w:lang w:val="es-ES_tradnl"/>
        </w:rPr>
      </w:pPr>
      <w:r w:rsidRPr="0057501D">
        <w:rPr>
          <w:lang w:val="es-ES_tradnl"/>
        </w:rPr>
        <w:t>9.3.5</w:t>
      </w:r>
      <w:r w:rsidRPr="0057501D">
        <w:rPr>
          <w:lang w:val="es-ES_tradnl"/>
        </w:rPr>
        <w:tab/>
        <w:t>Los informes publicados deben indicar los requisitos de radiación mínima que no se deben rebasar.</w:t>
      </w:r>
    </w:p>
    <w:p w:rsidR="00181C1A" w:rsidRPr="0057501D" w:rsidRDefault="00181C1A" w:rsidP="0057501D">
      <w:pPr>
        <w:rPr>
          <w:lang w:val="es-ES_tradnl"/>
        </w:rPr>
      </w:pPr>
      <w:r w:rsidRPr="0057501D">
        <w:rPr>
          <w:lang w:val="es-ES_tradnl"/>
        </w:rPr>
        <w:t>9.3.6</w:t>
      </w:r>
      <w:r w:rsidRPr="0057501D">
        <w:rPr>
          <w:lang w:val="es-ES_tradnl"/>
        </w:rPr>
        <w:tab/>
        <w:t>Deben tomarse precauciones al desplegar equipos de radiocomunicaciones en zonas tales como hospitales, escuelas y zonas densamente pobladas.</w:t>
      </w:r>
    </w:p>
    <w:p w:rsidR="00181C1A" w:rsidRPr="00C84BA8" w:rsidRDefault="00181C1A" w:rsidP="00EB5290">
      <w:pPr>
        <w:pStyle w:val="Heading2"/>
        <w:rPr>
          <w:lang w:val="es-ES_tradnl"/>
        </w:rPr>
      </w:pPr>
      <w:bookmarkStart w:id="66" w:name="_Toc370825017"/>
      <w:bookmarkStart w:id="67" w:name="_Toc377560469"/>
      <w:r w:rsidRPr="00C84BA8">
        <w:rPr>
          <w:lang w:val="es-ES_tradnl"/>
        </w:rPr>
        <w:t>9.4</w:t>
      </w:r>
      <w:r w:rsidRPr="00C84BA8">
        <w:rPr>
          <w:lang w:val="es-ES_tradnl"/>
        </w:rPr>
        <w:tab/>
        <w:t>Obligaciones de los operadores en lo que respecta a la radiación de CEM</w:t>
      </w:r>
      <w:bookmarkEnd w:id="66"/>
      <w:bookmarkEnd w:id="67"/>
    </w:p>
    <w:p w:rsidR="00181C1A" w:rsidRPr="00EB5290" w:rsidRDefault="00181C1A" w:rsidP="00EB5290">
      <w:pPr>
        <w:rPr>
          <w:lang w:val="es-ES_tradnl"/>
        </w:rPr>
      </w:pPr>
      <w:r w:rsidRPr="00EB5290">
        <w:rPr>
          <w:lang w:val="es-ES_tradnl"/>
        </w:rPr>
        <w:t>Al desplegar sus equipos de radiocomunicaciones, los operadores velarán por que:</w:t>
      </w:r>
    </w:p>
    <w:p w:rsidR="00181C1A" w:rsidRPr="00EB5290" w:rsidRDefault="00181C1A" w:rsidP="00EB5290">
      <w:pPr>
        <w:rPr>
          <w:lang w:val="es-ES_tradnl"/>
        </w:rPr>
      </w:pPr>
      <w:r w:rsidRPr="00EB5290">
        <w:rPr>
          <w:lang w:val="es-ES_tradnl"/>
        </w:rPr>
        <w:t>9.4.1</w:t>
      </w:r>
      <w:r w:rsidRPr="00EB5290">
        <w:rPr>
          <w:lang w:val="es-ES_tradnl"/>
        </w:rPr>
        <w:tab/>
        <w:t>No se rebasen los límites de radiación.</w:t>
      </w:r>
    </w:p>
    <w:p w:rsidR="00181C1A" w:rsidRPr="00EB5290" w:rsidRDefault="00181C1A" w:rsidP="00EB5290">
      <w:pPr>
        <w:rPr>
          <w:lang w:val="es-ES_tradnl"/>
        </w:rPr>
      </w:pPr>
      <w:r w:rsidRPr="00EB5290">
        <w:rPr>
          <w:lang w:val="es-ES_tradnl"/>
        </w:rPr>
        <w:t>9.4.2</w:t>
      </w:r>
      <w:r w:rsidRPr="00EB5290">
        <w:rPr>
          <w:lang w:val="es-ES_tradnl"/>
        </w:rPr>
        <w:tab/>
        <w:t>No se rebase el límite de distancia.</w:t>
      </w:r>
    </w:p>
    <w:p w:rsidR="00181C1A" w:rsidRPr="00EB5290" w:rsidRDefault="00181C1A" w:rsidP="00EB5290">
      <w:pPr>
        <w:rPr>
          <w:lang w:val="es-ES_tradnl"/>
        </w:rPr>
      </w:pPr>
      <w:r w:rsidRPr="00EB5290">
        <w:rPr>
          <w:lang w:val="es-ES_tradnl"/>
        </w:rPr>
        <w:t>9.4.3</w:t>
      </w:r>
      <w:r w:rsidRPr="00EB5290">
        <w:rPr>
          <w:lang w:val="es-ES_tradnl"/>
        </w:rPr>
        <w:tab/>
        <w:t>Las pruebas de los equipos se efectúen antes de la instalación y la explotación.</w:t>
      </w:r>
    </w:p>
    <w:p w:rsidR="00181C1A" w:rsidRPr="00EB5290" w:rsidRDefault="00181C1A" w:rsidP="00EB5290">
      <w:pPr>
        <w:rPr>
          <w:lang w:val="es-ES_tradnl"/>
        </w:rPr>
      </w:pPr>
      <w:r w:rsidRPr="00EB5290">
        <w:rPr>
          <w:lang w:val="es-ES_tradnl"/>
        </w:rPr>
        <w:t>9.4.4</w:t>
      </w:r>
      <w:r w:rsidRPr="00EB5290">
        <w:rPr>
          <w:lang w:val="es-ES_tradnl"/>
        </w:rPr>
        <w:tab/>
        <w:t>Las pruebas sean aprobadas por el regulador.</w:t>
      </w:r>
    </w:p>
    <w:p w:rsidR="00181C1A" w:rsidRPr="00EB5290" w:rsidRDefault="00181C1A" w:rsidP="00EB5290">
      <w:pPr>
        <w:rPr>
          <w:lang w:val="es-ES_tradnl"/>
        </w:rPr>
      </w:pPr>
      <w:r w:rsidRPr="00EB5290">
        <w:rPr>
          <w:lang w:val="es-ES_tradnl"/>
        </w:rPr>
        <w:t>9.4.5</w:t>
      </w:r>
      <w:r w:rsidRPr="00EB5290">
        <w:rPr>
          <w:lang w:val="es-ES_tradnl"/>
        </w:rPr>
        <w:tab/>
        <w:t>Se consulte e informe a los consumidores sobre las nuevas instalaciones.</w:t>
      </w:r>
    </w:p>
    <w:p w:rsidR="00181C1A" w:rsidRPr="00EB5290" w:rsidRDefault="00181C1A" w:rsidP="00EB5290">
      <w:pPr>
        <w:rPr>
          <w:lang w:val="es-ES_tradnl"/>
        </w:rPr>
      </w:pPr>
      <w:r w:rsidRPr="00EB5290">
        <w:rPr>
          <w:lang w:val="es-ES_tradnl"/>
        </w:rPr>
        <w:t>9.4.6</w:t>
      </w:r>
      <w:r w:rsidRPr="00EB5290">
        <w:rPr>
          <w:lang w:val="es-ES_tradnl"/>
        </w:rPr>
        <w:tab/>
        <w:t>Se ponga en conocimiento del público en general las nuevas instalaciones y las emisiones de radiaciones de los equipos.</w:t>
      </w:r>
    </w:p>
    <w:p w:rsidR="00181C1A" w:rsidRPr="00EB5290" w:rsidRDefault="00181C1A" w:rsidP="00EB5290">
      <w:pPr>
        <w:rPr>
          <w:lang w:val="es-ES_tradnl"/>
        </w:rPr>
      </w:pPr>
      <w:r w:rsidRPr="00EB5290">
        <w:rPr>
          <w:lang w:val="es-ES_tradnl"/>
        </w:rPr>
        <w:t>9.4.7</w:t>
      </w:r>
      <w:r w:rsidRPr="00EB5290">
        <w:rPr>
          <w:lang w:val="es-ES_tradnl"/>
        </w:rPr>
        <w:tab/>
        <w:t>Se eviten en la medida de lo posible zonas sensibles tales como escuelas y hospitales.</w:t>
      </w:r>
    </w:p>
    <w:p w:rsidR="00181C1A" w:rsidRPr="00EB5290" w:rsidRDefault="00181C1A" w:rsidP="00EB5290">
      <w:pPr>
        <w:rPr>
          <w:lang w:val="es-ES_tradnl"/>
        </w:rPr>
      </w:pPr>
      <w:r w:rsidRPr="00EB5290">
        <w:rPr>
          <w:lang w:val="es-ES_tradnl"/>
        </w:rPr>
        <w:t>9.4.8</w:t>
      </w:r>
      <w:r w:rsidRPr="00EB5290">
        <w:rPr>
          <w:lang w:val="es-ES_tradnl"/>
        </w:rPr>
        <w:tab/>
        <w:t>Se pongan grandes carteles de "Peligro" en los equipos de radiocomunicaciones en funcionamiento.</w:t>
      </w:r>
    </w:p>
    <w:p w:rsidR="00181C1A" w:rsidRPr="00C84BA8" w:rsidRDefault="00181C1A" w:rsidP="00EB5290">
      <w:pPr>
        <w:pStyle w:val="Heading2"/>
        <w:rPr>
          <w:rFonts w:cs="Times New Roman"/>
          <w:lang w:val="es-ES_tradnl"/>
        </w:rPr>
      </w:pPr>
      <w:bookmarkStart w:id="68" w:name="_Toc370825018"/>
      <w:bookmarkStart w:id="69" w:name="_Toc377560470"/>
      <w:r w:rsidRPr="00C84BA8">
        <w:rPr>
          <w:rFonts w:cs="Times New Roman"/>
          <w:lang w:val="es-ES_tradnl"/>
        </w:rPr>
        <w:t>9.5</w:t>
      </w:r>
      <w:r w:rsidRPr="00C84BA8">
        <w:rPr>
          <w:rFonts w:cs="Times New Roman"/>
          <w:lang w:val="es-ES_tradnl"/>
        </w:rPr>
        <w:tab/>
      </w:r>
      <w:r w:rsidRPr="00C84BA8">
        <w:rPr>
          <w:lang w:val="es-ES_tradnl"/>
        </w:rPr>
        <w:t>Objetivos</w:t>
      </w:r>
      <w:bookmarkEnd w:id="68"/>
      <w:bookmarkEnd w:id="69"/>
    </w:p>
    <w:p w:rsidR="00181C1A" w:rsidRPr="00EB5290" w:rsidRDefault="00181C1A" w:rsidP="00EB5290">
      <w:pPr>
        <w:rPr>
          <w:lang w:val="es-ES_tradnl"/>
        </w:rPr>
      </w:pPr>
      <w:r w:rsidRPr="00EB5290">
        <w:rPr>
          <w:lang w:val="es-ES_tradnl"/>
        </w:rPr>
        <w:t>Los objetivos de radiación de CEM conforme estas Directrices se basarán en lo siguiente:</w:t>
      </w:r>
    </w:p>
    <w:p w:rsidR="00181C1A" w:rsidRPr="00EB5290" w:rsidRDefault="00181C1A" w:rsidP="00EB5290">
      <w:pPr>
        <w:rPr>
          <w:lang w:val="es-ES_tradnl"/>
        </w:rPr>
      </w:pPr>
      <w:r w:rsidRPr="00EB5290">
        <w:rPr>
          <w:lang w:val="es-ES_tradnl"/>
        </w:rPr>
        <w:t>9.5.1</w:t>
      </w:r>
      <w:r w:rsidRPr="00EB5290">
        <w:rPr>
          <w:lang w:val="es-ES_tradnl"/>
        </w:rPr>
        <w:tab/>
        <w:t>Las Directrices internacionales sobre CEM definidas por la ICNIRP (refrendadas por la OMS), el IEEE y otros organismos internacionales de normalización.</w:t>
      </w:r>
    </w:p>
    <w:p w:rsidR="00181C1A" w:rsidRPr="00EB5290" w:rsidRDefault="00181C1A" w:rsidP="00EB5290">
      <w:pPr>
        <w:rPr>
          <w:lang w:val="es-ES_tradnl"/>
        </w:rPr>
      </w:pPr>
      <w:r w:rsidRPr="00EB5290">
        <w:rPr>
          <w:lang w:val="es-ES_tradnl"/>
        </w:rPr>
        <w:t>9.5.2</w:t>
      </w:r>
      <w:r w:rsidRPr="00EB5290">
        <w:rPr>
          <w:lang w:val="es-ES_tradnl"/>
        </w:rPr>
        <w:tab/>
        <w:t>A nivel de cada país, el reglamento que rige la exposición a CEM podrá tener carácter voluntario, como estas Directrices, u obligatorio si el país los integra en su marco legislativo.</w:t>
      </w:r>
    </w:p>
    <w:p w:rsidR="00181C1A" w:rsidRPr="00EB5290" w:rsidRDefault="00181C1A" w:rsidP="00EB5290">
      <w:pPr>
        <w:rPr>
          <w:lang w:val="es-ES_tradnl"/>
        </w:rPr>
      </w:pPr>
      <w:r w:rsidRPr="00EB5290">
        <w:rPr>
          <w:lang w:val="es-ES_tradnl"/>
        </w:rPr>
        <w:t>9.5.3</w:t>
      </w:r>
      <w:r w:rsidRPr="00EB5290">
        <w:rPr>
          <w:lang w:val="es-ES_tradnl"/>
        </w:rPr>
        <w:tab/>
        <w:t>Si no se han definido normas internacionales de emisión para determinados dispositivos que emiten CEM, los Estados Miembros deberán recomendar encarecidamente a las organizaciones internacionales competentes que desarrollen las normas adecuadas.</w:t>
      </w:r>
    </w:p>
    <w:p w:rsidR="00181C1A" w:rsidRPr="00EB5290" w:rsidRDefault="00181C1A" w:rsidP="00EB5290">
      <w:pPr>
        <w:rPr>
          <w:lang w:val="es-ES_tradnl"/>
        </w:rPr>
      </w:pPr>
      <w:r w:rsidRPr="00EB5290">
        <w:rPr>
          <w:lang w:val="es-ES_tradnl"/>
        </w:rPr>
        <w:t>9.5.4</w:t>
      </w:r>
      <w:r w:rsidRPr="00EB5290">
        <w:rPr>
          <w:lang w:val="es-ES_tradnl"/>
        </w:rPr>
        <w:tab/>
        <w:t>Si se necesitan normas nacionales, se aplicará el Marco para el Desarrollo de Normas Sanitarias para CEM creado por la OMS en sus proyectos internacionales sobre CEM.</w:t>
      </w:r>
    </w:p>
    <w:p w:rsidR="00181C1A" w:rsidRPr="00C84BA8" w:rsidRDefault="00181C1A" w:rsidP="00EB5290">
      <w:pPr>
        <w:pStyle w:val="Heading2"/>
        <w:rPr>
          <w:rFonts w:cs="Times New Roman"/>
          <w:lang w:val="es-ES_tradnl"/>
        </w:rPr>
      </w:pPr>
      <w:bookmarkStart w:id="70" w:name="_Toc329865975"/>
      <w:bookmarkStart w:id="71" w:name="_Toc370825019"/>
      <w:bookmarkStart w:id="72" w:name="_Toc377560471"/>
      <w:r w:rsidRPr="00C84BA8">
        <w:rPr>
          <w:rFonts w:cs="Times New Roman"/>
          <w:lang w:val="es-ES_tradnl"/>
        </w:rPr>
        <w:t>9.6</w:t>
      </w:r>
      <w:r w:rsidRPr="00C84BA8">
        <w:rPr>
          <w:rFonts w:cs="Times New Roman"/>
          <w:lang w:val="es-ES_tradnl"/>
        </w:rPr>
        <w:tab/>
      </w:r>
      <w:r w:rsidRPr="00C84BA8">
        <w:rPr>
          <w:rFonts w:cs="Times New Roman"/>
          <w:lang w:val="es-ES_tradnl"/>
        </w:rPr>
        <w:tab/>
      </w:r>
      <w:r w:rsidRPr="00C84BA8">
        <w:rPr>
          <w:lang w:val="es-ES_tradnl"/>
        </w:rPr>
        <w:t>Me</w:t>
      </w:r>
      <w:bookmarkEnd w:id="70"/>
      <w:r w:rsidRPr="00C84BA8">
        <w:rPr>
          <w:lang w:val="es-ES_tradnl"/>
        </w:rPr>
        <w:t>diciones</w:t>
      </w:r>
      <w:bookmarkEnd w:id="71"/>
      <w:bookmarkEnd w:id="72"/>
    </w:p>
    <w:p w:rsidR="00181C1A" w:rsidRPr="00EB5290" w:rsidRDefault="00181C1A" w:rsidP="00EB5290">
      <w:pPr>
        <w:rPr>
          <w:bCs/>
          <w:lang w:val="es-ES_tradnl"/>
        </w:rPr>
      </w:pPr>
      <w:r w:rsidRPr="00EB5290">
        <w:rPr>
          <w:bCs/>
          <w:lang w:val="es-ES_tradnl"/>
        </w:rPr>
        <w:t>9.6.1</w:t>
      </w:r>
      <w:r w:rsidRPr="00EB5290">
        <w:rPr>
          <w:bCs/>
          <w:lang w:val="es-ES_tradnl"/>
        </w:rPr>
        <w:tab/>
        <w:t>El Proyecto de la OMS sobre CEM propone normas de medición que describen cómo garantizar el cumplimiento de normas de exposición o emisión.</w:t>
      </w:r>
    </w:p>
    <w:p w:rsidR="00181C1A" w:rsidRPr="00EB5290" w:rsidRDefault="00181C1A" w:rsidP="00EB5290">
      <w:pPr>
        <w:rPr>
          <w:bCs/>
          <w:lang w:val="es-ES_tradnl"/>
        </w:rPr>
      </w:pPr>
      <w:r w:rsidRPr="00EB5290">
        <w:rPr>
          <w:bCs/>
          <w:lang w:val="es-ES_tradnl"/>
        </w:rPr>
        <w:t>9.6.2</w:t>
      </w:r>
      <w:r w:rsidRPr="00EB5290">
        <w:rPr>
          <w:bCs/>
          <w:lang w:val="es-ES_tradnl"/>
        </w:rPr>
        <w:tab/>
        <w:t xml:space="preserve">Las Directrices para la evaluación de la exposición de las personas en situaciones reales se basarán en las normas CEI/CENELEC. </w:t>
      </w:r>
    </w:p>
    <w:p w:rsidR="00181C1A" w:rsidRPr="00EB5290" w:rsidRDefault="00181C1A" w:rsidP="00EB5290">
      <w:pPr>
        <w:rPr>
          <w:bCs/>
          <w:u w:val="single"/>
          <w:lang w:val="es-ES_tradnl"/>
        </w:rPr>
      </w:pPr>
      <w:r w:rsidRPr="00EB5290">
        <w:rPr>
          <w:bCs/>
          <w:lang w:val="es-ES_tradnl"/>
        </w:rPr>
        <w:lastRenderedPageBreak/>
        <w:t>9.6.3</w:t>
      </w:r>
      <w:r w:rsidRPr="00EB5290">
        <w:rPr>
          <w:bCs/>
          <w:lang w:val="es-ES_tradnl"/>
        </w:rPr>
        <w:tab/>
        <w:t>Puede utilizarse como referencia la Recomendación (02)04 de la Comisión de Comunicaciones Electrónicas (ECC) de la Conferencia Europea de Administraciones de Correos y Telecomunicaciones (CEPT), revisada en 2003 en Bratislava y en 2007 en Helsinki, sobre medición de la radiación electromagnética no ionizante (9 kHz – 300 GHz).</w:t>
      </w:r>
    </w:p>
    <w:p w:rsidR="00181C1A" w:rsidRPr="00EB5290" w:rsidRDefault="00181C1A" w:rsidP="00EB5290">
      <w:pPr>
        <w:rPr>
          <w:bCs/>
          <w:lang w:val="es-ES_tradnl"/>
        </w:rPr>
      </w:pPr>
      <w:r w:rsidRPr="00EB5290">
        <w:rPr>
          <w:bCs/>
          <w:lang w:val="es-ES_tradnl"/>
        </w:rPr>
        <w:t>9.6.4</w:t>
      </w:r>
      <w:r w:rsidRPr="00EB5290">
        <w:rPr>
          <w:bCs/>
          <w:lang w:val="es-ES_tradnl"/>
        </w:rPr>
        <w:tab/>
        <w:t>En el Capítulo 5.6 del Manual de Gestión del Espectro de la UIT se recomienda efectuar las mediciones de las radiaciones no ionizantes (NIR) del siguiente modo:</w:t>
      </w:r>
    </w:p>
    <w:p w:rsidR="00181C1A" w:rsidRPr="00C7152A" w:rsidRDefault="00181C1A" w:rsidP="00EB5290">
      <w:pPr>
        <w:tabs>
          <w:tab w:val="left" w:pos="709"/>
        </w:tabs>
        <w:rPr>
          <w:bCs/>
          <w:lang w:val="es-ES_tradnl"/>
        </w:rPr>
      </w:pPr>
      <w:r w:rsidRPr="00EB5290">
        <w:rPr>
          <w:bCs/>
          <w:lang w:val="es-ES_tradnl"/>
        </w:rPr>
        <w:t>9.6.4.1</w:t>
      </w:r>
      <w:r w:rsidRPr="00EB5290">
        <w:rPr>
          <w:bCs/>
          <w:lang w:val="es-ES_tradnl"/>
        </w:rPr>
        <w:tab/>
        <w:t>asociándolas a la expedición de una licencia de radiocomunicaciones;</w:t>
      </w:r>
    </w:p>
    <w:p w:rsidR="00181C1A" w:rsidRPr="00C7152A" w:rsidRDefault="00181C1A" w:rsidP="00EB5290">
      <w:pPr>
        <w:tabs>
          <w:tab w:val="left" w:pos="709"/>
        </w:tabs>
        <w:rPr>
          <w:bCs/>
          <w:lang w:val="es-ES_tradnl"/>
        </w:rPr>
      </w:pPr>
      <w:r w:rsidRPr="00EB5290">
        <w:rPr>
          <w:bCs/>
          <w:lang w:val="es-ES_tradnl"/>
        </w:rPr>
        <w:t>9.6.4.2</w:t>
      </w:r>
      <w:r w:rsidRPr="00EB5290">
        <w:rPr>
          <w:bCs/>
          <w:lang w:val="es-ES_tradnl"/>
        </w:rPr>
        <w:tab/>
        <w:t>periódicamente, con arreglo a un plan de control y comprobación técnica de las NIR;</w:t>
      </w:r>
    </w:p>
    <w:p w:rsidR="00181C1A" w:rsidRPr="00C7152A" w:rsidRDefault="00181C1A" w:rsidP="00EB5290">
      <w:pPr>
        <w:tabs>
          <w:tab w:val="left" w:pos="709"/>
        </w:tabs>
        <w:rPr>
          <w:bCs/>
          <w:lang w:val="es-ES_tradnl"/>
        </w:rPr>
      </w:pPr>
      <w:r w:rsidRPr="00EB5290">
        <w:rPr>
          <w:bCs/>
          <w:lang w:val="es-ES_tradnl"/>
        </w:rPr>
        <w:t>9.6.4.3</w:t>
      </w:r>
      <w:r w:rsidRPr="00EB5290">
        <w:rPr>
          <w:bCs/>
          <w:lang w:val="es-ES_tradnl"/>
        </w:rPr>
        <w:tab/>
        <w:t>por razones de interés social, es decir porque exista una reclamación pública u oficial.</w:t>
      </w:r>
    </w:p>
    <w:p w:rsidR="00181C1A" w:rsidRPr="00EB5290" w:rsidRDefault="00181C1A" w:rsidP="00EB5290">
      <w:pPr>
        <w:rPr>
          <w:u w:val="single"/>
          <w:lang w:val="es-ES_tradnl"/>
        </w:rPr>
      </w:pPr>
      <w:r w:rsidRPr="00EB5290">
        <w:rPr>
          <w:iCs/>
          <w:lang w:val="es-ES_tradnl"/>
        </w:rPr>
        <w:t>9.6.5</w:t>
      </w:r>
      <w:r w:rsidRPr="00EB5290">
        <w:rPr>
          <w:iCs/>
          <w:lang w:val="es-ES_tradnl"/>
        </w:rPr>
        <w:tab/>
      </w:r>
      <w:r w:rsidRPr="00EB5290">
        <w:rPr>
          <w:lang w:val="es-ES_tradnl"/>
        </w:rPr>
        <w:t>En dicho Manual también se esbozan los procedimientos de medición y se explica cómo se selecciona el emplazamiento, cómo se colocan los instrumentos, qué precauciones adoptar, qué equipos utilizar, las incertidumbres y el formato de los informes.</w:t>
      </w:r>
    </w:p>
    <w:p w:rsidR="00181C1A" w:rsidRPr="00C84BA8" w:rsidRDefault="00181C1A" w:rsidP="00EB5290">
      <w:pPr>
        <w:pStyle w:val="Heading2"/>
        <w:rPr>
          <w:rFonts w:cs="Times New Roman"/>
          <w:lang w:val="es-ES_tradnl"/>
        </w:rPr>
      </w:pPr>
      <w:bookmarkStart w:id="73" w:name="_Toc329865976"/>
      <w:bookmarkStart w:id="74" w:name="_Toc370825020"/>
      <w:bookmarkStart w:id="75" w:name="_Toc377560472"/>
      <w:r w:rsidRPr="00C84BA8">
        <w:rPr>
          <w:rFonts w:cs="Times New Roman"/>
          <w:lang w:val="es-ES_tradnl"/>
        </w:rPr>
        <w:t>9.7</w:t>
      </w:r>
      <w:r w:rsidRPr="00C84BA8">
        <w:rPr>
          <w:rFonts w:cs="Times New Roman"/>
          <w:lang w:val="es-ES_tradnl"/>
        </w:rPr>
        <w:tab/>
      </w:r>
      <w:bookmarkEnd w:id="73"/>
      <w:r w:rsidRPr="00C84BA8">
        <w:rPr>
          <w:rFonts w:cs="Times New Roman"/>
          <w:lang w:val="es-ES_tradnl"/>
        </w:rPr>
        <w:tab/>
      </w:r>
      <w:r w:rsidRPr="00C84BA8">
        <w:rPr>
          <w:lang w:val="es-ES_tradnl"/>
        </w:rPr>
        <w:t>Publicación de mediciones por organismos reguladores</w:t>
      </w:r>
      <w:bookmarkEnd w:id="74"/>
      <w:bookmarkEnd w:id="75"/>
    </w:p>
    <w:p w:rsidR="00181C1A" w:rsidRPr="00EB5290" w:rsidRDefault="00181C1A" w:rsidP="00EB5290">
      <w:pPr>
        <w:rPr>
          <w:bCs/>
          <w:lang w:val="es-ES_tradnl"/>
        </w:rPr>
      </w:pPr>
      <w:r w:rsidRPr="00EB5290">
        <w:rPr>
          <w:bCs/>
          <w:lang w:val="es-ES_tradnl"/>
        </w:rPr>
        <w:t>9.7.1</w:t>
      </w:r>
      <w:r w:rsidRPr="00EB5290">
        <w:rPr>
          <w:bCs/>
          <w:lang w:val="es-ES_tradnl"/>
        </w:rPr>
        <w:tab/>
        <w:t>El organismo regulador deberá publicar las mediciones que le hayan entregado los operadores y que habrá verificado periódicamente, una vez finalizado el plazo de entrega de informes. Este plazo lo fijará el organismo regulador.</w:t>
      </w:r>
    </w:p>
    <w:p w:rsidR="00181C1A" w:rsidRPr="00EB5290" w:rsidRDefault="00181C1A" w:rsidP="00EB5290">
      <w:pPr>
        <w:rPr>
          <w:bCs/>
          <w:lang w:val="es-ES_tradnl"/>
        </w:rPr>
      </w:pPr>
      <w:r w:rsidRPr="00EB5290">
        <w:rPr>
          <w:bCs/>
          <w:lang w:val="es-ES_tradnl"/>
        </w:rPr>
        <w:t>9.7.2</w:t>
      </w:r>
      <w:r w:rsidRPr="00EB5290">
        <w:rPr>
          <w:bCs/>
          <w:lang w:val="es-ES_tradnl"/>
        </w:rPr>
        <w:tab/>
        <w:t>En el anuncio publicado se especificará el método de evaluación, el plazo de entrega de informes y los límites de exposición preceptivos.</w:t>
      </w:r>
    </w:p>
    <w:p w:rsidR="00181C1A" w:rsidRPr="00EB5290" w:rsidRDefault="00181C1A" w:rsidP="00EB5290">
      <w:pPr>
        <w:rPr>
          <w:bCs/>
          <w:lang w:val="es-ES_tradnl"/>
        </w:rPr>
      </w:pPr>
      <w:r w:rsidRPr="00EB5290">
        <w:rPr>
          <w:bCs/>
          <w:lang w:val="es-ES_tradnl"/>
        </w:rPr>
        <w:t>9.7.3</w:t>
      </w:r>
      <w:r w:rsidRPr="00EB5290">
        <w:rPr>
          <w:bCs/>
          <w:lang w:val="es-ES_tradnl"/>
        </w:rPr>
        <w:tab/>
        <w:t>Los parámetros publicados se clasificarán en alguna de las categorías de equipos de la siguiente lista no exhaustiva:</w:t>
      </w:r>
    </w:p>
    <w:p w:rsidR="00181C1A" w:rsidRPr="00EB5290" w:rsidRDefault="00181C1A" w:rsidP="00FD027D">
      <w:pPr>
        <w:pStyle w:val="Enumlevel1"/>
        <w:numPr>
          <w:ilvl w:val="0"/>
          <w:numId w:val="13"/>
        </w:numPr>
        <w:ind w:left="567" w:hanging="567"/>
        <w:rPr>
          <w:lang w:val="es-ES_tradnl"/>
        </w:rPr>
      </w:pPr>
      <w:r w:rsidRPr="00EB5290">
        <w:rPr>
          <w:lang w:val="es-ES_tradnl"/>
        </w:rPr>
        <w:t>estaciones de base celulares y de radiodifusión;</w:t>
      </w:r>
    </w:p>
    <w:p w:rsidR="00181C1A" w:rsidRPr="00EB5290" w:rsidRDefault="00181C1A" w:rsidP="00FD027D">
      <w:pPr>
        <w:pStyle w:val="Enumlevel1"/>
        <w:numPr>
          <w:ilvl w:val="0"/>
          <w:numId w:val="13"/>
        </w:numPr>
        <w:ind w:left="567" w:hanging="567"/>
        <w:rPr>
          <w:lang w:val="es-ES_tradnl"/>
        </w:rPr>
      </w:pPr>
      <w:r w:rsidRPr="00EB5290">
        <w:rPr>
          <w:lang w:val="es-ES_tradnl"/>
        </w:rPr>
        <w:t>estaciones de radioaficionado;</w:t>
      </w:r>
    </w:p>
    <w:p w:rsidR="00181C1A" w:rsidRPr="00EB5290" w:rsidRDefault="00181C1A" w:rsidP="00FD027D">
      <w:pPr>
        <w:pStyle w:val="Enumlevel1"/>
        <w:numPr>
          <w:ilvl w:val="0"/>
          <w:numId w:val="13"/>
        </w:numPr>
        <w:ind w:left="567" w:hanging="567"/>
        <w:rPr>
          <w:lang w:val="es-ES_tradnl"/>
        </w:rPr>
      </w:pPr>
      <w:r w:rsidRPr="00EB5290">
        <w:rPr>
          <w:lang w:val="es-ES_tradnl"/>
        </w:rPr>
        <w:t>terminales de mano (verificando únicamente las especificaciones técnicas del proveedor, ya que la medición de la SAR de estos dispositivos es difícil de realizar y puede que no sea necesaria en todos los países).</w:t>
      </w:r>
    </w:p>
    <w:p w:rsidR="00181C1A" w:rsidRPr="00EB5290" w:rsidRDefault="00181C1A" w:rsidP="00EB5290">
      <w:pPr>
        <w:rPr>
          <w:bCs/>
          <w:lang w:val="es-ES_tradnl"/>
        </w:rPr>
      </w:pPr>
      <w:r w:rsidRPr="00EB5290">
        <w:rPr>
          <w:bCs/>
          <w:lang w:val="es-ES_tradnl"/>
        </w:rPr>
        <w:t>9.7.4</w:t>
      </w:r>
      <w:r w:rsidRPr="00EB5290">
        <w:rPr>
          <w:bCs/>
          <w:lang w:val="es-ES_tradnl"/>
        </w:rPr>
        <w:tab/>
        <w:t>Es importante que los informes elaborados sean accesibles al público. Pueden publicarse en los medios de comunicación que existan en el país.</w:t>
      </w:r>
    </w:p>
    <w:p w:rsidR="00181C1A" w:rsidRPr="00C84BA8" w:rsidRDefault="00181C1A" w:rsidP="00EB5290">
      <w:pPr>
        <w:pStyle w:val="Heading2"/>
        <w:rPr>
          <w:rFonts w:cs="Times New Roman"/>
          <w:lang w:val="es-ES_tradnl"/>
        </w:rPr>
      </w:pPr>
      <w:bookmarkStart w:id="76" w:name="_Toc329865977"/>
      <w:bookmarkStart w:id="77" w:name="_Toc370825021"/>
      <w:bookmarkStart w:id="78" w:name="_Toc377560473"/>
      <w:r w:rsidRPr="00C84BA8">
        <w:rPr>
          <w:rFonts w:cs="Times New Roman"/>
          <w:lang w:val="es-ES_tradnl"/>
        </w:rPr>
        <w:t>9.8</w:t>
      </w:r>
      <w:r w:rsidRPr="00C84BA8">
        <w:rPr>
          <w:rFonts w:cs="Times New Roman"/>
          <w:lang w:val="es-ES_tradnl"/>
        </w:rPr>
        <w:tab/>
      </w:r>
      <w:bookmarkEnd w:id="76"/>
      <w:r w:rsidRPr="00C84BA8">
        <w:rPr>
          <w:rFonts w:cs="Times New Roman"/>
          <w:lang w:val="es-ES_tradnl"/>
        </w:rPr>
        <w:t>Contenido y formato de la publicación</w:t>
      </w:r>
      <w:bookmarkEnd w:id="77"/>
      <w:bookmarkEnd w:id="78"/>
    </w:p>
    <w:p w:rsidR="00181C1A" w:rsidRPr="00EB5290" w:rsidRDefault="00181C1A" w:rsidP="00EB5290">
      <w:pPr>
        <w:rPr>
          <w:bCs/>
          <w:lang w:val="es-ES_tradnl"/>
        </w:rPr>
      </w:pPr>
      <w:r w:rsidRPr="00EB5290">
        <w:rPr>
          <w:bCs/>
          <w:lang w:val="es-ES_tradnl"/>
        </w:rPr>
        <w:t>9.8.1</w:t>
      </w:r>
      <w:r w:rsidRPr="00EB5290">
        <w:rPr>
          <w:bCs/>
          <w:lang w:val="es-ES_tradnl"/>
        </w:rPr>
        <w:tab/>
        <w:t>Se prevé que un informe completo de evaluación contenga la información siguiente:</w:t>
      </w:r>
    </w:p>
    <w:p w:rsidR="00181C1A" w:rsidRPr="00EB5290" w:rsidRDefault="00181C1A" w:rsidP="00FD027D">
      <w:pPr>
        <w:pStyle w:val="Enumlevel1"/>
        <w:numPr>
          <w:ilvl w:val="0"/>
          <w:numId w:val="13"/>
        </w:numPr>
        <w:ind w:left="567" w:hanging="567"/>
        <w:rPr>
          <w:lang w:val="es-ES_tradnl"/>
        </w:rPr>
      </w:pPr>
      <w:r w:rsidRPr="00EB5290">
        <w:rPr>
          <w:lang w:val="es-ES_tradnl"/>
        </w:rPr>
        <w:t>resultados de la medición;</w:t>
      </w:r>
    </w:p>
    <w:p w:rsidR="00181C1A" w:rsidRPr="00EB5290" w:rsidRDefault="00181C1A" w:rsidP="00FD027D">
      <w:pPr>
        <w:pStyle w:val="Enumlevel1"/>
        <w:numPr>
          <w:ilvl w:val="0"/>
          <w:numId w:val="13"/>
        </w:numPr>
        <w:ind w:left="567" w:hanging="567"/>
        <w:rPr>
          <w:lang w:val="es-ES_tradnl"/>
        </w:rPr>
      </w:pPr>
      <w:r w:rsidRPr="00EB5290">
        <w:rPr>
          <w:lang w:val="es-ES_tradnl"/>
        </w:rPr>
        <w:t>finalidad y objetivo de las mediciones;</w:t>
      </w:r>
    </w:p>
    <w:p w:rsidR="00181C1A" w:rsidRPr="00EB5290" w:rsidRDefault="00181C1A" w:rsidP="00FD027D">
      <w:pPr>
        <w:pStyle w:val="Enumlevel1"/>
        <w:numPr>
          <w:ilvl w:val="0"/>
          <w:numId w:val="13"/>
        </w:numPr>
        <w:ind w:left="567" w:hanging="567"/>
        <w:rPr>
          <w:lang w:val="es-ES_tradnl"/>
        </w:rPr>
      </w:pPr>
      <w:r w:rsidRPr="00EB5290">
        <w:rPr>
          <w:lang w:val="es-ES_tradnl"/>
        </w:rPr>
        <w:t>fecha y hora de comienzo y de finalización;</w:t>
      </w:r>
    </w:p>
    <w:p w:rsidR="00181C1A" w:rsidRPr="00EB5290" w:rsidRDefault="00181C1A" w:rsidP="00FD027D">
      <w:pPr>
        <w:pStyle w:val="Enumlevel1"/>
        <w:numPr>
          <w:ilvl w:val="0"/>
          <w:numId w:val="13"/>
        </w:numPr>
        <w:ind w:left="567" w:hanging="567"/>
        <w:rPr>
          <w:lang w:val="es-ES_tradnl"/>
        </w:rPr>
      </w:pPr>
      <w:r w:rsidRPr="00EB5290">
        <w:rPr>
          <w:lang w:val="es-ES_tradnl"/>
        </w:rPr>
        <w:t>coordenadas geográficas, altura sobre el terreno y características peculiares de los emplazamientos objeto de evaluación;</w:t>
      </w:r>
    </w:p>
    <w:p w:rsidR="00181C1A" w:rsidRPr="00EB5290" w:rsidRDefault="00181C1A" w:rsidP="00FD027D">
      <w:pPr>
        <w:pStyle w:val="Enumlevel1"/>
        <w:numPr>
          <w:ilvl w:val="0"/>
          <w:numId w:val="13"/>
        </w:numPr>
        <w:ind w:left="567" w:hanging="567"/>
        <w:rPr>
          <w:lang w:val="es-ES_tradnl"/>
        </w:rPr>
      </w:pPr>
      <w:r w:rsidRPr="00EB5290">
        <w:rPr>
          <w:lang w:val="es-ES_tradnl"/>
        </w:rPr>
        <w:t>relación de los transmisores identificados;</w:t>
      </w:r>
    </w:p>
    <w:p w:rsidR="00181C1A" w:rsidRPr="00EB5290" w:rsidRDefault="00181C1A" w:rsidP="00FD027D">
      <w:pPr>
        <w:pStyle w:val="Enumlevel1"/>
        <w:numPr>
          <w:ilvl w:val="0"/>
          <w:numId w:val="13"/>
        </w:numPr>
        <w:ind w:left="567" w:hanging="567"/>
        <w:rPr>
          <w:lang w:val="es-ES_tradnl"/>
        </w:rPr>
      </w:pPr>
      <w:r w:rsidRPr="00EB5290">
        <w:rPr>
          <w:lang w:val="es-ES_tradnl"/>
        </w:rPr>
        <w:t>equipos utilizados con sus números de serie;</w:t>
      </w:r>
    </w:p>
    <w:p w:rsidR="00181C1A" w:rsidRPr="00EB5290" w:rsidRDefault="00181C1A" w:rsidP="00FD027D">
      <w:pPr>
        <w:pStyle w:val="Enumlevel1"/>
        <w:numPr>
          <w:ilvl w:val="0"/>
          <w:numId w:val="13"/>
        </w:numPr>
        <w:ind w:left="567" w:hanging="567"/>
        <w:rPr>
          <w:lang w:val="es-ES_tradnl"/>
        </w:rPr>
      </w:pPr>
      <w:r w:rsidRPr="00EB5290">
        <w:rPr>
          <w:lang w:val="es-ES_tradnl"/>
        </w:rPr>
        <w:t>incertidumbre de las evaluaciones.</w:t>
      </w:r>
    </w:p>
    <w:p w:rsidR="00181C1A" w:rsidRPr="00C7152A" w:rsidRDefault="00181C1A" w:rsidP="00EB5290">
      <w:pPr>
        <w:rPr>
          <w:lang w:val="es-ES_tradnl"/>
        </w:rPr>
      </w:pPr>
      <w:r w:rsidRPr="00EB5290">
        <w:rPr>
          <w:bCs/>
          <w:lang w:val="es-ES_tradnl"/>
        </w:rPr>
        <w:t>9.8.2</w:t>
      </w:r>
      <w:r w:rsidRPr="00EB5290">
        <w:rPr>
          <w:bCs/>
          <w:lang w:val="es-ES_tradnl"/>
        </w:rPr>
        <w:tab/>
        <w:t>Las cantidades medidas y calculadas tienen que compararse. Si los valores medidos o calculados</w:t>
      </w:r>
      <w:r w:rsidRPr="00C7152A">
        <w:rPr>
          <w:lang w:val="es-ES_tradnl"/>
        </w:rPr>
        <w:t xml:space="preserve"> son mayores que los límites mínimos fijados por la ICNIRP, se hará constar en el informe y se adoptarán las disposiciones aplicables de conformidad con el reglamento en vigor.</w:t>
      </w:r>
    </w:p>
    <w:p w:rsidR="00181C1A" w:rsidRPr="00EB5290" w:rsidRDefault="00181C1A" w:rsidP="00EB5290">
      <w:pPr>
        <w:rPr>
          <w:bCs/>
          <w:lang w:val="es-ES_tradnl"/>
        </w:rPr>
      </w:pPr>
      <w:r w:rsidRPr="00EB5290">
        <w:rPr>
          <w:bCs/>
          <w:lang w:val="es-ES_tradnl"/>
        </w:rPr>
        <w:lastRenderedPageBreak/>
        <w:t>9.8.3</w:t>
      </w:r>
      <w:r w:rsidRPr="00EB5290">
        <w:rPr>
          <w:bCs/>
          <w:lang w:val="es-ES_tradnl"/>
        </w:rPr>
        <w:tab/>
        <w:t>Además, para que el informe resulte más inteligible, conviene representar gráficamente los resultados por medio de mapas, diagramas y fotos, en los que se presentarán, en su caso, los resultados de las mediciones realizadas en los emplazamientos de interés así como la posición relativa de los principales transmisores y emplazamientos de interés común tales como escuelas, hospitales y hogares.</w:t>
      </w:r>
    </w:p>
    <w:p w:rsidR="00181C1A" w:rsidRPr="00C84BA8" w:rsidRDefault="00181C1A" w:rsidP="00EB5290">
      <w:pPr>
        <w:pStyle w:val="Heading2"/>
        <w:rPr>
          <w:rFonts w:cs="Times New Roman"/>
          <w:lang w:val="es-ES_tradnl"/>
        </w:rPr>
      </w:pPr>
      <w:bookmarkStart w:id="79" w:name="_Toc329865978"/>
      <w:bookmarkStart w:id="80" w:name="_Toc370825022"/>
      <w:bookmarkStart w:id="81" w:name="_Toc377560474"/>
      <w:r w:rsidRPr="00C84BA8">
        <w:rPr>
          <w:rFonts w:cs="Times New Roman"/>
          <w:lang w:val="es-ES_tradnl"/>
        </w:rPr>
        <w:t>9.9</w:t>
      </w:r>
      <w:r w:rsidRPr="00C84BA8">
        <w:rPr>
          <w:rFonts w:cs="Times New Roman"/>
          <w:lang w:val="es-ES_tradnl"/>
        </w:rPr>
        <w:tab/>
      </w:r>
      <w:bookmarkEnd w:id="79"/>
      <w:r w:rsidRPr="00C84BA8">
        <w:rPr>
          <w:rFonts w:cs="Times New Roman"/>
          <w:lang w:val="es-ES_tradnl"/>
        </w:rPr>
        <w:tab/>
      </w:r>
      <w:r w:rsidRPr="00C84BA8">
        <w:rPr>
          <w:lang w:val="es-ES_tradnl"/>
        </w:rPr>
        <w:t>Inspección e investigaciones</w:t>
      </w:r>
      <w:bookmarkEnd w:id="80"/>
      <w:bookmarkEnd w:id="81"/>
    </w:p>
    <w:p w:rsidR="00181C1A" w:rsidRPr="00EB5290" w:rsidRDefault="00181C1A" w:rsidP="00EB5290">
      <w:pPr>
        <w:rPr>
          <w:bCs/>
          <w:u w:val="single"/>
          <w:lang w:val="es-ES_tradnl"/>
        </w:rPr>
      </w:pPr>
      <w:r w:rsidRPr="00EB5290">
        <w:rPr>
          <w:bCs/>
          <w:lang w:val="es-ES_tradnl"/>
        </w:rPr>
        <w:t>9.9.1</w:t>
      </w:r>
      <w:r w:rsidRPr="00EB5290">
        <w:rPr>
          <w:bCs/>
          <w:lang w:val="es-ES_tradnl"/>
        </w:rPr>
        <w:tab/>
        <w:t>El organismo regulador inspeccionará o investigará los asuntos relativos a las mediciones presentadas por los operadores para verificar la conformidad. Se impondrá al organismo regulador el mandato de verificar la conformidad con las normas sobre exposición a los CEM mediante la realización de cálculos y mediciones en el lugar de trabajo y en otras zonas. La conformidad de los dispositivos con las normas de emisión suele certificarla el fabricante.</w:t>
      </w:r>
    </w:p>
    <w:p w:rsidR="00181C1A" w:rsidRPr="00EB5290" w:rsidRDefault="00181C1A" w:rsidP="00EB5290">
      <w:pPr>
        <w:rPr>
          <w:bCs/>
          <w:lang w:val="es-ES_tradnl"/>
        </w:rPr>
      </w:pPr>
      <w:r w:rsidRPr="00EB5290">
        <w:rPr>
          <w:bCs/>
          <w:lang w:val="es-ES_tradnl"/>
        </w:rPr>
        <w:t>9.9.2</w:t>
      </w:r>
      <w:r w:rsidRPr="00EB5290">
        <w:rPr>
          <w:bCs/>
          <w:lang w:val="es-ES_tradnl"/>
        </w:rPr>
        <w:tab/>
        <w:t>No se permitirá el funcionamiento de los equipos que no se ajusten a las normas requeridas.</w:t>
      </w:r>
    </w:p>
    <w:p w:rsidR="00181C1A" w:rsidRPr="00EB5290" w:rsidRDefault="00181C1A" w:rsidP="00EB5290">
      <w:pPr>
        <w:rPr>
          <w:bCs/>
          <w:lang w:val="es-ES_tradnl"/>
        </w:rPr>
      </w:pPr>
      <w:r w:rsidRPr="00EB5290">
        <w:rPr>
          <w:bCs/>
          <w:lang w:val="es-ES_tradnl"/>
        </w:rPr>
        <w:t>9.9.3</w:t>
      </w:r>
      <w:r w:rsidRPr="00EB5290">
        <w:rPr>
          <w:bCs/>
          <w:lang w:val="es-ES_tradnl"/>
        </w:rPr>
        <w:tab/>
        <w:t>Se destruirán y prohibirán en el país los equipos de los operadores que falseen sus mediciones.</w:t>
      </w:r>
    </w:p>
    <w:p w:rsidR="00181C1A" w:rsidRPr="00EB5290" w:rsidRDefault="00181C1A" w:rsidP="00EB5290">
      <w:pPr>
        <w:rPr>
          <w:bCs/>
          <w:lang w:val="es-ES_tradnl"/>
        </w:rPr>
      </w:pPr>
      <w:r w:rsidRPr="00EB5290">
        <w:rPr>
          <w:bCs/>
          <w:lang w:val="es-ES_tradnl"/>
        </w:rPr>
        <w:t>9.9.4</w:t>
      </w:r>
      <w:r w:rsidRPr="00EB5290">
        <w:rPr>
          <w:bCs/>
          <w:lang w:val="es-ES_tradnl"/>
        </w:rPr>
        <w:tab/>
        <w:t>La aplicación del reglamento sobre los niveles máximos de NIR emitidos por dispositivos de telecomunicaciones corresponde a la autoridad competente en materia de gestión del espectro, aprovechando sus conocimientos técnicos especializados en dicho campo.</w:t>
      </w:r>
    </w:p>
    <w:p w:rsidR="00181C1A" w:rsidRPr="00C84BA8" w:rsidRDefault="00181C1A" w:rsidP="00EB5290">
      <w:pPr>
        <w:pStyle w:val="Heading2"/>
        <w:rPr>
          <w:rFonts w:cs="Times New Roman"/>
          <w:lang w:val="es-ES_tradnl"/>
        </w:rPr>
      </w:pPr>
      <w:bookmarkStart w:id="82" w:name="_Toc329865979"/>
      <w:bookmarkStart w:id="83" w:name="_Toc370825023"/>
      <w:bookmarkStart w:id="84" w:name="_Toc377560475"/>
      <w:r w:rsidRPr="00C84BA8">
        <w:rPr>
          <w:rFonts w:cs="Times New Roman"/>
          <w:lang w:val="es-ES_tradnl"/>
        </w:rPr>
        <w:t>9.10</w:t>
      </w:r>
      <w:r w:rsidRPr="00C84BA8">
        <w:rPr>
          <w:rFonts w:cs="Times New Roman"/>
          <w:lang w:val="es-ES_tradnl"/>
        </w:rPr>
        <w:tab/>
      </w:r>
      <w:bookmarkEnd w:id="82"/>
      <w:r w:rsidRPr="00C84BA8">
        <w:rPr>
          <w:rFonts w:cs="Times New Roman"/>
          <w:lang w:val="es-ES_tradnl"/>
        </w:rPr>
        <w:tab/>
        <w:t>Modificación de las Directrices</w:t>
      </w:r>
      <w:bookmarkEnd w:id="83"/>
      <w:bookmarkEnd w:id="84"/>
    </w:p>
    <w:p w:rsidR="00181C1A" w:rsidRPr="00EB5290" w:rsidRDefault="00181C1A" w:rsidP="00EB5290">
      <w:pPr>
        <w:rPr>
          <w:bCs/>
          <w:lang w:val="es-ES_tradnl"/>
        </w:rPr>
      </w:pPr>
      <w:r w:rsidRPr="00EB5290">
        <w:rPr>
          <w:bCs/>
          <w:lang w:val="es-ES_tradnl"/>
        </w:rPr>
        <w:t>9.10.1</w:t>
      </w:r>
      <w:r w:rsidRPr="00EB5290">
        <w:rPr>
          <w:bCs/>
          <w:lang w:val="es-ES_tradnl"/>
        </w:rPr>
        <w:tab/>
        <w:t>Estas Directrices podrán modificarse teniendo en cuenta los principios fundamentales establecidos en las mismas.</w:t>
      </w:r>
    </w:p>
    <w:p w:rsidR="00181C1A" w:rsidRPr="00EB5290" w:rsidRDefault="00181C1A" w:rsidP="00EB5290">
      <w:pPr>
        <w:rPr>
          <w:bCs/>
          <w:lang w:val="es-ES_tradnl"/>
        </w:rPr>
      </w:pPr>
      <w:r w:rsidRPr="00EB5290">
        <w:rPr>
          <w:bCs/>
          <w:lang w:val="es-ES_tradnl"/>
        </w:rPr>
        <w:t>9.10.2</w:t>
      </w:r>
      <w:r w:rsidRPr="00EB5290">
        <w:rPr>
          <w:bCs/>
          <w:lang w:val="es-ES_tradnl"/>
        </w:rPr>
        <w:tab/>
        <w:t>También podrán efectuarse modificaciones si la ICNIRP fija nuevos objetivos.</w:t>
      </w:r>
    </w:p>
    <w:p w:rsidR="00181C1A" w:rsidRPr="00EB5290" w:rsidRDefault="00181C1A" w:rsidP="00EB5290">
      <w:pPr>
        <w:rPr>
          <w:bCs/>
          <w:lang w:val="es-ES_tradnl"/>
        </w:rPr>
      </w:pPr>
      <w:r w:rsidRPr="00EB5290">
        <w:rPr>
          <w:bCs/>
          <w:lang w:val="es-ES_tradnl"/>
        </w:rPr>
        <w:t>9.10.3</w:t>
      </w:r>
      <w:r w:rsidRPr="00EB5290">
        <w:rPr>
          <w:bCs/>
          <w:lang w:val="es-ES_tradnl"/>
        </w:rPr>
        <w:tab/>
        <w:t>Deben celebrarse consultas con todos los interesados y especialmente con el público en general.</w:t>
      </w:r>
    </w:p>
    <w:p w:rsidR="00181C1A" w:rsidRPr="00EB5290" w:rsidRDefault="00181C1A" w:rsidP="00EB5290">
      <w:pPr>
        <w:rPr>
          <w:bCs/>
          <w:lang w:val="es-ES_tradnl"/>
        </w:rPr>
      </w:pPr>
      <w:r w:rsidRPr="00EB5290">
        <w:rPr>
          <w:bCs/>
          <w:lang w:val="es-ES_tradnl"/>
        </w:rPr>
        <w:t>9.10.4</w:t>
      </w:r>
      <w:r w:rsidRPr="00EB5290">
        <w:rPr>
          <w:bCs/>
          <w:lang w:val="es-ES_tradnl"/>
        </w:rPr>
        <w:tab/>
        <w:t>La aplicación de las Directrices modificadas se efectuará una vez transcurrido el plazo de notificación de las modificaciones, con arreglo a las normas del país de que se trate.</w:t>
      </w:r>
    </w:p>
    <w:p w:rsidR="00181C1A" w:rsidRPr="00EB5290" w:rsidRDefault="00181C1A" w:rsidP="00EB5290">
      <w:pPr>
        <w:rPr>
          <w:bCs/>
          <w:lang w:val="es-ES_tradnl"/>
        </w:rPr>
      </w:pPr>
      <w:bookmarkStart w:id="85" w:name="_Toc329865980"/>
      <w:bookmarkStart w:id="86" w:name="_Toc370825024"/>
      <w:r w:rsidRPr="00EB5290">
        <w:rPr>
          <w:bCs/>
          <w:lang w:val="es-ES_tradnl"/>
        </w:rPr>
        <w:t>9.10.5</w:t>
      </w:r>
      <w:r w:rsidRPr="00EB5290">
        <w:rPr>
          <w:bCs/>
          <w:lang w:val="es-ES_tradnl"/>
        </w:rPr>
        <w:tab/>
      </w:r>
      <w:bookmarkEnd w:id="85"/>
      <w:r w:rsidRPr="00EB5290">
        <w:rPr>
          <w:bCs/>
          <w:lang w:val="es-ES_tradnl"/>
        </w:rPr>
        <w:t>Revisión de las Directrices. Esta revisión abarcará lo siguiente:</w:t>
      </w:r>
      <w:bookmarkEnd w:id="86"/>
    </w:p>
    <w:p w:rsidR="00181C1A" w:rsidRPr="00EB5290" w:rsidRDefault="00181C1A" w:rsidP="00FD027D">
      <w:pPr>
        <w:pStyle w:val="Enumlevel1"/>
        <w:numPr>
          <w:ilvl w:val="0"/>
          <w:numId w:val="13"/>
        </w:numPr>
        <w:ind w:left="567" w:hanging="567"/>
        <w:rPr>
          <w:lang w:val="es-ES_tradnl"/>
        </w:rPr>
      </w:pPr>
      <w:r w:rsidRPr="00EB5290">
        <w:rPr>
          <w:lang w:val="es-ES_tradnl"/>
        </w:rPr>
        <w:t>objetivos fijados;</w:t>
      </w:r>
    </w:p>
    <w:p w:rsidR="00181C1A" w:rsidRPr="00EB5290" w:rsidRDefault="00181C1A" w:rsidP="00FD027D">
      <w:pPr>
        <w:pStyle w:val="Enumlevel1"/>
        <w:numPr>
          <w:ilvl w:val="0"/>
          <w:numId w:val="13"/>
        </w:numPr>
        <w:ind w:left="567" w:hanging="567"/>
        <w:rPr>
          <w:lang w:val="es-ES_tradnl"/>
        </w:rPr>
      </w:pPr>
      <w:r w:rsidRPr="00EB5290">
        <w:rPr>
          <w:lang w:val="es-ES_tradnl"/>
        </w:rPr>
        <w:t>equipos de medición;</w:t>
      </w:r>
    </w:p>
    <w:p w:rsidR="00181C1A" w:rsidRPr="00EB5290" w:rsidRDefault="00181C1A" w:rsidP="00FD027D">
      <w:pPr>
        <w:pStyle w:val="Enumlevel1"/>
        <w:numPr>
          <w:ilvl w:val="0"/>
          <w:numId w:val="13"/>
        </w:numPr>
        <w:ind w:left="567" w:hanging="567"/>
        <w:rPr>
          <w:lang w:val="es-ES_tradnl"/>
        </w:rPr>
      </w:pPr>
      <w:r w:rsidRPr="00EB5290">
        <w:rPr>
          <w:lang w:val="es-ES_tradnl"/>
        </w:rPr>
        <w:t>publicación;</w:t>
      </w:r>
    </w:p>
    <w:p w:rsidR="00181C1A" w:rsidRPr="00EB5290" w:rsidRDefault="00181C1A" w:rsidP="00FD027D">
      <w:pPr>
        <w:pStyle w:val="Enumlevel1"/>
        <w:numPr>
          <w:ilvl w:val="0"/>
          <w:numId w:val="13"/>
        </w:numPr>
        <w:ind w:left="567" w:hanging="567"/>
        <w:rPr>
          <w:lang w:val="es-ES_tradnl"/>
        </w:rPr>
      </w:pPr>
      <w:r w:rsidRPr="00EB5290">
        <w:rPr>
          <w:lang w:val="es-ES_tradnl"/>
        </w:rPr>
        <w:t>equipos objeto de medición;</w:t>
      </w:r>
    </w:p>
    <w:p w:rsidR="00181C1A" w:rsidRPr="00EB5290" w:rsidRDefault="00181C1A" w:rsidP="00FD027D">
      <w:pPr>
        <w:pStyle w:val="Enumlevel1"/>
        <w:numPr>
          <w:ilvl w:val="0"/>
          <w:numId w:val="13"/>
        </w:numPr>
        <w:ind w:left="567" w:hanging="567"/>
        <w:rPr>
          <w:lang w:val="es-ES_tradnl"/>
        </w:rPr>
      </w:pPr>
      <w:r w:rsidRPr="00EB5290">
        <w:rPr>
          <w:lang w:val="es-ES_tradnl"/>
        </w:rPr>
        <w:t>método de medición.</w:t>
      </w:r>
    </w:p>
    <w:p w:rsidR="00EB5290" w:rsidRDefault="00EB5290" w:rsidP="0028348F">
      <w:pPr>
        <w:rPr>
          <w:szCs w:val="19"/>
          <w:lang w:val="es-ES_tradnl"/>
        </w:rPr>
        <w:sectPr w:rsidR="00EB5290" w:rsidSect="00C84BA8">
          <w:endnotePr>
            <w:numFmt w:val="decimal"/>
          </w:endnotePr>
          <w:type w:val="oddPage"/>
          <w:pgSz w:w="11907" w:h="16840" w:code="9"/>
          <w:pgMar w:top="1418" w:right="1418" w:bottom="1418" w:left="1418" w:header="709" w:footer="709" w:gutter="0"/>
          <w:pgNumType w:start="1"/>
          <w:cols w:space="708"/>
          <w:docGrid w:linePitch="360"/>
        </w:sectPr>
      </w:pPr>
    </w:p>
    <w:p w:rsidR="00FB683F" w:rsidRPr="002314BE" w:rsidRDefault="00FB683F" w:rsidP="00FB683F">
      <w:pPr>
        <w:pStyle w:val="Heading1"/>
      </w:pPr>
      <w:r w:rsidRPr="002314BE">
        <w:lastRenderedPageBreak/>
        <w:t>I.</w:t>
      </w:r>
      <w:r w:rsidRPr="002314BE">
        <w:tab/>
        <w:t>Annexes</w:t>
      </w:r>
    </w:p>
    <w:p w:rsidR="00FB683F" w:rsidRPr="00CB013A" w:rsidRDefault="00FB683F" w:rsidP="00FB683F">
      <w:pPr>
        <w:pStyle w:val="HeadingB"/>
        <w:rPr>
          <w:lang w:val="en-US"/>
        </w:rPr>
      </w:pPr>
      <w:r w:rsidRPr="00CB013A">
        <w:rPr>
          <w:lang w:val="en-US"/>
        </w:rPr>
        <w:t xml:space="preserve">Annex 1: </w:t>
      </w:r>
      <w:r>
        <w:rPr>
          <w:lang w:val="en-US"/>
        </w:rPr>
        <w:tab/>
      </w:r>
      <w:r w:rsidRPr="00CB013A">
        <w:rPr>
          <w:lang w:val="en-US"/>
        </w:rPr>
        <w:t>RF Exposure Units and Standards</w:t>
      </w:r>
    </w:p>
    <w:p w:rsidR="00FB683F" w:rsidRPr="00CB013A" w:rsidRDefault="00FB683F" w:rsidP="00FB683F">
      <w:pPr>
        <w:pStyle w:val="HeadingB"/>
        <w:rPr>
          <w:lang w:val="en-US"/>
        </w:rPr>
      </w:pPr>
      <w:r w:rsidRPr="00CB013A">
        <w:rPr>
          <w:lang w:val="en-US"/>
        </w:rPr>
        <w:t xml:space="preserve">Annex 2: </w:t>
      </w:r>
      <w:r>
        <w:rPr>
          <w:lang w:val="en-US"/>
        </w:rPr>
        <w:tab/>
      </w:r>
      <w:r w:rsidRPr="00CB013A">
        <w:rPr>
          <w:lang w:val="en-US"/>
        </w:rPr>
        <w:t>ICNIRP 1998 Exposure Levels and IEEE Levels</w:t>
      </w:r>
    </w:p>
    <w:p w:rsidR="00FB683F" w:rsidRPr="00CB013A" w:rsidRDefault="00FB683F" w:rsidP="00FB683F">
      <w:pPr>
        <w:pStyle w:val="HeadingB"/>
        <w:rPr>
          <w:lang w:val="en-US"/>
        </w:rPr>
      </w:pPr>
      <w:r w:rsidRPr="00CB013A">
        <w:rPr>
          <w:lang w:val="en-US"/>
        </w:rPr>
        <w:t xml:space="preserve">Annex 3: </w:t>
      </w:r>
      <w:r>
        <w:rPr>
          <w:lang w:val="en-US"/>
        </w:rPr>
        <w:tab/>
      </w:r>
      <w:r w:rsidRPr="00CB013A">
        <w:rPr>
          <w:lang w:val="en-US"/>
        </w:rPr>
        <w:t>Mandate of Question 23/1 (WTDC-10/139 (Rev.1))</w:t>
      </w:r>
    </w:p>
    <w:p w:rsidR="00FB683F" w:rsidRPr="00CB013A" w:rsidRDefault="00FB683F" w:rsidP="00FB683F">
      <w:pPr>
        <w:pStyle w:val="HeadingB"/>
        <w:ind w:left="1134" w:hanging="1134"/>
        <w:rPr>
          <w:lang w:val="en-US"/>
        </w:rPr>
      </w:pPr>
      <w:r w:rsidRPr="00CB013A">
        <w:rPr>
          <w:lang w:val="en-US"/>
        </w:rPr>
        <w:t xml:space="preserve">Annex 4: </w:t>
      </w:r>
      <w:r>
        <w:rPr>
          <w:lang w:val="en-US"/>
        </w:rPr>
        <w:tab/>
      </w:r>
      <w:r w:rsidRPr="00CB013A">
        <w:rPr>
          <w:lang w:val="en-US"/>
        </w:rPr>
        <w:t>WTSA-12 Resolution 72 on “Measurement concerns related to human exposure to electromagnetic fields”'</w:t>
      </w:r>
    </w:p>
    <w:p w:rsidR="00FB683F" w:rsidRPr="00CB013A" w:rsidRDefault="00FB683F" w:rsidP="00FB683F">
      <w:pPr>
        <w:pStyle w:val="HeadingB"/>
        <w:ind w:left="1134" w:hanging="1134"/>
        <w:rPr>
          <w:lang w:val="en-US"/>
        </w:rPr>
      </w:pPr>
      <w:r w:rsidRPr="00CB013A">
        <w:rPr>
          <w:lang w:val="en-US"/>
        </w:rPr>
        <w:t xml:space="preserve">Annex 5: </w:t>
      </w:r>
      <w:r>
        <w:rPr>
          <w:lang w:val="en-US"/>
        </w:rPr>
        <w:tab/>
      </w:r>
      <w:r w:rsidRPr="00CB013A">
        <w:rPr>
          <w:lang w:val="en-US"/>
        </w:rPr>
        <w:t>WTDC-10 Resolution 62 on "Measurement concerns related to human exposure to EMF".</w:t>
      </w:r>
    </w:p>
    <w:p w:rsidR="00FB683F" w:rsidRPr="00CB013A" w:rsidRDefault="00FB683F" w:rsidP="00FB683F">
      <w:pPr>
        <w:pStyle w:val="HeadingB"/>
        <w:ind w:left="1134" w:hanging="1134"/>
        <w:rPr>
          <w:lang w:val="en-US"/>
        </w:rPr>
      </w:pPr>
      <w:r w:rsidRPr="00CB013A">
        <w:rPr>
          <w:lang w:val="en-US"/>
        </w:rPr>
        <w:t xml:space="preserve">Annex 6: </w:t>
      </w:r>
      <w:r>
        <w:rPr>
          <w:lang w:val="en-US"/>
        </w:rPr>
        <w:tab/>
      </w:r>
      <w:r w:rsidRPr="00CB013A">
        <w:rPr>
          <w:lang w:val="en-US"/>
        </w:rPr>
        <w:t>Plenipotentiary Conference (PP-10) Resolution 176 on "Human exposure to and measurement of electromagnetic fields"</w:t>
      </w:r>
    </w:p>
    <w:p w:rsidR="00FB683F" w:rsidRPr="00CB013A" w:rsidRDefault="00FB683F" w:rsidP="00FB683F">
      <w:pPr>
        <w:pStyle w:val="HeadingB"/>
        <w:rPr>
          <w:lang w:val="en-US"/>
        </w:rPr>
      </w:pPr>
      <w:r w:rsidRPr="00CB013A">
        <w:rPr>
          <w:lang w:val="en-US"/>
        </w:rPr>
        <w:t xml:space="preserve">Annex 7: </w:t>
      </w:r>
      <w:r>
        <w:rPr>
          <w:lang w:val="en-US"/>
        </w:rPr>
        <w:tab/>
      </w:r>
      <w:r w:rsidRPr="00CB013A">
        <w:rPr>
          <w:lang w:val="en-US"/>
        </w:rPr>
        <w:t>ITU Project in Central America Document</w:t>
      </w:r>
    </w:p>
    <w:p w:rsidR="00FB683F" w:rsidRPr="00CB013A" w:rsidRDefault="00FB683F" w:rsidP="00FB683F">
      <w:pPr>
        <w:pStyle w:val="HeadingB"/>
        <w:rPr>
          <w:lang w:val="en-US"/>
        </w:rPr>
      </w:pPr>
      <w:r w:rsidRPr="00CB013A">
        <w:rPr>
          <w:lang w:val="en-US"/>
        </w:rPr>
        <w:t xml:space="preserve">Annex 8: </w:t>
      </w:r>
      <w:r>
        <w:rPr>
          <w:lang w:val="en-US"/>
        </w:rPr>
        <w:tab/>
      </w:r>
      <w:r w:rsidRPr="00CB013A">
        <w:rPr>
          <w:lang w:val="en-US"/>
        </w:rPr>
        <w:t>Q23/1 Workplan</w:t>
      </w:r>
    </w:p>
    <w:p w:rsidR="00FB683F" w:rsidRPr="00CB013A" w:rsidRDefault="00FB683F" w:rsidP="00FB683F">
      <w:pPr>
        <w:pStyle w:val="HeadingB"/>
        <w:rPr>
          <w:lang w:val="en-US"/>
        </w:rPr>
      </w:pPr>
      <w:r w:rsidRPr="00CB013A">
        <w:rPr>
          <w:lang w:val="en-US"/>
        </w:rPr>
        <w:t xml:space="preserve">Annex 9: </w:t>
      </w:r>
      <w:r>
        <w:rPr>
          <w:lang w:val="en-US"/>
        </w:rPr>
        <w:tab/>
      </w:r>
      <w:r w:rsidRPr="00CB013A">
        <w:rPr>
          <w:lang w:val="en-US"/>
        </w:rPr>
        <w:t>Documents for Q23/1</w:t>
      </w:r>
    </w:p>
    <w:p w:rsidR="00FB683F" w:rsidRPr="00CB013A" w:rsidRDefault="00FB683F" w:rsidP="00FB683F">
      <w:pPr>
        <w:pStyle w:val="HeadingB"/>
        <w:rPr>
          <w:lang w:val="en-US"/>
        </w:rPr>
      </w:pPr>
      <w:r w:rsidRPr="00CB013A">
        <w:rPr>
          <w:lang w:val="en-US"/>
        </w:rPr>
        <w:t xml:space="preserve">Annex 10: </w:t>
      </w:r>
      <w:r>
        <w:rPr>
          <w:lang w:val="en-US"/>
        </w:rPr>
        <w:tab/>
      </w:r>
      <w:r w:rsidRPr="00CB013A">
        <w:rPr>
          <w:lang w:val="en-US"/>
        </w:rPr>
        <w:t>A Case Study from India on EMF</w:t>
      </w:r>
    </w:p>
    <w:p w:rsidR="00FB683F" w:rsidRPr="00CB013A" w:rsidRDefault="00FB683F" w:rsidP="00FB683F">
      <w:pPr>
        <w:pStyle w:val="Heading1"/>
      </w:pPr>
      <w:r w:rsidRPr="00CB013A">
        <w:t>II.</w:t>
      </w:r>
      <w:r w:rsidRPr="00CB013A">
        <w:tab/>
        <w:t>List of Contributions</w:t>
      </w:r>
    </w:p>
    <w:p w:rsidR="00FB683F" w:rsidRPr="002314BE" w:rsidRDefault="00FB683F" w:rsidP="00FB683F">
      <w:pPr>
        <w:pStyle w:val="Heading1"/>
      </w:pPr>
      <w:r w:rsidRPr="00CB013A">
        <w:t>III.</w:t>
      </w:r>
      <w:r w:rsidRPr="00CB013A">
        <w:tab/>
        <w:t>References</w:t>
      </w:r>
    </w:p>
    <w:p w:rsidR="00181C1A" w:rsidRPr="00FB683F" w:rsidRDefault="00181C1A" w:rsidP="0028348F">
      <w:pPr>
        <w:rPr>
          <w:szCs w:val="19"/>
          <w:lang w:val="en-US"/>
        </w:rPr>
      </w:pPr>
    </w:p>
    <w:p w:rsidR="00FE76B1" w:rsidRPr="00FB683F" w:rsidRDefault="00FE76B1" w:rsidP="00133CDA">
      <w:pPr>
        <w:rPr>
          <w:lang w:val="en-US"/>
        </w:rPr>
        <w:sectPr w:rsidR="00FE76B1" w:rsidRPr="00FB683F" w:rsidSect="00EB5290">
          <w:headerReference w:type="default" r:id="rId25"/>
          <w:footerReference w:type="default" r:id="rId26"/>
          <w:endnotePr>
            <w:numFmt w:val="decimal"/>
          </w:endnotePr>
          <w:type w:val="oddPage"/>
          <w:pgSz w:w="11907" w:h="16840" w:code="9"/>
          <w:pgMar w:top="1418" w:right="1418" w:bottom="1418" w:left="1418" w:header="709" w:footer="709" w:gutter="0"/>
          <w:pgNumType w:start="1"/>
          <w:cols w:space="708"/>
          <w:docGrid w:linePitch="360"/>
        </w:sectPr>
      </w:pPr>
    </w:p>
    <w:p w:rsidR="00FD027D" w:rsidRPr="00637721" w:rsidRDefault="00FD027D" w:rsidP="00FD027D">
      <w:pPr>
        <w:pStyle w:val="Heading1"/>
        <w:spacing w:before="0"/>
      </w:pPr>
      <w:bookmarkStart w:id="87" w:name="_Toc377560479"/>
      <w:r w:rsidRPr="00637721">
        <w:lastRenderedPageBreak/>
        <w:t xml:space="preserve">Annex 1: </w:t>
      </w:r>
      <w:r>
        <w:tab/>
      </w:r>
      <w:r w:rsidRPr="00637721">
        <w:t xml:space="preserve">RF Exposure Units </w:t>
      </w:r>
      <w:r w:rsidRPr="00C15B34">
        <w:t>and</w:t>
      </w:r>
      <w:r w:rsidRPr="00637721">
        <w:t xml:space="preserve"> Standards</w:t>
      </w:r>
      <w:bookmarkEnd w:id="87"/>
    </w:p>
    <w:p w:rsidR="00FD027D" w:rsidRPr="00580425" w:rsidRDefault="00FD027D" w:rsidP="00FD027D">
      <w:pPr>
        <w:pStyle w:val="Normalaftertitle0"/>
        <w:rPr>
          <w:rFonts w:ascii="Calibri" w:eastAsia="SimSun" w:hAnsi="Calibri"/>
          <w:sz w:val="21"/>
          <w:szCs w:val="22"/>
          <w:lang w:val="en-US" w:eastAsia="fr-FR"/>
        </w:rPr>
      </w:pPr>
      <w:r w:rsidRPr="00580425">
        <w:rPr>
          <w:rFonts w:eastAsia="SimSun"/>
          <w:szCs w:val="22"/>
          <w:vertAlign w:val="superscript"/>
          <w:lang w:eastAsia="fr-FR"/>
        </w:rPr>
        <w:footnoteReference w:customMarkFollows="1" w:id="21"/>
        <w:t>1</w:t>
      </w:r>
      <w:r w:rsidRPr="00580425">
        <w:rPr>
          <w:rFonts w:ascii="Calibri" w:eastAsia="SimSun" w:hAnsi="Calibri"/>
          <w:sz w:val="21"/>
          <w:szCs w:val="22"/>
          <w:lang w:val="en-US" w:eastAsia="fr-FR"/>
        </w:rPr>
        <w:t>Table 1 lists the reference units of the physical quantities used in this report.</w:t>
      </w:r>
    </w:p>
    <w:p w:rsidR="00FD027D" w:rsidRPr="00C20DC1" w:rsidRDefault="00FD027D" w:rsidP="00FD027D">
      <w:pPr>
        <w:rPr>
          <w:lang w:val="en-GB" w:eastAsia="en-US"/>
        </w:rPr>
      </w:pPr>
    </w:p>
    <w:p w:rsidR="00FD027D" w:rsidRPr="00214D1D" w:rsidRDefault="00FD027D" w:rsidP="00FD027D">
      <w:pPr>
        <w:pStyle w:val="Tabletitle"/>
        <w:rPr>
          <w:lang w:eastAsia="zh-CN"/>
        </w:rPr>
      </w:pPr>
      <w:bookmarkStart w:id="88" w:name="_Toc148460119"/>
      <w:bookmarkStart w:id="89" w:name="_Toc199908850"/>
      <w:r w:rsidRPr="00214D1D">
        <w:rPr>
          <w:lang w:eastAsia="zh-CN"/>
        </w:rPr>
        <w:t>Table 1: Physical quantities and units</w:t>
      </w:r>
      <w:bookmarkEnd w:id="88"/>
      <w:bookmarkEnd w:id="89"/>
    </w:p>
    <w:tbl>
      <w:tblPr>
        <w:tblStyle w:val="Style1"/>
        <w:tblW w:w="4804" w:type="pct"/>
        <w:jc w:val="center"/>
        <w:tblLook w:val="0020" w:firstRow="1" w:lastRow="0" w:firstColumn="0" w:lastColumn="0" w:noHBand="0" w:noVBand="0"/>
      </w:tblPr>
      <w:tblGrid>
        <w:gridCol w:w="3773"/>
        <w:gridCol w:w="1049"/>
        <w:gridCol w:w="2452"/>
        <w:gridCol w:w="1649"/>
      </w:tblGrid>
      <w:tr w:rsidR="00FD027D" w:rsidRPr="008D153A" w:rsidTr="000C5108">
        <w:trPr>
          <w:cnfStyle w:val="100000000000" w:firstRow="1" w:lastRow="0" w:firstColumn="0" w:lastColumn="0" w:oddVBand="0" w:evenVBand="0" w:oddHBand="0" w:evenHBand="0" w:firstRowFirstColumn="0" w:firstRowLastColumn="0" w:lastRowFirstColumn="0" w:lastRowLastColumn="0"/>
          <w:trHeight w:val="385"/>
          <w:jc w:val="center"/>
        </w:trPr>
        <w:tc>
          <w:tcPr>
            <w:tcW w:w="2114" w:type="pct"/>
          </w:tcPr>
          <w:p w:rsidR="00FD027D" w:rsidRPr="008D153A" w:rsidRDefault="00FD027D" w:rsidP="000C5108">
            <w:pPr>
              <w:pStyle w:val="Tablehead"/>
              <w:rPr>
                <w:lang w:eastAsia="en-GB"/>
              </w:rPr>
            </w:pPr>
            <w:r w:rsidRPr="008D153A">
              <w:rPr>
                <w:lang w:eastAsia="en-GB"/>
              </w:rPr>
              <w:t>Quantity</w:t>
            </w:r>
          </w:p>
        </w:tc>
        <w:tc>
          <w:tcPr>
            <w:tcW w:w="588" w:type="pct"/>
          </w:tcPr>
          <w:p w:rsidR="00FD027D" w:rsidRPr="008D153A" w:rsidRDefault="00FD027D" w:rsidP="000C5108">
            <w:pPr>
              <w:pStyle w:val="Tablehead"/>
              <w:rPr>
                <w:lang w:eastAsia="en-GB"/>
              </w:rPr>
            </w:pPr>
            <w:r w:rsidRPr="008D153A">
              <w:rPr>
                <w:lang w:eastAsia="en-GB"/>
              </w:rPr>
              <w:t>Symbol</w:t>
            </w:r>
          </w:p>
        </w:tc>
        <w:tc>
          <w:tcPr>
            <w:tcW w:w="1374" w:type="pct"/>
          </w:tcPr>
          <w:p w:rsidR="00FD027D" w:rsidRPr="008D153A" w:rsidRDefault="00FD027D" w:rsidP="000C5108">
            <w:pPr>
              <w:pStyle w:val="Tablehead"/>
              <w:rPr>
                <w:lang w:eastAsia="en-GB"/>
              </w:rPr>
            </w:pPr>
            <w:r w:rsidRPr="008D153A">
              <w:rPr>
                <w:lang w:eastAsia="en-GB"/>
              </w:rPr>
              <w:t>Unit</w:t>
            </w:r>
          </w:p>
        </w:tc>
        <w:tc>
          <w:tcPr>
            <w:tcW w:w="924" w:type="pct"/>
          </w:tcPr>
          <w:p w:rsidR="00FD027D" w:rsidRPr="008D153A" w:rsidRDefault="00FD027D" w:rsidP="000C5108">
            <w:pPr>
              <w:pStyle w:val="Tablehead"/>
              <w:rPr>
                <w:lang w:eastAsia="en-GB"/>
              </w:rPr>
            </w:pPr>
            <w:r w:rsidRPr="008D153A">
              <w:rPr>
                <w:lang w:eastAsia="en-GB"/>
              </w:rPr>
              <w:t>Symbol</w:t>
            </w:r>
          </w:p>
        </w:tc>
      </w:tr>
      <w:tr w:rsidR="00FD027D" w:rsidRPr="00D572A5" w:rsidTr="000C5108">
        <w:trPr>
          <w:cnfStyle w:val="000000100000" w:firstRow="0" w:lastRow="0" w:firstColumn="0" w:lastColumn="0" w:oddVBand="0" w:evenVBand="0" w:oddHBand="1" w:evenHBand="0" w:firstRowFirstColumn="0" w:firstRowLastColumn="0" w:lastRowFirstColumn="0" w:lastRowLastColumn="0"/>
          <w:trHeight w:val="20"/>
          <w:jc w:val="center"/>
        </w:trPr>
        <w:tc>
          <w:tcPr>
            <w:tcW w:w="2114" w:type="pct"/>
          </w:tcPr>
          <w:p w:rsidR="00FD027D" w:rsidRPr="00D572A5" w:rsidRDefault="00FD027D" w:rsidP="000C5108">
            <w:pPr>
              <w:pStyle w:val="Tabletext"/>
              <w:rPr>
                <w:lang w:eastAsia="en-GB"/>
              </w:rPr>
            </w:pPr>
            <w:r w:rsidRPr="00D572A5">
              <w:rPr>
                <w:lang w:eastAsia="en-GB"/>
              </w:rPr>
              <w:t>Frequency</w:t>
            </w:r>
          </w:p>
        </w:tc>
        <w:tc>
          <w:tcPr>
            <w:tcW w:w="588" w:type="pct"/>
          </w:tcPr>
          <w:p w:rsidR="00FD027D" w:rsidRPr="00D572A5" w:rsidRDefault="00FD027D" w:rsidP="000C5108">
            <w:pPr>
              <w:pStyle w:val="Tabletext"/>
              <w:rPr>
                <w:lang w:eastAsia="en-GB"/>
              </w:rPr>
            </w:pPr>
            <w:r w:rsidRPr="00D572A5">
              <w:rPr>
                <w:lang w:eastAsia="en-GB"/>
              </w:rPr>
              <w:t>f</w:t>
            </w:r>
          </w:p>
        </w:tc>
        <w:tc>
          <w:tcPr>
            <w:tcW w:w="1374" w:type="pct"/>
          </w:tcPr>
          <w:p w:rsidR="00FD027D" w:rsidRPr="00D572A5" w:rsidRDefault="00FD027D" w:rsidP="000C5108">
            <w:pPr>
              <w:pStyle w:val="Tabletext"/>
              <w:rPr>
                <w:lang w:eastAsia="en-GB"/>
              </w:rPr>
            </w:pPr>
            <w:r w:rsidRPr="00D572A5">
              <w:rPr>
                <w:lang w:eastAsia="en-GB"/>
              </w:rPr>
              <w:t>Hertz</w:t>
            </w:r>
          </w:p>
        </w:tc>
        <w:tc>
          <w:tcPr>
            <w:tcW w:w="924" w:type="pct"/>
          </w:tcPr>
          <w:p w:rsidR="00FD027D" w:rsidRPr="00D572A5" w:rsidRDefault="00FD027D" w:rsidP="000C5108">
            <w:pPr>
              <w:pStyle w:val="Tabletext"/>
              <w:rPr>
                <w:lang w:eastAsia="en-GB"/>
              </w:rPr>
            </w:pPr>
            <w:r w:rsidRPr="00D572A5">
              <w:rPr>
                <w:lang w:eastAsia="en-GB"/>
              </w:rPr>
              <w:t>Hz</w:t>
            </w:r>
          </w:p>
        </w:tc>
      </w:tr>
      <w:tr w:rsidR="00FD027D" w:rsidRPr="00D572A5" w:rsidTr="000C5108">
        <w:trPr>
          <w:cnfStyle w:val="000000010000" w:firstRow="0" w:lastRow="0" w:firstColumn="0" w:lastColumn="0" w:oddVBand="0" w:evenVBand="0" w:oddHBand="0" w:evenHBand="1" w:firstRowFirstColumn="0" w:firstRowLastColumn="0" w:lastRowFirstColumn="0" w:lastRowLastColumn="0"/>
          <w:trHeight w:val="20"/>
          <w:jc w:val="center"/>
        </w:trPr>
        <w:tc>
          <w:tcPr>
            <w:tcW w:w="2114" w:type="pct"/>
          </w:tcPr>
          <w:p w:rsidR="00FD027D" w:rsidRPr="00D572A5" w:rsidRDefault="00FD027D" w:rsidP="000C5108">
            <w:pPr>
              <w:pStyle w:val="Tabletext"/>
              <w:rPr>
                <w:lang w:eastAsia="en-GB"/>
              </w:rPr>
            </w:pPr>
            <w:r w:rsidRPr="00D572A5">
              <w:rPr>
                <w:lang w:eastAsia="en-GB"/>
              </w:rPr>
              <w:t>Electric field strength</w:t>
            </w:r>
          </w:p>
        </w:tc>
        <w:tc>
          <w:tcPr>
            <w:tcW w:w="588" w:type="pct"/>
          </w:tcPr>
          <w:p w:rsidR="00FD027D" w:rsidRPr="00D572A5" w:rsidRDefault="00FD027D" w:rsidP="000C5108">
            <w:pPr>
              <w:pStyle w:val="Tabletext"/>
              <w:rPr>
                <w:lang w:eastAsia="en-GB"/>
              </w:rPr>
            </w:pPr>
            <w:r w:rsidRPr="00D572A5">
              <w:rPr>
                <w:lang w:eastAsia="en-GB"/>
              </w:rPr>
              <w:t>E</w:t>
            </w:r>
          </w:p>
        </w:tc>
        <w:tc>
          <w:tcPr>
            <w:tcW w:w="1374" w:type="pct"/>
          </w:tcPr>
          <w:p w:rsidR="00FD027D" w:rsidRPr="00D572A5" w:rsidRDefault="00FD027D" w:rsidP="000C5108">
            <w:pPr>
              <w:pStyle w:val="Tabletext"/>
              <w:rPr>
                <w:lang w:eastAsia="en-GB"/>
              </w:rPr>
            </w:pPr>
            <w:r w:rsidRPr="00D572A5">
              <w:rPr>
                <w:lang w:eastAsia="en-GB"/>
              </w:rPr>
              <w:t>Volt per metre</w:t>
            </w:r>
          </w:p>
        </w:tc>
        <w:tc>
          <w:tcPr>
            <w:tcW w:w="924" w:type="pct"/>
          </w:tcPr>
          <w:p w:rsidR="00FD027D" w:rsidRPr="00D572A5" w:rsidRDefault="00FD027D" w:rsidP="000C5108">
            <w:pPr>
              <w:pStyle w:val="Tabletext"/>
              <w:rPr>
                <w:lang w:eastAsia="en-GB"/>
              </w:rPr>
            </w:pPr>
            <w:r w:rsidRPr="00D572A5">
              <w:rPr>
                <w:lang w:eastAsia="en-GB"/>
              </w:rPr>
              <w:t>V/m</w:t>
            </w:r>
          </w:p>
        </w:tc>
      </w:tr>
      <w:tr w:rsidR="00FD027D" w:rsidRPr="00D572A5" w:rsidTr="000C5108">
        <w:trPr>
          <w:cnfStyle w:val="000000100000" w:firstRow="0" w:lastRow="0" w:firstColumn="0" w:lastColumn="0" w:oddVBand="0" w:evenVBand="0" w:oddHBand="1" w:evenHBand="0" w:firstRowFirstColumn="0" w:firstRowLastColumn="0" w:lastRowFirstColumn="0" w:lastRowLastColumn="0"/>
          <w:trHeight w:val="20"/>
          <w:jc w:val="center"/>
        </w:trPr>
        <w:tc>
          <w:tcPr>
            <w:tcW w:w="2114" w:type="pct"/>
          </w:tcPr>
          <w:p w:rsidR="00FD027D" w:rsidRPr="00D572A5" w:rsidRDefault="00FD027D" w:rsidP="000C5108">
            <w:pPr>
              <w:pStyle w:val="Tabletext"/>
              <w:rPr>
                <w:lang w:eastAsia="en-GB"/>
              </w:rPr>
            </w:pPr>
            <w:r w:rsidRPr="00D572A5">
              <w:rPr>
                <w:lang w:eastAsia="en-GB"/>
              </w:rPr>
              <w:t>Power</w:t>
            </w:r>
          </w:p>
        </w:tc>
        <w:tc>
          <w:tcPr>
            <w:tcW w:w="588" w:type="pct"/>
          </w:tcPr>
          <w:p w:rsidR="00FD027D" w:rsidRPr="00D572A5" w:rsidRDefault="00FD027D" w:rsidP="000C5108">
            <w:pPr>
              <w:pStyle w:val="Tabletext"/>
              <w:rPr>
                <w:lang w:eastAsia="en-GB"/>
              </w:rPr>
            </w:pPr>
            <w:r w:rsidRPr="00D572A5">
              <w:rPr>
                <w:lang w:eastAsia="en-GB"/>
              </w:rPr>
              <w:t>P</w:t>
            </w:r>
          </w:p>
        </w:tc>
        <w:tc>
          <w:tcPr>
            <w:tcW w:w="1374" w:type="pct"/>
          </w:tcPr>
          <w:p w:rsidR="00FD027D" w:rsidRPr="00D572A5" w:rsidRDefault="00FD027D" w:rsidP="000C5108">
            <w:pPr>
              <w:pStyle w:val="Tabletext"/>
              <w:rPr>
                <w:lang w:eastAsia="en-GB"/>
              </w:rPr>
            </w:pPr>
            <w:r w:rsidRPr="00D572A5">
              <w:rPr>
                <w:lang w:eastAsia="en-GB"/>
              </w:rPr>
              <w:t>Watts</w:t>
            </w:r>
          </w:p>
        </w:tc>
        <w:tc>
          <w:tcPr>
            <w:tcW w:w="924" w:type="pct"/>
          </w:tcPr>
          <w:p w:rsidR="00FD027D" w:rsidRPr="00D572A5" w:rsidRDefault="00FD027D" w:rsidP="000C5108">
            <w:pPr>
              <w:pStyle w:val="Tabletext"/>
              <w:rPr>
                <w:lang w:eastAsia="en-GB"/>
              </w:rPr>
            </w:pPr>
            <w:r w:rsidRPr="00D572A5">
              <w:rPr>
                <w:lang w:eastAsia="en-GB"/>
              </w:rPr>
              <w:t>W</w:t>
            </w:r>
          </w:p>
        </w:tc>
      </w:tr>
      <w:tr w:rsidR="00FD027D" w:rsidRPr="00D572A5" w:rsidTr="000C5108">
        <w:trPr>
          <w:cnfStyle w:val="000000010000" w:firstRow="0" w:lastRow="0" w:firstColumn="0" w:lastColumn="0" w:oddVBand="0" w:evenVBand="0" w:oddHBand="0" w:evenHBand="1" w:firstRowFirstColumn="0" w:firstRowLastColumn="0" w:lastRowFirstColumn="0" w:lastRowLastColumn="0"/>
          <w:trHeight w:val="20"/>
          <w:jc w:val="center"/>
        </w:trPr>
        <w:tc>
          <w:tcPr>
            <w:tcW w:w="2114" w:type="pct"/>
          </w:tcPr>
          <w:p w:rsidR="00FD027D" w:rsidRPr="00D572A5" w:rsidRDefault="00FD027D" w:rsidP="000C5108">
            <w:pPr>
              <w:pStyle w:val="Tabletext"/>
              <w:rPr>
                <w:lang w:eastAsia="en-GB"/>
              </w:rPr>
            </w:pPr>
            <w:r w:rsidRPr="00D572A5">
              <w:rPr>
                <w:lang w:eastAsia="en-GB"/>
              </w:rPr>
              <w:t xml:space="preserve">Specific Absorption Rate </w:t>
            </w:r>
          </w:p>
        </w:tc>
        <w:tc>
          <w:tcPr>
            <w:tcW w:w="588" w:type="pct"/>
          </w:tcPr>
          <w:p w:rsidR="00FD027D" w:rsidRPr="00D572A5" w:rsidRDefault="00FD027D" w:rsidP="000C5108">
            <w:pPr>
              <w:pStyle w:val="Tabletext"/>
              <w:rPr>
                <w:lang w:eastAsia="en-GB"/>
              </w:rPr>
            </w:pPr>
            <w:r w:rsidRPr="00D572A5">
              <w:rPr>
                <w:lang w:eastAsia="en-GB"/>
              </w:rPr>
              <w:t>SAR</w:t>
            </w:r>
          </w:p>
        </w:tc>
        <w:tc>
          <w:tcPr>
            <w:tcW w:w="1374" w:type="pct"/>
          </w:tcPr>
          <w:p w:rsidR="00FD027D" w:rsidRPr="007A19CC" w:rsidRDefault="00FD027D" w:rsidP="000C5108">
            <w:pPr>
              <w:pStyle w:val="Tabletext"/>
              <w:rPr>
                <w:lang w:val="en-US" w:eastAsia="en-GB"/>
              </w:rPr>
            </w:pPr>
            <w:r w:rsidRPr="007A19CC">
              <w:rPr>
                <w:lang w:val="en-US" w:eastAsia="en-GB"/>
              </w:rPr>
              <w:t>Watt per kilogram or milliWatt per gram</w:t>
            </w:r>
          </w:p>
        </w:tc>
        <w:tc>
          <w:tcPr>
            <w:tcW w:w="924" w:type="pct"/>
          </w:tcPr>
          <w:p w:rsidR="00FD027D" w:rsidRPr="00D572A5" w:rsidRDefault="00FD027D" w:rsidP="000C5108">
            <w:pPr>
              <w:pStyle w:val="Tabletext"/>
              <w:rPr>
                <w:lang w:eastAsia="en-GB"/>
              </w:rPr>
            </w:pPr>
            <w:r w:rsidRPr="00D572A5">
              <w:rPr>
                <w:lang w:eastAsia="en-GB"/>
              </w:rPr>
              <w:t>W/kg or mW/g</w:t>
            </w:r>
          </w:p>
        </w:tc>
      </w:tr>
      <w:tr w:rsidR="00FD027D" w:rsidRPr="00D572A5" w:rsidTr="000C5108">
        <w:trPr>
          <w:cnfStyle w:val="000000100000" w:firstRow="0" w:lastRow="0" w:firstColumn="0" w:lastColumn="0" w:oddVBand="0" w:evenVBand="0" w:oddHBand="1" w:evenHBand="0" w:firstRowFirstColumn="0" w:firstRowLastColumn="0" w:lastRowFirstColumn="0" w:lastRowLastColumn="0"/>
          <w:trHeight w:val="20"/>
          <w:jc w:val="center"/>
        </w:trPr>
        <w:tc>
          <w:tcPr>
            <w:tcW w:w="2114" w:type="pct"/>
            <w:vMerge w:val="restart"/>
          </w:tcPr>
          <w:p w:rsidR="00FD027D" w:rsidRPr="007A19CC" w:rsidRDefault="00FD027D" w:rsidP="000C5108">
            <w:pPr>
              <w:pStyle w:val="Tabletext"/>
              <w:rPr>
                <w:lang w:val="en-US" w:eastAsia="en-GB"/>
              </w:rPr>
            </w:pPr>
            <w:r w:rsidRPr="007A19CC">
              <w:rPr>
                <w:lang w:val="en-US" w:eastAsia="en-GB"/>
              </w:rPr>
              <w:t xml:space="preserve">Power density or power flux density </w:t>
            </w:r>
          </w:p>
        </w:tc>
        <w:tc>
          <w:tcPr>
            <w:tcW w:w="588" w:type="pct"/>
            <w:vMerge w:val="restart"/>
          </w:tcPr>
          <w:p w:rsidR="00FD027D" w:rsidRPr="00D572A5" w:rsidRDefault="00FD027D" w:rsidP="000C5108">
            <w:pPr>
              <w:pStyle w:val="Tabletext"/>
              <w:rPr>
                <w:lang w:eastAsia="en-GB"/>
              </w:rPr>
            </w:pPr>
            <w:r w:rsidRPr="00D572A5">
              <w:rPr>
                <w:lang w:eastAsia="en-GB"/>
              </w:rPr>
              <w:t>S</w:t>
            </w:r>
          </w:p>
        </w:tc>
        <w:tc>
          <w:tcPr>
            <w:tcW w:w="1374" w:type="pct"/>
          </w:tcPr>
          <w:p w:rsidR="00FD027D" w:rsidRPr="00D572A5" w:rsidRDefault="00FD027D" w:rsidP="000C5108">
            <w:pPr>
              <w:pStyle w:val="Tabletext"/>
              <w:rPr>
                <w:lang w:eastAsia="en-GB"/>
              </w:rPr>
            </w:pPr>
            <w:r w:rsidRPr="00D572A5">
              <w:rPr>
                <w:lang w:eastAsia="en-GB"/>
              </w:rPr>
              <w:t>Watt per square metre</w:t>
            </w:r>
          </w:p>
        </w:tc>
        <w:tc>
          <w:tcPr>
            <w:tcW w:w="924" w:type="pct"/>
          </w:tcPr>
          <w:p w:rsidR="00FD027D" w:rsidRPr="00D572A5" w:rsidRDefault="00FD027D" w:rsidP="000C5108">
            <w:pPr>
              <w:pStyle w:val="Tabletext"/>
              <w:rPr>
                <w:lang w:eastAsia="en-GB"/>
              </w:rPr>
            </w:pPr>
            <w:r w:rsidRPr="00D572A5">
              <w:rPr>
                <w:lang w:eastAsia="en-GB"/>
              </w:rPr>
              <w:t>W/m²</w:t>
            </w:r>
          </w:p>
        </w:tc>
      </w:tr>
      <w:tr w:rsidR="00FD027D" w:rsidRPr="00D572A5" w:rsidTr="000C5108">
        <w:trPr>
          <w:cnfStyle w:val="000000010000" w:firstRow="0" w:lastRow="0" w:firstColumn="0" w:lastColumn="0" w:oddVBand="0" w:evenVBand="0" w:oddHBand="0" w:evenHBand="1" w:firstRowFirstColumn="0" w:firstRowLastColumn="0" w:lastRowFirstColumn="0" w:lastRowLastColumn="0"/>
          <w:trHeight w:val="20"/>
          <w:jc w:val="center"/>
        </w:trPr>
        <w:tc>
          <w:tcPr>
            <w:tcW w:w="2114" w:type="pct"/>
            <w:vMerge/>
          </w:tcPr>
          <w:p w:rsidR="00FD027D" w:rsidRPr="00D572A5" w:rsidRDefault="00FD027D" w:rsidP="000C5108">
            <w:pPr>
              <w:pStyle w:val="BodyText"/>
              <w:rPr>
                <w:rFonts w:ascii="Verdana" w:hAnsi="Verdana"/>
                <w:sz w:val="19"/>
                <w:szCs w:val="19"/>
                <w:lang w:eastAsia="en-GB"/>
              </w:rPr>
            </w:pPr>
          </w:p>
        </w:tc>
        <w:tc>
          <w:tcPr>
            <w:tcW w:w="588" w:type="pct"/>
            <w:vMerge/>
          </w:tcPr>
          <w:p w:rsidR="00FD027D" w:rsidRPr="00D572A5" w:rsidRDefault="00FD027D" w:rsidP="000C5108">
            <w:pPr>
              <w:pStyle w:val="BodyText"/>
              <w:rPr>
                <w:rFonts w:ascii="Verdana" w:hAnsi="Verdana"/>
                <w:sz w:val="19"/>
                <w:szCs w:val="19"/>
                <w:lang w:eastAsia="en-GB"/>
              </w:rPr>
            </w:pPr>
          </w:p>
        </w:tc>
        <w:tc>
          <w:tcPr>
            <w:tcW w:w="1374" w:type="pct"/>
          </w:tcPr>
          <w:p w:rsidR="00FD027D" w:rsidRPr="00D572A5" w:rsidRDefault="00FD027D" w:rsidP="000C5108">
            <w:pPr>
              <w:pStyle w:val="Tabletext"/>
              <w:rPr>
                <w:lang w:eastAsia="en-GB"/>
              </w:rPr>
            </w:pPr>
            <w:r w:rsidRPr="00D572A5">
              <w:rPr>
                <w:lang w:eastAsia="en-GB"/>
              </w:rPr>
              <w:t>mWatt per square cm</w:t>
            </w:r>
          </w:p>
        </w:tc>
        <w:tc>
          <w:tcPr>
            <w:tcW w:w="924" w:type="pct"/>
          </w:tcPr>
          <w:p w:rsidR="00FD027D" w:rsidRPr="00D572A5" w:rsidRDefault="00FD027D" w:rsidP="000C5108">
            <w:pPr>
              <w:pStyle w:val="Tabletext"/>
              <w:rPr>
                <w:lang w:eastAsia="en-GB"/>
              </w:rPr>
            </w:pPr>
            <w:r w:rsidRPr="00D572A5">
              <w:rPr>
                <w:lang w:eastAsia="en-GB"/>
              </w:rPr>
              <w:t>mW/cm²</w:t>
            </w:r>
          </w:p>
        </w:tc>
      </w:tr>
    </w:tbl>
    <w:p w:rsidR="00FD027D" w:rsidRDefault="00FD027D" w:rsidP="00FD027D">
      <w:pPr>
        <w:rPr>
          <w:lang w:val="en-US"/>
        </w:rPr>
      </w:pPr>
    </w:p>
    <w:p w:rsidR="00FD027D" w:rsidRPr="007A19CC" w:rsidRDefault="00FD027D" w:rsidP="00FD027D">
      <w:pPr>
        <w:rPr>
          <w:lang w:val="en-US"/>
        </w:rPr>
      </w:pPr>
      <w:r w:rsidRPr="007A19CC">
        <w:rPr>
          <w:lang w:val="en-US"/>
        </w:rPr>
        <w:t xml:space="preserve">Various institutions define the allowed limits permitted in specific regions: ICNIRP (1998, </w:t>
      </w:r>
      <w:r w:rsidRPr="007A19CC">
        <w:rPr>
          <w:i/>
          <w:iCs/>
          <w:lang w:val="en-US"/>
        </w:rPr>
        <w:t>Guidelines</w:t>
      </w:r>
      <w:r w:rsidRPr="007A19CC">
        <w:rPr>
          <w:lang w:val="en-US"/>
        </w:rPr>
        <w:t xml:space="preserve">); FCC- Federal Communications Commission (1997, </w:t>
      </w:r>
      <w:r w:rsidRPr="007A19CC">
        <w:rPr>
          <w:i/>
          <w:iCs/>
          <w:lang w:val="en-US"/>
        </w:rPr>
        <w:t>Bulletin 65</w:t>
      </w:r>
      <w:r w:rsidRPr="007A19CC">
        <w:rPr>
          <w:lang w:val="en-US"/>
        </w:rPr>
        <w:t xml:space="preserve">), developed by IEEE (Institute of Electrical and Electronic Engineers) 1991 C95.1 and adopted by ANSI (American National Standards Institute) (1992, ANSI/IEEE C95.1); IEEE 2006 standard (C95.1-2005), not adopted by FCC. ICNIRP (1998 p. 509 table 4 and p. 511 table 7) defines the exposure thresholds of the World Health Organisation (WHO) for EMF. The European Council EC 1999/519 (Annex III, tables 1 and 2) adopted its values.   The following tables refer to the exposure limits for general public/ uncontrolled/ unperturbed environment (unlike the controlled/ occupational) for the cellular (UHF bands), where 'f' represents frequency in MHz, unless otherwise stated. </w:t>
      </w:r>
    </w:p>
    <w:p w:rsidR="00FD027D" w:rsidRPr="007A19CC" w:rsidRDefault="00FD027D" w:rsidP="00FD027D">
      <w:pPr>
        <w:rPr>
          <w:lang w:val="en-US"/>
        </w:rPr>
      </w:pPr>
      <w:r w:rsidRPr="007A19CC">
        <w:rPr>
          <w:lang w:val="en-US"/>
        </w:rPr>
        <w:t>A distinction is made between the exposure levels from cellular base stations and handsets. The hazards from a base station’s radiation refer to the field intensity and power density generated, whereas the hazards from handsets are considered by the SAR value. The reason for the two different approaches: the far-field standard (easily computable and measured) is used for the base station case, whereas the near-field standard (SAR and phantom-based measurements) is applied for the handset case. The standards and guidelines give the 'baseline limits' for power density and SAR.</w:t>
      </w:r>
    </w:p>
    <w:p w:rsidR="00FD027D" w:rsidRDefault="00FD027D" w:rsidP="00FD027D">
      <w:pPr>
        <w:pStyle w:val="HeadingB"/>
      </w:pPr>
      <w:bookmarkStart w:id="90" w:name="_Toc361912441"/>
      <w:bookmarkStart w:id="91" w:name="_Toc374691841"/>
      <w:bookmarkStart w:id="92" w:name="_Toc149211791"/>
      <w:r>
        <w:br w:type="page"/>
      </w:r>
    </w:p>
    <w:p w:rsidR="00FD027D" w:rsidRPr="00B10CC5" w:rsidRDefault="00FD027D" w:rsidP="00FD027D">
      <w:pPr>
        <w:pStyle w:val="Heading1"/>
        <w:rPr>
          <w:smallCaps/>
        </w:rPr>
      </w:pPr>
      <w:bookmarkStart w:id="93" w:name="_Toc377560480"/>
      <w:r w:rsidRPr="00C15B34">
        <w:lastRenderedPageBreak/>
        <w:t>Annex</w:t>
      </w:r>
      <w:r>
        <w:t xml:space="preserve"> 2: </w:t>
      </w:r>
      <w:r>
        <w:tab/>
        <w:t>ICNIRP 1998 Exposure Levels and IEEE L</w:t>
      </w:r>
      <w:r w:rsidRPr="00B10CC5">
        <w:t>evels</w:t>
      </w:r>
      <w:bookmarkEnd w:id="90"/>
      <w:bookmarkEnd w:id="91"/>
      <w:bookmarkEnd w:id="93"/>
    </w:p>
    <w:p w:rsidR="00FD027D" w:rsidRPr="00413C13" w:rsidRDefault="00FD027D" w:rsidP="00FD027D">
      <w:pPr>
        <w:pStyle w:val="Tabletitle"/>
        <w:spacing w:before="120"/>
        <w:rPr>
          <w:lang w:val="en-GB" w:eastAsia="en-GB"/>
        </w:rPr>
      </w:pPr>
      <w:bookmarkStart w:id="94" w:name="_Toc361912442"/>
      <w:r w:rsidRPr="001970D2">
        <w:rPr>
          <w:rStyle w:val="FootnoteReference"/>
          <w:lang w:val="en-US"/>
        </w:rPr>
        <w:footnoteReference w:customMarkFollows="1" w:id="22"/>
        <w:t>1</w:t>
      </w:r>
      <w:r w:rsidRPr="00061F17">
        <w:t>Table 2</w:t>
      </w:r>
      <w:r w:rsidRPr="00061F17">
        <w:rPr>
          <w:lang w:eastAsia="en-GB"/>
        </w:rPr>
        <w:t>: ICNIRP (1998:511) Reference levels for occupational and general public exposure</w:t>
      </w:r>
      <w:bookmarkEnd w:id="94"/>
    </w:p>
    <w:tbl>
      <w:tblPr>
        <w:tblStyle w:val="Style1"/>
        <w:tblW w:w="4851" w:type="pct"/>
        <w:jc w:val="center"/>
        <w:tblLook w:val="01E0" w:firstRow="1" w:lastRow="1" w:firstColumn="1" w:lastColumn="1" w:noHBand="0" w:noVBand="0"/>
      </w:tblPr>
      <w:tblGrid>
        <w:gridCol w:w="2702"/>
        <w:gridCol w:w="1842"/>
        <w:gridCol w:w="1487"/>
        <w:gridCol w:w="1485"/>
        <w:gridCol w:w="1494"/>
      </w:tblGrid>
      <w:tr w:rsidR="00FD027D" w:rsidRPr="00C84343" w:rsidTr="000C5108">
        <w:trPr>
          <w:cnfStyle w:val="100000000000" w:firstRow="1" w:lastRow="0" w:firstColumn="0" w:lastColumn="0" w:oddVBand="0" w:evenVBand="0" w:oddHBand="0" w:evenHBand="0" w:firstRowFirstColumn="0" w:firstRowLastColumn="0" w:lastRowFirstColumn="0" w:lastRowLastColumn="0"/>
          <w:trHeight w:val="664"/>
          <w:jc w:val="center"/>
        </w:trPr>
        <w:tc>
          <w:tcPr>
            <w:tcW w:w="1500" w:type="pct"/>
            <w:hideMark/>
          </w:tcPr>
          <w:p w:rsidR="00FD027D" w:rsidRPr="000B0EF9" w:rsidRDefault="00FD027D" w:rsidP="000C5108">
            <w:pPr>
              <w:pStyle w:val="Tablehead"/>
              <w:rPr>
                <w:lang w:val="en-GB" w:eastAsia="en-GB"/>
              </w:rPr>
            </w:pPr>
            <w:r w:rsidRPr="000B0EF9">
              <w:rPr>
                <w:lang w:eastAsia="en-GB"/>
              </w:rPr>
              <w:t>Frequency  range</w:t>
            </w:r>
          </w:p>
        </w:tc>
        <w:tc>
          <w:tcPr>
            <w:tcW w:w="1846" w:type="pct"/>
            <w:gridSpan w:val="2"/>
            <w:hideMark/>
          </w:tcPr>
          <w:p w:rsidR="00FD027D" w:rsidRPr="000B0EF9" w:rsidRDefault="00FD027D" w:rsidP="000C5108">
            <w:pPr>
              <w:pStyle w:val="Tablehead"/>
              <w:rPr>
                <w:lang w:val="en-GB" w:eastAsia="en-GB"/>
              </w:rPr>
            </w:pPr>
            <w:r w:rsidRPr="00061F17">
              <w:rPr>
                <w:lang w:eastAsia="en-GB"/>
              </w:rPr>
              <w:t>Electric field strength (V/m)</w:t>
            </w:r>
          </w:p>
        </w:tc>
        <w:tc>
          <w:tcPr>
            <w:tcW w:w="1654" w:type="pct"/>
            <w:gridSpan w:val="2"/>
            <w:hideMark/>
          </w:tcPr>
          <w:p w:rsidR="00FD027D" w:rsidRPr="000B0EF9" w:rsidRDefault="00FD027D" w:rsidP="000C5108">
            <w:pPr>
              <w:pStyle w:val="Tablehead"/>
              <w:rPr>
                <w:lang w:val="en-GB" w:eastAsia="en-GB"/>
              </w:rPr>
            </w:pPr>
            <w:r w:rsidRPr="00061F17">
              <w:rPr>
                <w:lang w:eastAsia="en-GB"/>
              </w:rPr>
              <w:t>Equivalent plane wave power density S</w:t>
            </w:r>
            <w:r w:rsidRPr="00061F17">
              <w:rPr>
                <w:vertAlign w:val="subscript"/>
                <w:lang w:eastAsia="en-GB"/>
              </w:rPr>
              <w:t>eq</w:t>
            </w:r>
            <w:r w:rsidRPr="00061F17">
              <w:rPr>
                <w:lang w:eastAsia="en-GB"/>
              </w:rPr>
              <w:t>(W/m</w:t>
            </w:r>
            <w:r w:rsidRPr="00061F17">
              <w:rPr>
                <w:vertAlign w:val="superscript"/>
                <w:lang w:eastAsia="en-GB"/>
              </w:rPr>
              <w:t>2</w:t>
            </w:r>
            <w:r w:rsidRPr="00061F17">
              <w:rPr>
                <w:lang w:eastAsia="en-GB"/>
              </w:rPr>
              <w:t>)</w:t>
            </w:r>
          </w:p>
        </w:tc>
      </w:tr>
      <w:tr w:rsidR="00FD027D" w:rsidRPr="00BC042E" w:rsidTr="000C5108">
        <w:trPr>
          <w:cnfStyle w:val="000000100000" w:firstRow="0" w:lastRow="0" w:firstColumn="0" w:lastColumn="0" w:oddVBand="0" w:evenVBand="0" w:oddHBand="1" w:evenHBand="0" w:firstRowFirstColumn="0" w:firstRowLastColumn="0" w:lastRowFirstColumn="0" w:lastRowLastColumn="0"/>
          <w:trHeight w:val="345"/>
          <w:jc w:val="center"/>
        </w:trPr>
        <w:tc>
          <w:tcPr>
            <w:tcW w:w="1500" w:type="pct"/>
          </w:tcPr>
          <w:p w:rsidR="00FD027D" w:rsidRPr="00BC042E" w:rsidRDefault="00FD027D" w:rsidP="000C5108">
            <w:pPr>
              <w:pStyle w:val="Tabletext"/>
              <w:rPr>
                <w:lang w:val="en-GB" w:eastAsia="en-GB"/>
              </w:rPr>
            </w:pPr>
          </w:p>
        </w:tc>
        <w:tc>
          <w:tcPr>
            <w:tcW w:w="1022" w:type="pct"/>
            <w:hideMark/>
          </w:tcPr>
          <w:p w:rsidR="00FD027D" w:rsidRPr="00BC042E" w:rsidRDefault="00FD027D" w:rsidP="000C5108">
            <w:pPr>
              <w:pStyle w:val="Tabletext"/>
              <w:rPr>
                <w:b/>
                <w:lang w:val="en-GB" w:eastAsia="en-GB"/>
              </w:rPr>
            </w:pPr>
            <w:r w:rsidRPr="00BC042E">
              <w:rPr>
                <w:rFonts w:eastAsiaTheme="minorHAnsi"/>
                <w:b/>
                <w:lang w:eastAsia="en-US"/>
              </w:rPr>
              <w:t>general public</w:t>
            </w:r>
          </w:p>
        </w:tc>
        <w:tc>
          <w:tcPr>
            <w:tcW w:w="825" w:type="pct"/>
            <w:hideMark/>
          </w:tcPr>
          <w:p w:rsidR="00FD027D" w:rsidRPr="00BC042E" w:rsidRDefault="00FD027D" w:rsidP="000C5108">
            <w:pPr>
              <w:pStyle w:val="Tabletext"/>
              <w:rPr>
                <w:b/>
                <w:lang w:val="en-GB" w:eastAsia="en-GB"/>
              </w:rPr>
            </w:pPr>
            <w:r w:rsidRPr="00BC042E">
              <w:rPr>
                <w:rFonts w:eastAsiaTheme="minorHAnsi"/>
                <w:b/>
                <w:lang w:eastAsia="en-US"/>
              </w:rPr>
              <w:t>occupational</w:t>
            </w:r>
          </w:p>
        </w:tc>
        <w:tc>
          <w:tcPr>
            <w:tcW w:w="824" w:type="pct"/>
            <w:hideMark/>
          </w:tcPr>
          <w:p w:rsidR="00FD027D" w:rsidRPr="00BC042E" w:rsidRDefault="00FD027D" w:rsidP="000C5108">
            <w:pPr>
              <w:pStyle w:val="Tabletext"/>
              <w:rPr>
                <w:b/>
                <w:lang w:val="en-GB" w:eastAsia="en-GB"/>
              </w:rPr>
            </w:pPr>
            <w:r w:rsidRPr="00BC042E">
              <w:rPr>
                <w:rFonts w:eastAsiaTheme="minorHAnsi"/>
                <w:b/>
                <w:lang w:eastAsia="en-US"/>
              </w:rPr>
              <w:t>general public</w:t>
            </w:r>
          </w:p>
        </w:tc>
        <w:tc>
          <w:tcPr>
            <w:tcW w:w="830" w:type="pct"/>
            <w:hideMark/>
          </w:tcPr>
          <w:p w:rsidR="00FD027D" w:rsidRPr="00BC042E" w:rsidRDefault="00FD027D" w:rsidP="000C5108">
            <w:pPr>
              <w:pStyle w:val="Tabletext"/>
              <w:rPr>
                <w:b/>
                <w:lang w:val="en-GB" w:eastAsia="en-GB"/>
              </w:rPr>
            </w:pPr>
            <w:r w:rsidRPr="00BC042E">
              <w:rPr>
                <w:rFonts w:eastAsiaTheme="minorHAnsi"/>
                <w:b/>
                <w:lang w:eastAsia="en-US"/>
              </w:rPr>
              <w:t>Occupational</w:t>
            </w:r>
          </w:p>
        </w:tc>
      </w:tr>
      <w:tr w:rsidR="00FD027D" w:rsidRPr="00BC042E" w:rsidTr="000C5108">
        <w:trPr>
          <w:cnfStyle w:val="000000010000" w:firstRow="0" w:lastRow="0" w:firstColumn="0" w:lastColumn="0" w:oddVBand="0" w:evenVBand="0" w:oddHBand="0" w:evenHBand="1" w:firstRowFirstColumn="0" w:firstRowLastColumn="0" w:lastRowFirstColumn="0" w:lastRowLastColumn="0"/>
          <w:trHeight w:val="20"/>
          <w:jc w:val="center"/>
        </w:trPr>
        <w:tc>
          <w:tcPr>
            <w:tcW w:w="1500" w:type="pct"/>
            <w:hideMark/>
          </w:tcPr>
          <w:p w:rsidR="00FD027D" w:rsidRPr="00BC042E" w:rsidRDefault="00FD027D" w:rsidP="000C5108">
            <w:pPr>
              <w:pStyle w:val="Tabletext"/>
              <w:rPr>
                <w:lang w:val="en-GB" w:eastAsia="en-GB"/>
              </w:rPr>
            </w:pPr>
            <w:r w:rsidRPr="00BC042E">
              <w:rPr>
                <w:lang w:eastAsia="en-GB"/>
              </w:rPr>
              <w:t xml:space="preserve">1-25  Hz </w:t>
            </w:r>
          </w:p>
        </w:tc>
        <w:tc>
          <w:tcPr>
            <w:tcW w:w="1022" w:type="pct"/>
            <w:hideMark/>
          </w:tcPr>
          <w:p w:rsidR="00FD027D" w:rsidRPr="00BC042E" w:rsidRDefault="00FD027D" w:rsidP="000C5108">
            <w:pPr>
              <w:pStyle w:val="Tabletext"/>
              <w:rPr>
                <w:lang w:val="en-GB" w:eastAsia="en-GB"/>
              </w:rPr>
            </w:pPr>
            <w:r w:rsidRPr="00BC042E">
              <w:rPr>
                <w:lang w:eastAsia="en-GB"/>
              </w:rPr>
              <w:t>10,000</w:t>
            </w:r>
          </w:p>
        </w:tc>
        <w:tc>
          <w:tcPr>
            <w:tcW w:w="825" w:type="pct"/>
            <w:hideMark/>
          </w:tcPr>
          <w:p w:rsidR="00FD027D" w:rsidRPr="00BC042E" w:rsidRDefault="00FD027D" w:rsidP="000C5108">
            <w:pPr>
              <w:pStyle w:val="Tabletext"/>
              <w:rPr>
                <w:lang w:val="en-GB" w:eastAsia="en-GB"/>
              </w:rPr>
            </w:pPr>
            <w:r w:rsidRPr="00BC042E">
              <w:rPr>
                <w:lang w:eastAsia="en-GB"/>
              </w:rPr>
              <w:t>20,000</w:t>
            </w:r>
          </w:p>
        </w:tc>
        <w:tc>
          <w:tcPr>
            <w:tcW w:w="1654" w:type="pct"/>
            <w:gridSpan w:val="2"/>
            <w:vMerge w:val="restart"/>
            <w:hideMark/>
          </w:tcPr>
          <w:p w:rsidR="00FD027D" w:rsidRPr="00BC042E" w:rsidRDefault="00FD027D" w:rsidP="000C5108">
            <w:pPr>
              <w:pStyle w:val="Tabletext"/>
              <w:rPr>
                <w:lang w:val="en-GB" w:eastAsia="en-GB"/>
              </w:rPr>
            </w:pPr>
          </w:p>
        </w:tc>
      </w:tr>
      <w:tr w:rsidR="00FD027D" w:rsidRPr="00BC042E" w:rsidTr="000C5108">
        <w:trPr>
          <w:cnfStyle w:val="000000100000" w:firstRow="0" w:lastRow="0" w:firstColumn="0" w:lastColumn="0" w:oddVBand="0" w:evenVBand="0" w:oddHBand="1" w:evenHBand="0" w:firstRowFirstColumn="0" w:firstRowLastColumn="0" w:lastRowFirstColumn="0" w:lastRowLastColumn="0"/>
          <w:trHeight w:val="20"/>
          <w:jc w:val="center"/>
        </w:trPr>
        <w:tc>
          <w:tcPr>
            <w:tcW w:w="1500" w:type="pct"/>
            <w:hideMark/>
          </w:tcPr>
          <w:p w:rsidR="00FD027D" w:rsidRPr="00BC042E" w:rsidRDefault="00FD027D" w:rsidP="000C5108">
            <w:pPr>
              <w:pStyle w:val="Tabletext"/>
              <w:rPr>
                <w:lang w:val="en-GB" w:eastAsia="en-GB"/>
              </w:rPr>
            </w:pPr>
            <w:r w:rsidRPr="00BC042E">
              <w:rPr>
                <w:lang w:eastAsia="en-GB"/>
              </w:rPr>
              <w:t xml:space="preserve">0.025- 0.82 KHz </w:t>
            </w:r>
          </w:p>
        </w:tc>
        <w:tc>
          <w:tcPr>
            <w:tcW w:w="1022" w:type="pct"/>
            <w:hideMark/>
          </w:tcPr>
          <w:p w:rsidR="00FD027D" w:rsidRPr="00BC042E" w:rsidRDefault="00FD027D" w:rsidP="000C5108">
            <w:pPr>
              <w:pStyle w:val="Tabletext"/>
              <w:rPr>
                <w:lang w:val="en-GB" w:eastAsia="en-GB"/>
              </w:rPr>
            </w:pPr>
            <w:r w:rsidRPr="00BC042E">
              <w:rPr>
                <w:lang w:eastAsia="en-GB"/>
              </w:rPr>
              <w:t>250/f(KHz)</w:t>
            </w:r>
          </w:p>
        </w:tc>
        <w:tc>
          <w:tcPr>
            <w:tcW w:w="825" w:type="pct"/>
            <w:hideMark/>
          </w:tcPr>
          <w:p w:rsidR="00FD027D" w:rsidRPr="00BC042E" w:rsidRDefault="00FD027D" w:rsidP="000C5108">
            <w:pPr>
              <w:pStyle w:val="Tabletext"/>
              <w:rPr>
                <w:lang w:val="en-GB" w:eastAsia="en-GB"/>
              </w:rPr>
            </w:pPr>
            <w:r w:rsidRPr="00BC042E">
              <w:rPr>
                <w:lang w:eastAsia="en-GB"/>
              </w:rPr>
              <w:t>500/f(KHz)</w:t>
            </w:r>
          </w:p>
        </w:tc>
        <w:tc>
          <w:tcPr>
            <w:tcW w:w="0" w:type="auto"/>
            <w:gridSpan w:val="2"/>
            <w:vMerge/>
            <w:hideMark/>
          </w:tcPr>
          <w:p w:rsidR="00FD027D" w:rsidRPr="00BC042E" w:rsidRDefault="00FD027D" w:rsidP="000C5108">
            <w:pPr>
              <w:pStyle w:val="Tabletext"/>
              <w:rPr>
                <w:lang w:val="en-GB" w:eastAsia="en-GB"/>
              </w:rPr>
            </w:pPr>
          </w:p>
        </w:tc>
      </w:tr>
      <w:tr w:rsidR="00FD027D" w:rsidRPr="00BC042E" w:rsidTr="000C5108">
        <w:trPr>
          <w:cnfStyle w:val="000000010000" w:firstRow="0" w:lastRow="0" w:firstColumn="0" w:lastColumn="0" w:oddVBand="0" w:evenVBand="0" w:oddHBand="0" w:evenHBand="1" w:firstRowFirstColumn="0" w:firstRowLastColumn="0" w:lastRowFirstColumn="0" w:lastRowLastColumn="0"/>
          <w:trHeight w:val="20"/>
          <w:jc w:val="center"/>
        </w:trPr>
        <w:tc>
          <w:tcPr>
            <w:tcW w:w="1500" w:type="pct"/>
            <w:hideMark/>
          </w:tcPr>
          <w:p w:rsidR="00FD027D" w:rsidRPr="00BC042E" w:rsidRDefault="00FD027D" w:rsidP="000C5108">
            <w:pPr>
              <w:pStyle w:val="Tabletext"/>
              <w:rPr>
                <w:lang w:val="en-GB" w:eastAsia="en-GB"/>
              </w:rPr>
            </w:pPr>
            <w:r w:rsidRPr="00BC042E">
              <w:rPr>
                <w:lang w:eastAsia="en-GB"/>
              </w:rPr>
              <w:t xml:space="preserve">0.82 -3 KHz </w:t>
            </w:r>
          </w:p>
        </w:tc>
        <w:tc>
          <w:tcPr>
            <w:tcW w:w="1022" w:type="pct"/>
            <w:hideMark/>
          </w:tcPr>
          <w:p w:rsidR="00FD027D" w:rsidRPr="00BC042E" w:rsidRDefault="00FD027D" w:rsidP="000C5108">
            <w:pPr>
              <w:pStyle w:val="Tabletext"/>
              <w:rPr>
                <w:lang w:val="en-GB" w:eastAsia="en-GB"/>
              </w:rPr>
            </w:pPr>
            <w:r w:rsidRPr="00BC042E">
              <w:rPr>
                <w:lang w:eastAsia="en-GB"/>
              </w:rPr>
              <w:t>250/f(KHz)</w:t>
            </w:r>
          </w:p>
        </w:tc>
        <w:tc>
          <w:tcPr>
            <w:tcW w:w="825" w:type="pct"/>
            <w:hideMark/>
          </w:tcPr>
          <w:p w:rsidR="00FD027D" w:rsidRPr="00BC042E" w:rsidRDefault="00FD027D" w:rsidP="000C5108">
            <w:pPr>
              <w:pStyle w:val="Tabletext"/>
              <w:rPr>
                <w:lang w:val="en-GB" w:eastAsia="en-GB"/>
              </w:rPr>
            </w:pPr>
            <w:r w:rsidRPr="00BC042E">
              <w:rPr>
                <w:lang w:eastAsia="en-GB"/>
              </w:rPr>
              <w:t>610</w:t>
            </w:r>
          </w:p>
        </w:tc>
        <w:tc>
          <w:tcPr>
            <w:tcW w:w="0" w:type="auto"/>
            <w:gridSpan w:val="2"/>
            <w:vMerge/>
            <w:hideMark/>
          </w:tcPr>
          <w:p w:rsidR="00FD027D" w:rsidRPr="00BC042E" w:rsidRDefault="00FD027D" w:rsidP="000C5108">
            <w:pPr>
              <w:pStyle w:val="Tabletext"/>
              <w:rPr>
                <w:lang w:val="en-GB" w:eastAsia="en-GB"/>
              </w:rPr>
            </w:pPr>
          </w:p>
        </w:tc>
      </w:tr>
      <w:tr w:rsidR="00FD027D" w:rsidRPr="00BC042E" w:rsidTr="000C5108">
        <w:trPr>
          <w:cnfStyle w:val="000000100000" w:firstRow="0" w:lastRow="0" w:firstColumn="0" w:lastColumn="0" w:oddVBand="0" w:evenVBand="0" w:oddHBand="1" w:evenHBand="0" w:firstRowFirstColumn="0" w:firstRowLastColumn="0" w:lastRowFirstColumn="0" w:lastRowLastColumn="0"/>
          <w:trHeight w:val="20"/>
          <w:jc w:val="center"/>
        </w:trPr>
        <w:tc>
          <w:tcPr>
            <w:tcW w:w="1500" w:type="pct"/>
            <w:hideMark/>
          </w:tcPr>
          <w:p w:rsidR="00FD027D" w:rsidRPr="00BC042E" w:rsidRDefault="00FD027D" w:rsidP="000C5108">
            <w:pPr>
              <w:pStyle w:val="Tabletext"/>
              <w:rPr>
                <w:lang w:val="en-GB" w:eastAsia="en-GB"/>
              </w:rPr>
            </w:pPr>
            <w:r w:rsidRPr="00BC042E">
              <w:rPr>
                <w:lang w:eastAsia="en-GB"/>
              </w:rPr>
              <w:t xml:space="preserve">3-1000 KHz </w:t>
            </w:r>
          </w:p>
        </w:tc>
        <w:tc>
          <w:tcPr>
            <w:tcW w:w="1022" w:type="pct"/>
            <w:hideMark/>
          </w:tcPr>
          <w:p w:rsidR="00FD027D" w:rsidRPr="00BC042E" w:rsidRDefault="00FD027D" w:rsidP="000C5108">
            <w:pPr>
              <w:pStyle w:val="Tabletext"/>
              <w:rPr>
                <w:lang w:val="en-GB" w:eastAsia="en-GB"/>
              </w:rPr>
            </w:pPr>
            <w:r w:rsidRPr="00BC042E">
              <w:rPr>
                <w:lang w:eastAsia="en-GB"/>
              </w:rPr>
              <w:t>87</w:t>
            </w:r>
          </w:p>
        </w:tc>
        <w:tc>
          <w:tcPr>
            <w:tcW w:w="825" w:type="pct"/>
            <w:hideMark/>
          </w:tcPr>
          <w:p w:rsidR="00FD027D" w:rsidRPr="00BC042E" w:rsidRDefault="00FD027D" w:rsidP="000C5108">
            <w:pPr>
              <w:pStyle w:val="Tabletext"/>
              <w:rPr>
                <w:lang w:val="en-GB" w:eastAsia="en-GB"/>
              </w:rPr>
            </w:pPr>
            <w:r w:rsidRPr="00BC042E">
              <w:rPr>
                <w:lang w:eastAsia="en-GB"/>
              </w:rPr>
              <w:t>610</w:t>
            </w:r>
          </w:p>
        </w:tc>
        <w:tc>
          <w:tcPr>
            <w:tcW w:w="0" w:type="auto"/>
            <w:gridSpan w:val="2"/>
            <w:vMerge/>
            <w:hideMark/>
          </w:tcPr>
          <w:p w:rsidR="00FD027D" w:rsidRPr="00BC042E" w:rsidRDefault="00FD027D" w:rsidP="000C5108">
            <w:pPr>
              <w:pStyle w:val="Tabletext"/>
              <w:rPr>
                <w:lang w:val="en-GB" w:eastAsia="en-GB"/>
              </w:rPr>
            </w:pPr>
          </w:p>
        </w:tc>
      </w:tr>
      <w:tr w:rsidR="00FD027D" w:rsidRPr="00BC042E" w:rsidTr="000C5108">
        <w:trPr>
          <w:cnfStyle w:val="000000010000" w:firstRow="0" w:lastRow="0" w:firstColumn="0" w:lastColumn="0" w:oddVBand="0" w:evenVBand="0" w:oddHBand="0" w:evenHBand="1" w:firstRowFirstColumn="0" w:firstRowLastColumn="0" w:lastRowFirstColumn="0" w:lastRowLastColumn="0"/>
          <w:trHeight w:val="20"/>
          <w:jc w:val="center"/>
        </w:trPr>
        <w:tc>
          <w:tcPr>
            <w:tcW w:w="1500" w:type="pct"/>
            <w:hideMark/>
          </w:tcPr>
          <w:p w:rsidR="00FD027D" w:rsidRPr="00BC042E" w:rsidRDefault="00FD027D" w:rsidP="000C5108">
            <w:pPr>
              <w:pStyle w:val="Tabletext"/>
              <w:rPr>
                <w:lang w:val="en-GB" w:eastAsia="en-GB"/>
              </w:rPr>
            </w:pPr>
            <w:r w:rsidRPr="00BC042E">
              <w:rPr>
                <w:lang w:eastAsia="en-GB"/>
              </w:rPr>
              <w:t xml:space="preserve">1-10 MHz </w:t>
            </w:r>
          </w:p>
        </w:tc>
        <w:tc>
          <w:tcPr>
            <w:tcW w:w="1022" w:type="pct"/>
            <w:hideMark/>
          </w:tcPr>
          <w:p w:rsidR="00FD027D" w:rsidRPr="00BC042E" w:rsidRDefault="00FD027D" w:rsidP="000C5108">
            <w:pPr>
              <w:pStyle w:val="Tabletext"/>
              <w:rPr>
                <w:lang w:val="en-GB" w:eastAsia="en-GB"/>
              </w:rPr>
            </w:pPr>
            <w:r w:rsidRPr="00BC042E">
              <w:rPr>
                <w:lang w:eastAsia="en-GB"/>
              </w:rPr>
              <w:t xml:space="preserve">87/f </w:t>
            </w:r>
            <w:r w:rsidRPr="00BC042E">
              <w:rPr>
                <w:vertAlign w:val="superscript"/>
                <w:lang w:eastAsia="en-GB"/>
              </w:rPr>
              <w:t>1/2</w:t>
            </w:r>
            <w:r w:rsidRPr="00BC042E">
              <w:rPr>
                <w:lang w:eastAsia="en-GB"/>
              </w:rPr>
              <w:t xml:space="preserve"> (MHz)</w:t>
            </w:r>
          </w:p>
        </w:tc>
        <w:tc>
          <w:tcPr>
            <w:tcW w:w="825" w:type="pct"/>
            <w:hideMark/>
          </w:tcPr>
          <w:p w:rsidR="00FD027D" w:rsidRPr="00BC042E" w:rsidRDefault="00FD027D" w:rsidP="000C5108">
            <w:pPr>
              <w:pStyle w:val="Tabletext"/>
              <w:rPr>
                <w:lang w:val="en-GB" w:eastAsia="en-GB"/>
              </w:rPr>
            </w:pPr>
            <w:r w:rsidRPr="00BC042E">
              <w:rPr>
                <w:lang w:eastAsia="en-GB"/>
              </w:rPr>
              <w:t>610/f (MHz)</w:t>
            </w:r>
          </w:p>
        </w:tc>
        <w:tc>
          <w:tcPr>
            <w:tcW w:w="0" w:type="auto"/>
            <w:gridSpan w:val="2"/>
            <w:vMerge/>
            <w:hideMark/>
          </w:tcPr>
          <w:p w:rsidR="00FD027D" w:rsidRPr="00BC042E" w:rsidRDefault="00FD027D" w:rsidP="000C5108">
            <w:pPr>
              <w:pStyle w:val="Tabletext"/>
              <w:rPr>
                <w:lang w:val="en-GB" w:eastAsia="en-GB"/>
              </w:rPr>
            </w:pPr>
          </w:p>
        </w:tc>
      </w:tr>
      <w:tr w:rsidR="00FD027D" w:rsidRPr="00BC042E" w:rsidTr="000C5108">
        <w:trPr>
          <w:cnfStyle w:val="000000100000" w:firstRow="0" w:lastRow="0" w:firstColumn="0" w:lastColumn="0" w:oddVBand="0" w:evenVBand="0" w:oddHBand="1" w:evenHBand="0" w:firstRowFirstColumn="0" w:firstRowLastColumn="0" w:lastRowFirstColumn="0" w:lastRowLastColumn="0"/>
          <w:trHeight w:val="20"/>
          <w:jc w:val="center"/>
        </w:trPr>
        <w:tc>
          <w:tcPr>
            <w:tcW w:w="1500" w:type="pct"/>
            <w:hideMark/>
          </w:tcPr>
          <w:p w:rsidR="00FD027D" w:rsidRPr="00BC042E" w:rsidRDefault="00FD027D" w:rsidP="000C5108">
            <w:pPr>
              <w:pStyle w:val="Tabletext"/>
              <w:rPr>
                <w:lang w:val="en-GB" w:eastAsia="en-GB"/>
              </w:rPr>
            </w:pPr>
            <w:r w:rsidRPr="00BC042E">
              <w:rPr>
                <w:lang w:eastAsia="en-GB"/>
              </w:rPr>
              <w:t>10-400  MHz</w:t>
            </w:r>
          </w:p>
        </w:tc>
        <w:tc>
          <w:tcPr>
            <w:tcW w:w="1022" w:type="pct"/>
            <w:hideMark/>
          </w:tcPr>
          <w:p w:rsidR="00FD027D" w:rsidRPr="00BC042E" w:rsidRDefault="00FD027D" w:rsidP="000C5108">
            <w:pPr>
              <w:pStyle w:val="Tabletext"/>
              <w:rPr>
                <w:lang w:val="en-GB" w:eastAsia="en-GB"/>
              </w:rPr>
            </w:pPr>
            <w:r w:rsidRPr="00BC042E">
              <w:rPr>
                <w:lang w:eastAsia="en-GB"/>
              </w:rPr>
              <w:t>28</w:t>
            </w:r>
          </w:p>
        </w:tc>
        <w:tc>
          <w:tcPr>
            <w:tcW w:w="825" w:type="pct"/>
            <w:hideMark/>
          </w:tcPr>
          <w:p w:rsidR="00FD027D" w:rsidRPr="00BC042E" w:rsidRDefault="00FD027D" w:rsidP="000C5108">
            <w:pPr>
              <w:pStyle w:val="Tabletext"/>
              <w:rPr>
                <w:lang w:val="en-GB" w:eastAsia="en-GB"/>
              </w:rPr>
            </w:pPr>
            <w:r w:rsidRPr="00BC042E">
              <w:rPr>
                <w:lang w:eastAsia="en-GB"/>
              </w:rPr>
              <w:t>61</w:t>
            </w:r>
          </w:p>
        </w:tc>
        <w:tc>
          <w:tcPr>
            <w:tcW w:w="824" w:type="pct"/>
            <w:hideMark/>
          </w:tcPr>
          <w:p w:rsidR="00FD027D" w:rsidRPr="00BC042E" w:rsidRDefault="00FD027D" w:rsidP="000C5108">
            <w:pPr>
              <w:pStyle w:val="Tabletext"/>
              <w:rPr>
                <w:lang w:val="en-GB" w:eastAsia="en-GB"/>
              </w:rPr>
            </w:pPr>
            <w:r w:rsidRPr="00BC042E">
              <w:rPr>
                <w:lang w:eastAsia="en-GB"/>
              </w:rPr>
              <w:t>2</w:t>
            </w:r>
          </w:p>
        </w:tc>
        <w:tc>
          <w:tcPr>
            <w:tcW w:w="830" w:type="pct"/>
            <w:hideMark/>
          </w:tcPr>
          <w:p w:rsidR="00FD027D" w:rsidRPr="00BC042E" w:rsidRDefault="00FD027D" w:rsidP="000C5108">
            <w:pPr>
              <w:pStyle w:val="Tabletext"/>
              <w:rPr>
                <w:lang w:val="en-GB" w:eastAsia="en-GB"/>
              </w:rPr>
            </w:pPr>
            <w:r w:rsidRPr="00BC042E">
              <w:rPr>
                <w:lang w:eastAsia="en-GB"/>
              </w:rPr>
              <w:t>10</w:t>
            </w:r>
          </w:p>
        </w:tc>
      </w:tr>
      <w:tr w:rsidR="00FD027D" w:rsidRPr="00BC042E" w:rsidTr="000C5108">
        <w:trPr>
          <w:cnfStyle w:val="000000010000" w:firstRow="0" w:lastRow="0" w:firstColumn="0" w:lastColumn="0" w:oddVBand="0" w:evenVBand="0" w:oddHBand="0" w:evenHBand="1" w:firstRowFirstColumn="0" w:firstRowLastColumn="0" w:lastRowFirstColumn="0" w:lastRowLastColumn="0"/>
          <w:trHeight w:val="20"/>
          <w:jc w:val="center"/>
        </w:trPr>
        <w:tc>
          <w:tcPr>
            <w:tcW w:w="1500" w:type="pct"/>
            <w:hideMark/>
          </w:tcPr>
          <w:p w:rsidR="00FD027D" w:rsidRPr="00BC042E" w:rsidRDefault="00FD027D" w:rsidP="000C5108">
            <w:pPr>
              <w:pStyle w:val="Tabletext"/>
              <w:rPr>
                <w:lang w:val="en-GB" w:eastAsia="en-GB"/>
              </w:rPr>
            </w:pPr>
            <w:r w:rsidRPr="00BC042E">
              <w:rPr>
                <w:lang w:eastAsia="en-GB"/>
              </w:rPr>
              <w:t>400-2000 MHz</w:t>
            </w:r>
          </w:p>
        </w:tc>
        <w:tc>
          <w:tcPr>
            <w:tcW w:w="1022" w:type="pct"/>
            <w:hideMark/>
          </w:tcPr>
          <w:p w:rsidR="00FD027D" w:rsidRPr="00BC042E" w:rsidRDefault="00FD027D" w:rsidP="000C5108">
            <w:pPr>
              <w:pStyle w:val="Tabletext"/>
              <w:rPr>
                <w:lang w:val="en-GB" w:eastAsia="en-GB"/>
              </w:rPr>
            </w:pPr>
            <w:r w:rsidRPr="00BC042E">
              <w:rPr>
                <w:lang w:eastAsia="en-GB"/>
              </w:rPr>
              <w:t xml:space="preserve">1.375f </w:t>
            </w:r>
            <w:r w:rsidRPr="00BC042E">
              <w:rPr>
                <w:vertAlign w:val="superscript"/>
                <w:lang w:eastAsia="en-GB"/>
              </w:rPr>
              <w:t>1/2</w:t>
            </w:r>
            <w:r w:rsidRPr="00BC042E">
              <w:rPr>
                <w:lang w:eastAsia="en-GB"/>
              </w:rPr>
              <w:t xml:space="preserve"> (MHz)</w:t>
            </w:r>
          </w:p>
        </w:tc>
        <w:tc>
          <w:tcPr>
            <w:tcW w:w="825" w:type="pct"/>
            <w:hideMark/>
          </w:tcPr>
          <w:p w:rsidR="00FD027D" w:rsidRPr="00BC042E" w:rsidRDefault="00FD027D" w:rsidP="000C5108">
            <w:pPr>
              <w:pStyle w:val="Tabletext"/>
              <w:rPr>
                <w:lang w:val="en-GB" w:eastAsia="en-GB"/>
              </w:rPr>
            </w:pPr>
            <w:r w:rsidRPr="00BC042E">
              <w:rPr>
                <w:lang w:eastAsia="en-GB"/>
              </w:rPr>
              <w:t xml:space="preserve">3f </w:t>
            </w:r>
            <w:r w:rsidRPr="00BC042E">
              <w:rPr>
                <w:vertAlign w:val="superscript"/>
                <w:lang w:eastAsia="en-GB"/>
              </w:rPr>
              <w:t>1/2</w:t>
            </w:r>
            <w:r w:rsidRPr="00BC042E">
              <w:rPr>
                <w:lang w:eastAsia="en-GB"/>
              </w:rPr>
              <w:t xml:space="preserve"> (MHz)</w:t>
            </w:r>
          </w:p>
        </w:tc>
        <w:tc>
          <w:tcPr>
            <w:tcW w:w="824" w:type="pct"/>
            <w:hideMark/>
          </w:tcPr>
          <w:p w:rsidR="00FD027D" w:rsidRPr="00BC042E" w:rsidRDefault="00FD027D" w:rsidP="000C5108">
            <w:pPr>
              <w:pStyle w:val="Tabletext"/>
              <w:rPr>
                <w:lang w:val="en-GB" w:eastAsia="en-GB"/>
              </w:rPr>
            </w:pPr>
            <w:r w:rsidRPr="00BC042E">
              <w:rPr>
                <w:lang w:eastAsia="en-GB"/>
              </w:rPr>
              <w:t>f/200</w:t>
            </w:r>
          </w:p>
        </w:tc>
        <w:tc>
          <w:tcPr>
            <w:tcW w:w="830" w:type="pct"/>
            <w:hideMark/>
          </w:tcPr>
          <w:p w:rsidR="00FD027D" w:rsidRPr="00BC042E" w:rsidRDefault="00FD027D" w:rsidP="000C5108">
            <w:pPr>
              <w:pStyle w:val="Tabletext"/>
              <w:rPr>
                <w:lang w:val="en-GB" w:eastAsia="en-GB"/>
              </w:rPr>
            </w:pPr>
            <w:r w:rsidRPr="00BC042E">
              <w:rPr>
                <w:lang w:eastAsia="en-GB"/>
              </w:rPr>
              <w:t>f/40</w:t>
            </w:r>
          </w:p>
        </w:tc>
      </w:tr>
      <w:tr w:rsidR="00FD027D" w:rsidRPr="00BC042E" w:rsidTr="000C5108">
        <w:trPr>
          <w:cnfStyle w:val="000000100000" w:firstRow="0" w:lastRow="0" w:firstColumn="0" w:lastColumn="0" w:oddVBand="0" w:evenVBand="0" w:oddHBand="1" w:evenHBand="0" w:firstRowFirstColumn="0" w:firstRowLastColumn="0" w:lastRowFirstColumn="0" w:lastRowLastColumn="0"/>
          <w:trHeight w:val="20"/>
          <w:jc w:val="center"/>
        </w:trPr>
        <w:tc>
          <w:tcPr>
            <w:tcW w:w="1500" w:type="pct"/>
            <w:hideMark/>
          </w:tcPr>
          <w:p w:rsidR="00FD027D" w:rsidRPr="00BC042E" w:rsidRDefault="00FD027D" w:rsidP="000C5108">
            <w:pPr>
              <w:pStyle w:val="Tabletext"/>
              <w:rPr>
                <w:lang w:val="en-GB" w:eastAsia="en-GB"/>
              </w:rPr>
            </w:pPr>
            <w:r w:rsidRPr="00BC042E">
              <w:rPr>
                <w:lang w:eastAsia="en-GB"/>
              </w:rPr>
              <w:t xml:space="preserve">2-300 GHz  </w:t>
            </w:r>
          </w:p>
        </w:tc>
        <w:tc>
          <w:tcPr>
            <w:tcW w:w="1022" w:type="pct"/>
            <w:hideMark/>
          </w:tcPr>
          <w:p w:rsidR="00FD027D" w:rsidRPr="00BC042E" w:rsidRDefault="00FD027D" w:rsidP="000C5108">
            <w:pPr>
              <w:pStyle w:val="Tabletext"/>
              <w:rPr>
                <w:lang w:val="en-GB" w:eastAsia="en-GB"/>
              </w:rPr>
            </w:pPr>
            <w:r w:rsidRPr="00BC042E">
              <w:rPr>
                <w:lang w:eastAsia="en-GB"/>
              </w:rPr>
              <w:t>61</w:t>
            </w:r>
          </w:p>
        </w:tc>
        <w:tc>
          <w:tcPr>
            <w:tcW w:w="825" w:type="pct"/>
            <w:hideMark/>
          </w:tcPr>
          <w:p w:rsidR="00FD027D" w:rsidRPr="00BC042E" w:rsidRDefault="00FD027D" w:rsidP="000C5108">
            <w:pPr>
              <w:pStyle w:val="Tabletext"/>
              <w:rPr>
                <w:lang w:val="en-GB" w:eastAsia="en-GB"/>
              </w:rPr>
            </w:pPr>
            <w:r w:rsidRPr="00BC042E">
              <w:rPr>
                <w:lang w:eastAsia="en-GB"/>
              </w:rPr>
              <w:t>137</w:t>
            </w:r>
          </w:p>
        </w:tc>
        <w:tc>
          <w:tcPr>
            <w:tcW w:w="824" w:type="pct"/>
            <w:hideMark/>
          </w:tcPr>
          <w:p w:rsidR="00FD027D" w:rsidRPr="00BC042E" w:rsidRDefault="00FD027D" w:rsidP="000C5108">
            <w:pPr>
              <w:pStyle w:val="Tabletext"/>
              <w:rPr>
                <w:lang w:val="en-GB" w:eastAsia="en-GB"/>
              </w:rPr>
            </w:pPr>
            <w:r w:rsidRPr="00BC042E">
              <w:rPr>
                <w:lang w:eastAsia="en-GB"/>
              </w:rPr>
              <w:t>10</w:t>
            </w:r>
          </w:p>
        </w:tc>
        <w:tc>
          <w:tcPr>
            <w:tcW w:w="830" w:type="pct"/>
            <w:hideMark/>
          </w:tcPr>
          <w:p w:rsidR="00FD027D" w:rsidRPr="00BC042E" w:rsidRDefault="00FD027D" w:rsidP="000C5108">
            <w:pPr>
              <w:pStyle w:val="Tabletext"/>
              <w:rPr>
                <w:lang w:val="en-GB" w:eastAsia="en-GB"/>
              </w:rPr>
            </w:pPr>
            <w:r w:rsidRPr="00BC042E">
              <w:rPr>
                <w:lang w:eastAsia="en-GB"/>
              </w:rPr>
              <w:t>50</w:t>
            </w:r>
          </w:p>
        </w:tc>
      </w:tr>
    </w:tbl>
    <w:p w:rsidR="00FD027D" w:rsidRPr="00BC042E" w:rsidRDefault="00FD027D" w:rsidP="00FD027D">
      <w:pPr>
        <w:rPr>
          <w:szCs w:val="19"/>
          <w:lang w:eastAsia="en-US"/>
        </w:rPr>
      </w:pPr>
    </w:p>
    <w:p w:rsidR="00FD027D" w:rsidRDefault="00FD027D" w:rsidP="00FD027D">
      <w:pPr>
        <w:pStyle w:val="Figuretitle"/>
        <w:spacing w:before="120"/>
      </w:pPr>
      <w:bookmarkStart w:id="95" w:name="_Toc356299111"/>
      <w:bookmarkStart w:id="96" w:name="_Toc336265634"/>
      <w:bookmarkStart w:id="97" w:name="_Toc375239132"/>
      <w:r w:rsidRPr="00252687">
        <w:t xml:space="preserve">Figure </w:t>
      </w:r>
      <w:r w:rsidRPr="00252687">
        <w:fldChar w:fldCharType="begin"/>
      </w:r>
      <w:r w:rsidRPr="00252687">
        <w:instrText xml:space="preserve"> SEQ Figure \* ARABIC \s 1 </w:instrText>
      </w:r>
      <w:r w:rsidRPr="00252687">
        <w:fldChar w:fldCharType="separate"/>
      </w:r>
      <w:r>
        <w:rPr>
          <w:noProof/>
        </w:rPr>
        <w:t>1</w:t>
      </w:r>
      <w:r w:rsidRPr="00252687">
        <w:fldChar w:fldCharType="end"/>
      </w:r>
      <w:r w:rsidRPr="00252687">
        <w:t>: ICNIRP field strength reference levels; see also Table 2</w:t>
      </w:r>
      <w:bookmarkEnd w:id="95"/>
      <w:bookmarkEnd w:id="96"/>
      <w:bookmarkEnd w:id="97"/>
    </w:p>
    <w:p w:rsidR="00FD027D" w:rsidRDefault="00FD027D" w:rsidP="00FD027D">
      <w:pPr>
        <w:pStyle w:val="Figure"/>
        <w:spacing w:before="120"/>
      </w:pPr>
      <w:r w:rsidRPr="00BC042E">
        <w:rPr>
          <w:noProof/>
          <w:lang w:val="en-US" w:eastAsia="zh-CN"/>
        </w:rPr>
        <w:drawing>
          <wp:inline distT="0" distB="0" distL="0" distR="0" wp14:anchorId="5EC9A665" wp14:editId="79016BDF">
            <wp:extent cx="5179162" cy="2560320"/>
            <wp:effectExtent l="0" t="0" r="21590" b="1143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D027D" w:rsidRPr="00252687" w:rsidRDefault="00FD027D" w:rsidP="00FD027D">
      <w:pPr>
        <w:pStyle w:val="figuresource"/>
      </w:pPr>
    </w:p>
    <w:p w:rsidR="00FD027D" w:rsidRPr="00BC042E" w:rsidRDefault="00FD027D" w:rsidP="00FD027D">
      <w:pPr>
        <w:pStyle w:val="Caption"/>
      </w:pPr>
      <w:bookmarkStart w:id="98" w:name="_Toc356299112"/>
      <w:bookmarkStart w:id="99" w:name="_Toc336265635"/>
    </w:p>
    <w:p w:rsidR="00FD027D" w:rsidRDefault="00FD027D" w:rsidP="00FD027D">
      <w:pPr>
        <w:pStyle w:val="Figuretitle"/>
      </w:pPr>
      <w:bookmarkStart w:id="100" w:name="_Toc375239133"/>
      <w:r w:rsidRPr="00882FF2">
        <w:lastRenderedPageBreak/>
        <w:t xml:space="preserve">Figure </w:t>
      </w:r>
      <w:r w:rsidRPr="00882FF2">
        <w:fldChar w:fldCharType="begin"/>
      </w:r>
      <w:r w:rsidRPr="00882FF2">
        <w:instrText xml:space="preserve"> SEQ Figure \* ARABIC \s 1 </w:instrText>
      </w:r>
      <w:r w:rsidRPr="00882FF2">
        <w:fldChar w:fldCharType="separate"/>
      </w:r>
      <w:r>
        <w:rPr>
          <w:noProof/>
        </w:rPr>
        <w:t>2</w:t>
      </w:r>
      <w:r w:rsidRPr="00882FF2">
        <w:fldChar w:fldCharType="end"/>
      </w:r>
      <w:r w:rsidRPr="00882FF2">
        <w:t>: ICNIRP power density reference levels; above 10MHz only; see Table 2</w:t>
      </w:r>
      <w:bookmarkStart w:id="101" w:name="_Toc361912443"/>
      <w:bookmarkEnd w:id="98"/>
      <w:bookmarkEnd w:id="99"/>
      <w:bookmarkEnd w:id="100"/>
    </w:p>
    <w:p w:rsidR="00FD027D" w:rsidRDefault="00FD027D" w:rsidP="00FD027D">
      <w:pPr>
        <w:pStyle w:val="Figure"/>
      </w:pPr>
      <w:r w:rsidRPr="00BC042E">
        <w:rPr>
          <w:noProof/>
          <w:lang w:val="en-US" w:eastAsia="zh-CN"/>
        </w:rPr>
        <w:drawing>
          <wp:inline distT="0" distB="0" distL="0" distR="0" wp14:anchorId="46943B87" wp14:editId="3FBC8B13">
            <wp:extent cx="5156835" cy="2362200"/>
            <wp:effectExtent l="0" t="0" r="24765"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D027D" w:rsidRPr="00882FF2" w:rsidRDefault="00FD027D" w:rsidP="00FD027D">
      <w:pPr>
        <w:pStyle w:val="figuresource"/>
        <w:spacing w:before="120"/>
      </w:pPr>
    </w:p>
    <w:p w:rsidR="00FD027D" w:rsidRPr="006A2D6B" w:rsidRDefault="00FD027D" w:rsidP="00FD027D">
      <w:pPr>
        <w:pStyle w:val="Heading2"/>
        <w:rPr>
          <w:lang w:eastAsia="en-US"/>
        </w:rPr>
      </w:pPr>
      <w:bookmarkStart w:id="102" w:name="_Toc374691842"/>
      <w:bookmarkStart w:id="103" w:name="_Toc377560481"/>
      <w:r w:rsidRPr="006A2D6B">
        <w:t>2.1</w:t>
      </w:r>
      <w:r w:rsidRPr="006A2D6B">
        <w:tab/>
        <w:t>Exposure Levels: Cellular Base-Stations</w:t>
      </w:r>
      <w:bookmarkEnd w:id="92"/>
      <w:bookmarkEnd w:id="101"/>
      <w:bookmarkEnd w:id="102"/>
      <w:bookmarkEnd w:id="103"/>
    </w:p>
    <w:p w:rsidR="00FD027D" w:rsidRPr="007A19CC" w:rsidRDefault="00FD027D" w:rsidP="00FD027D">
      <w:pPr>
        <w:rPr>
          <w:lang w:val="en-US"/>
        </w:rPr>
      </w:pPr>
      <w:bookmarkStart w:id="104" w:name="_Toc122404840"/>
      <w:bookmarkStart w:id="105" w:name="_Toc124020448"/>
      <w:bookmarkStart w:id="106" w:name="_Toc124026980"/>
      <w:bookmarkStart w:id="107" w:name="_Toc124027421"/>
      <w:bookmarkStart w:id="108" w:name="_Toc124571119"/>
      <w:bookmarkStart w:id="109" w:name="_Toc124918549"/>
      <w:bookmarkStart w:id="110" w:name="_Toc128043074"/>
      <w:bookmarkStart w:id="111" w:name="_Toc144965636"/>
      <w:bookmarkStart w:id="112" w:name="_Toc147387478"/>
      <w:r w:rsidRPr="007A19CC">
        <w:rPr>
          <w:lang w:val="en-US"/>
        </w:rPr>
        <w:t xml:space="preserve">The limits of ICNIRP (1998:511, table 7) and the European Community (EC 1999/519: Annex III, table 2) are identical. The ICNIRP levels have been endorsed by the Commission's Scientific Steering Committee. Table 2 specifies these exposure limits </w:t>
      </w:r>
      <w:bookmarkEnd w:id="104"/>
      <w:bookmarkEnd w:id="105"/>
      <w:bookmarkEnd w:id="106"/>
      <w:bookmarkEnd w:id="107"/>
      <w:bookmarkEnd w:id="108"/>
      <w:bookmarkEnd w:id="109"/>
      <w:bookmarkEnd w:id="110"/>
      <w:bookmarkEnd w:id="111"/>
      <w:bookmarkEnd w:id="112"/>
      <w:r w:rsidRPr="007A19CC">
        <w:rPr>
          <w:lang w:val="en-US"/>
        </w:rPr>
        <w:t>for frequencies of cellular base stations.</w:t>
      </w:r>
      <w:bookmarkStart w:id="113" w:name="_Ref149546100"/>
      <w:bookmarkStart w:id="114" w:name="_Ref154567326"/>
      <w:bookmarkStart w:id="115" w:name="_Ref147993205"/>
      <w:bookmarkStart w:id="116" w:name="_Toc148460120"/>
      <w:bookmarkStart w:id="117" w:name="_Toc199908851"/>
      <w:bookmarkStart w:id="118" w:name="_Toc108101960"/>
    </w:p>
    <w:p w:rsidR="00FD027D" w:rsidRPr="00B47154" w:rsidRDefault="00FD027D" w:rsidP="00FD027D">
      <w:pPr>
        <w:pStyle w:val="Tabletitle"/>
      </w:pPr>
      <w:r w:rsidRPr="00B47154">
        <w:t>Table</w:t>
      </w:r>
      <w:bookmarkEnd w:id="113"/>
      <w:bookmarkEnd w:id="114"/>
      <w:r w:rsidRPr="00B47154">
        <w:t xml:space="preserve"> 3: ICNIRP and EC reference levels for exposure</w:t>
      </w:r>
      <w:bookmarkEnd w:id="115"/>
      <w:bookmarkEnd w:id="116"/>
      <w:bookmarkEnd w:id="117"/>
    </w:p>
    <w:tbl>
      <w:tblPr>
        <w:tblStyle w:val="Style1"/>
        <w:tblW w:w="4880" w:type="pct"/>
        <w:jc w:val="center"/>
        <w:tblLook w:val="01E0" w:firstRow="1" w:lastRow="1" w:firstColumn="1" w:lastColumn="1" w:noHBand="0" w:noVBand="0"/>
      </w:tblPr>
      <w:tblGrid>
        <w:gridCol w:w="1844"/>
        <w:gridCol w:w="1751"/>
        <w:gridCol w:w="1699"/>
        <w:gridCol w:w="1885"/>
        <w:gridCol w:w="1885"/>
      </w:tblGrid>
      <w:tr w:rsidR="00FD027D" w:rsidRPr="00C84343" w:rsidTr="000C5108">
        <w:trPr>
          <w:cnfStyle w:val="100000000000" w:firstRow="1" w:lastRow="0" w:firstColumn="0" w:lastColumn="0" w:oddVBand="0" w:evenVBand="0" w:oddHBand="0" w:evenHBand="0" w:firstRowFirstColumn="0" w:firstRowLastColumn="0" w:lastRowFirstColumn="0" w:lastRowLastColumn="0"/>
          <w:trHeight w:val="20"/>
          <w:jc w:val="center"/>
        </w:trPr>
        <w:tc>
          <w:tcPr>
            <w:tcW w:w="1017" w:type="pct"/>
          </w:tcPr>
          <w:p w:rsidR="00FD027D" w:rsidRPr="000B0EF9" w:rsidRDefault="00FD027D" w:rsidP="000C5108">
            <w:pPr>
              <w:pStyle w:val="Tablehead"/>
              <w:rPr>
                <w:lang w:eastAsia="en-GB"/>
              </w:rPr>
            </w:pPr>
            <w:r w:rsidRPr="000B0EF9">
              <w:rPr>
                <w:lang w:eastAsia="en-GB"/>
              </w:rPr>
              <w:t>Frequency range</w:t>
            </w:r>
          </w:p>
        </w:tc>
        <w:tc>
          <w:tcPr>
            <w:tcW w:w="966" w:type="pct"/>
          </w:tcPr>
          <w:p w:rsidR="00FD027D" w:rsidRPr="00061F17" w:rsidRDefault="00FD027D" w:rsidP="000C5108">
            <w:pPr>
              <w:pStyle w:val="Tablehead"/>
              <w:rPr>
                <w:lang w:eastAsia="en-GB"/>
              </w:rPr>
            </w:pPr>
            <w:r w:rsidRPr="00061F17">
              <w:rPr>
                <w:lang w:eastAsia="en-GB"/>
              </w:rPr>
              <w:t>Electric field strength (V/m)</w:t>
            </w:r>
          </w:p>
        </w:tc>
        <w:tc>
          <w:tcPr>
            <w:tcW w:w="937" w:type="pct"/>
          </w:tcPr>
          <w:p w:rsidR="00FD027D" w:rsidRPr="00061F17" w:rsidRDefault="00FD027D" w:rsidP="000C5108">
            <w:pPr>
              <w:pStyle w:val="Tablehead"/>
              <w:rPr>
                <w:lang w:eastAsia="en-GB"/>
              </w:rPr>
            </w:pPr>
            <w:r w:rsidRPr="00061F17">
              <w:rPr>
                <w:lang w:eastAsia="en-GB"/>
              </w:rPr>
              <w:t>Magnetic field strength (A/m)</w:t>
            </w:r>
          </w:p>
        </w:tc>
        <w:tc>
          <w:tcPr>
            <w:tcW w:w="1040" w:type="pct"/>
          </w:tcPr>
          <w:p w:rsidR="00FD027D" w:rsidRPr="00061F17" w:rsidRDefault="00FD027D" w:rsidP="000C5108">
            <w:pPr>
              <w:pStyle w:val="Tablehead"/>
              <w:rPr>
                <w:lang w:eastAsia="en-GB"/>
              </w:rPr>
            </w:pPr>
            <w:r w:rsidRPr="00061F17">
              <w:rPr>
                <w:lang w:eastAsia="en-GB"/>
              </w:rPr>
              <w:t>Equivalent plane wave power density S</w:t>
            </w:r>
            <w:r w:rsidRPr="00061F17">
              <w:rPr>
                <w:vertAlign w:val="subscript"/>
                <w:lang w:eastAsia="en-GB"/>
              </w:rPr>
              <w:t>eq</w:t>
            </w:r>
            <w:r w:rsidRPr="00061F17">
              <w:rPr>
                <w:lang w:eastAsia="en-GB"/>
              </w:rPr>
              <w:t>(W/m</w:t>
            </w:r>
            <w:r w:rsidRPr="00061F17">
              <w:rPr>
                <w:vertAlign w:val="superscript"/>
                <w:lang w:eastAsia="en-GB"/>
              </w:rPr>
              <w:t>2</w:t>
            </w:r>
            <w:r w:rsidRPr="00061F17">
              <w:rPr>
                <w:lang w:eastAsia="en-GB"/>
              </w:rPr>
              <w:t>)</w:t>
            </w:r>
          </w:p>
        </w:tc>
        <w:tc>
          <w:tcPr>
            <w:tcW w:w="1040" w:type="pct"/>
          </w:tcPr>
          <w:p w:rsidR="00FD027D" w:rsidRPr="00061F17" w:rsidRDefault="00FD027D" w:rsidP="000C5108">
            <w:pPr>
              <w:pStyle w:val="Tablehead"/>
              <w:rPr>
                <w:lang w:eastAsia="en-GB"/>
              </w:rPr>
            </w:pPr>
            <w:r w:rsidRPr="00061F17">
              <w:rPr>
                <w:lang w:eastAsia="en-GB"/>
              </w:rPr>
              <w:t>Magnetic Flux Density (µT), B</w:t>
            </w:r>
          </w:p>
        </w:tc>
      </w:tr>
      <w:tr w:rsidR="00FD027D" w:rsidRPr="00BC042E" w:rsidTr="000C5108">
        <w:trPr>
          <w:cnfStyle w:val="000000100000" w:firstRow="0" w:lastRow="0" w:firstColumn="0" w:lastColumn="0" w:oddVBand="0" w:evenVBand="0" w:oddHBand="1" w:evenHBand="0" w:firstRowFirstColumn="0" w:firstRowLastColumn="0" w:lastRowFirstColumn="0" w:lastRowLastColumn="0"/>
          <w:trHeight w:val="20"/>
          <w:jc w:val="center"/>
        </w:trPr>
        <w:tc>
          <w:tcPr>
            <w:tcW w:w="1017" w:type="pct"/>
          </w:tcPr>
          <w:p w:rsidR="00FD027D" w:rsidRPr="00BC042E" w:rsidRDefault="00FD027D" w:rsidP="000C5108">
            <w:pPr>
              <w:pStyle w:val="Tabletext"/>
              <w:rPr>
                <w:lang w:eastAsia="en-GB"/>
              </w:rPr>
            </w:pPr>
            <w:r w:rsidRPr="00BC042E">
              <w:rPr>
                <w:lang w:eastAsia="en-GB"/>
              </w:rPr>
              <w:t>400-2000 MHz</w:t>
            </w:r>
          </w:p>
        </w:tc>
        <w:tc>
          <w:tcPr>
            <w:tcW w:w="966" w:type="pct"/>
          </w:tcPr>
          <w:p w:rsidR="00FD027D" w:rsidRPr="00BC042E" w:rsidRDefault="00FD027D" w:rsidP="000C5108">
            <w:pPr>
              <w:pStyle w:val="Tabletext"/>
              <w:rPr>
                <w:lang w:eastAsia="en-GB"/>
              </w:rPr>
            </w:pPr>
            <w:r w:rsidRPr="00BC042E">
              <w:rPr>
                <w:lang w:eastAsia="en-GB"/>
              </w:rPr>
              <w:t xml:space="preserve">1.375f </w:t>
            </w:r>
            <w:r>
              <w:rPr>
                <w:vertAlign w:val="superscript"/>
                <w:lang w:eastAsia="en-GB"/>
              </w:rPr>
              <w:t>½</w:t>
            </w:r>
          </w:p>
        </w:tc>
        <w:tc>
          <w:tcPr>
            <w:tcW w:w="937" w:type="pct"/>
          </w:tcPr>
          <w:p w:rsidR="00FD027D" w:rsidRPr="00BC042E" w:rsidRDefault="00FD027D" w:rsidP="000C5108">
            <w:pPr>
              <w:pStyle w:val="Tabletext"/>
              <w:rPr>
                <w:lang w:eastAsia="en-GB"/>
              </w:rPr>
            </w:pPr>
            <w:r w:rsidRPr="00BC042E">
              <w:rPr>
                <w:lang w:eastAsia="en-GB"/>
              </w:rPr>
              <w:t xml:space="preserve">0.0037f </w:t>
            </w:r>
            <w:r w:rsidRPr="00BC042E">
              <w:rPr>
                <w:vertAlign w:val="superscript"/>
                <w:lang w:eastAsia="en-GB"/>
              </w:rPr>
              <w:t>1/2</w:t>
            </w:r>
          </w:p>
        </w:tc>
        <w:tc>
          <w:tcPr>
            <w:tcW w:w="1040" w:type="pct"/>
          </w:tcPr>
          <w:p w:rsidR="00FD027D" w:rsidRPr="00BC042E" w:rsidRDefault="00FD027D" w:rsidP="000C5108">
            <w:pPr>
              <w:pStyle w:val="Tabletext"/>
              <w:rPr>
                <w:lang w:eastAsia="en-GB"/>
              </w:rPr>
            </w:pPr>
            <w:r w:rsidRPr="00BC042E">
              <w:rPr>
                <w:lang w:eastAsia="en-GB"/>
              </w:rPr>
              <w:t>f/200</w:t>
            </w:r>
          </w:p>
        </w:tc>
        <w:tc>
          <w:tcPr>
            <w:tcW w:w="1040" w:type="pct"/>
          </w:tcPr>
          <w:p w:rsidR="00FD027D" w:rsidRPr="00BC042E" w:rsidRDefault="00FD027D" w:rsidP="000C5108">
            <w:pPr>
              <w:pStyle w:val="Tabletext"/>
              <w:rPr>
                <w:lang w:eastAsia="en-GB"/>
              </w:rPr>
            </w:pPr>
            <w:r w:rsidRPr="00BC042E">
              <w:rPr>
                <w:lang w:eastAsia="en-GB"/>
              </w:rPr>
              <w:t xml:space="preserve">0.0046 f </w:t>
            </w:r>
            <w:r w:rsidRPr="00BC042E">
              <w:rPr>
                <w:vertAlign w:val="superscript"/>
                <w:lang w:eastAsia="en-GB"/>
              </w:rPr>
              <w:t>½</w:t>
            </w:r>
          </w:p>
        </w:tc>
      </w:tr>
      <w:tr w:rsidR="00FD027D" w:rsidRPr="00BC042E" w:rsidTr="000C5108">
        <w:trPr>
          <w:cnfStyle w:val="000000010000" w:firstRow="0" w:lastRow="0" w:firstColumn="0" w:lastColumn="0" w:oddVBand="0" w:evenVBand="0" w:oddHBand="0" w:evenHBand="1" w:firstRowFirstColumn="0" w:firstRowLastColumn="0" w:lastRowFirstColumn="0" w:lastRowLastColumn="0"/>
          <w:trHeight w:val="20"/>
          <w:jc w:val="center"/>
        </w:trPr>
        <w:tc>
          <w:tcPr>
            <w:tcW w:w="1017" w:type="pct"/>
          </w:tcPr>
          <w:p w:rsidR="00FD027D" w:rsidRPr="00BC042E" w:rsidRDefault="00FD027D" w:rsidP="000C5108">
            <w:pPr>
              <w:pStyle w:val="Tabletext"/>
              <w:rPr>
                <w:lang w:eastAsia="en-GB"/>
              </w:rPr>
            </w:pPr>
            <w:r w:rsidRPr="00BC042E">
              <w:rPr>
                <w:lang w:eastAsia="en-GB"/>
              </w:rPr>
              <w:t>2-300 GHz</w:t>
            </w:r>
          </w:p>
        </w:tc>
        <w:tc>
          <w:tcPr>
            <w:tcW w:w="966" w:type="pct"/>
          </w:tcPr>
          <w:p w:rsidR="00FD027D" w:rsidRPr="00BC042E" w:rsidRDefault="00FD027D" w:rsidP="000C5108">
            <w:pPr>
              <w:pStyle w:val="Tabletext"/>
              <w:rPr>
                <w:lang w:eastAsia="en-GB"/>
              </w:rPr>
            </w:pPr>
            <w:r w:rsidRPr="00BC042E">
              <w:rPr>
                <w:lang w:eastAsia="en-GB"/>
              </w:rPr>
              <w:t>61</w:t>
            </w:r>
          </w:p>
        </w:tc>
        <w:tc>
          <w:tcPr>
            <w:tcW w:w="937" w:type="pct"/>
          </w:tcPr>
          <w:p w:rsidR="00FD027D" w:rsidRPr="00BC042E" w:rsidRDefault="00FD027D" w:rsidP="000C5108">
            <w:pPr>
              <w:pStyle w:val="Tabletext"/>
              <w:rPr>
                <w:lang w:eastAsia="en-GB"/>
              </w:rPr>
            </w:pPr>
            <w:r w:rsidRPr="00BC042E">
              <w:rPr>
                <w:lang w:eastAsia="en-GB"/>
              </w:rPr>
              <w:t>0.16</w:t>
            </w:r>
          </w:p>
        </w:tc>
        <w:tc>
          <w:tcPr>
            <w:tcW w:w="1040" w:type="pct"/>
          </w:tcPr>
          <w:p w:rsidR="00FD027D" w:rsidRPr="00BC042E" w:rsidRDefault="00FD027D" w:rsidP="000C5108">
            <w:pPr>
              <w:pStyle w:val="Tabletext"/>
              <w:rPr>
                <w:lang w:eastAsia="en-GB"/>
              </w:rPr>
            </w:pPr>
            <w:r w:rsidRPr="00BC042E">
              <w:rPr>
                <w:lang w:eastAsia="en-GB"/>
              </w:rPr>
              <w:t>10</w:t>
            </w:r>
          </w:p>
        </w:tc>
        <w:tc>
          <w:tcPr>
            <w:tcW w:w="1040" w:type="pct"/>
          </w:tcPr>
          <w:p w:rsidR="00FD027D" w:rsidRPr="00BC042E" w:rsidRDefault="00FD027D" w:rsidP="000C5108">
            <w:pPr>
              <w:pStyle w:val="Tabletext"/>
              <w:rPr>
                <w:lang w:eastAsia="en-GB"/>
              </w:rPr>
            </w:pPr>
            <w:r w:rsidRPr="00BC042E">
              <w:rPr>
                <w:lang w:eastAsia="en-GB"/>
              </w:rPr>
              <w:t>0.2</w:t>
            </w:r>
          </w:p>
        </w:tc>
      </w:tr>
    </w:tbl>
    <w:p w:rsidR="00FD027D" w:rsidRPr="00BC042E" w:rsidRDefault="00FD027D" w:rsidP="00FD027D">
      <w:pPr>
        <w:pStyle w:val="Tablesource"/>
      </w:pPr>
      <w:bookmarkStart w:id="119" w:name="_Toc147387745"/>
      <w:bookmarkEnd w:id="118"/>
      <w:r w:rsidRPr="00BC042E">
        <w:t>Table 3 specifies the US thresholds for cellular base stations.</w:t>
      </w:r>
    </w:p>
    <w:p w:rsidR="00FD027D" w:rsidRPr="007A19CC" w:rsidRDefault="00FD027D" w:rsidP="00FD027D">
      <w:pPr>
        <w:pStyle w:val="Tabletitle"/>
        <w:rPr>
          <w:lang w:val="fr-CH"/>
        </w:rPr>
      </w:pPr>
      <w:bookmarkStart w:id="120" w:name="_Ref149546227"/>
      <w:bookmarkStart w:id="121" w:name="_Toc147387748"/>
      <w:bookmarkStart w:id="122" w:name="_Toc148460122"/>
      <w:bookmarkStart w:id="123" w:name="_Toc199908852"/>
      <w:bookmarkStart w:id="124" w:name="_Toc33287256"/>
      <w:bookmarkStart w:id="125" w:name="_Toc76900331"/>
      <w:bookmarkStart w:id="126" w:name="_Toc147387746"/>
      <w:bookmarkEnd w:id="119"/>
      <w:r w:rsidRPr="007A19CC">
        <w:rPr>
          <w:lang w:val="fr-CH"/>
        </w:rPr>
        <w:t xml:space="preserve">Table </w:t>
      </w:r>
      <w:bookmarkEnd w:id="120"/>
      <w:r w:rsidRPr="007A19CC">
        <w:rPr>
          <w:lang w:val="fr-CH"/>
        </w:rPr>
        <w:t>4 : FCC exposure limits (FCC 2001:67)</w:t>
      </w:r>
      <w:bookmarkEnd w:id="121"/>
      <w:bookmarkEnd w:id="122"/>
      <w:bookmarkEnd w:id="123"/>
    </w:p>
    <w:tbl>
      <w:tblPr>
        <w:tblStyle w:val="Style1"/>
        <w:tblW w:w="5000" w:type="pct"/>
        <w:jc w:val="center"/>
        <w:tblLook w:val="01E0" w:firstRow="1" w:lastRow="1" w:firstColumn="1" w:lastColumn="1" w:noHBand="0" w:noVBand="0"/>
      </w:tblPr>
      <w:tblGrid>
        <w:gridCol w:w="2896"/>
        <w:gridCol w:w="2035"/>
        <w:gridCol w:w="2060"/>
        <w:gridCol w:w="2296"/>
      </w:tblGrid>
      <w:tr w:rsidR="00FD027D" w:rsidRPr="00C84343" w:rsidTr="000C5108">
        <w:trPr>
          <w:cnfStyle w:val="100000000000" w:firstRow="1" w:lastRow="0" w:firstColumn="0" w:lastColumn="0" w:oddVBand="0" w:evenVBand="0" w:oddHBand="0" w:evenHBand="0" w:firstRowFirstColumn="0" w:firstRowLastColumn="0" w:lastRowFirstColumn="0" w:lastRowLastColumn="0"/>
          <w:trHeight w:val="315"/>
          <w:jc w:val="center"/>
        </w:trPr>
        <w:tc>
          <w:tcPr>
            <w:tcW w:w="2619" w:type="dxa"/>
            <w:noWrap/>
          </w:tcPr>
          <w:p w:rsidR="00FD027D" w:rsidRPr="000B0EF9" w:rsidRDefault="00FD027D" w:rsidP="000C5108">
            <w:pPr>
              <w:pStyle w:val="Tablehead"/>
              <w:rPr>
                <w:lang w:eastAsia="en-GB"/>
              </w:rPr>
            </w:pPr>
            <w:r w:rsidRPr="000B0EF9">
              <w:rPr>
                <w:lang w:eastAsia="en-GB"/>
              </w:rPr>
              <w:t>Frequency Range MHz</w:t>
            </w:r>
          </w:p>
        </w:tc>
        <w:tc>
          <w:tcPr>
            <w:tcW w:w="1841" w:type="dxa"/>
            <w:noWrap/>
          </w:tcPr>
          <w:p w:rsidR="00FD027D" w:rsidRPr="00061F17" w:rsidRDefault="00FD027D" w:rsidP="000C5108">
            <w:pPr>
              <w:pStyle w:val="Tablehead"/>
              <w:rPr>
                <w:lang w:eastAsia="en-GB"/>
              </w:rPr>
            </w:pPr>
            <w:r w:rsidRPr="00061F17">
              <w:rPr>
                <w:lang w:eastAsia="en-GB"/>
              </w:rPr>
              <w:t>Electric Field (E)  (V/m)</w:t>
            </w:r>
          </w:p>
        </w:tc>
        <w:tc>
          <w:tcPr>
            <w:tcW w:w="1863" w:type="dxa"/>
            <w:noWrap/>
          </w:tcPr>
          <w:p w:rsidR="00FD027D" w:rsidRPr="00061F17" w:rsidRDefault="00FD027D" w:rsidP="000C5108">
            <w:pPr>
              <w:pStyle w:val="Tablehead"/>
              <w:rPr>
                <w:lang w:eastAsia="en-GB"/>
              </w:rPr>
            </w:pPr>
            <w:r w:rsidRPr="00061F17">
              <w:rPr>
                <w:lang w:eastAsia="en-GB"/>
              </w:rPr>
              <w:t>Magnetic Field H (A/m)</w:t>
            </w:r>
          </w:p>
        </w:tc>
        <w:tc>
          <w:tcPr>
            <w:tcW w:w="2077" w:type="dxa"/>
            <w:noWrap/>
          </w:tcPr>
          <w:p w:rsidR="00FD027D" w:rsidRPr="00061F17" w:rsidRDefault="00FD027D" w:rsidP="000C5108">
            <w:pPr>
              <w:pStyle w:val="Tablehead"/>
              <w:rPr>
                <w:lang w:eastAsia="en-GB"/>
              </w:rPr>
            </w:pPr>
            <w:r w:rsidRPr="00061F17">
              <w:rPr>
                <w:lang w:eastAsia="en-GB"/>
              </w:rPr>
              <w:t>Power Density (S) (mW/cm</w:t>
            </w:r>
            <w:r w:rsidRPr="00061F17">
              <w:rPr>
                <w:vertAlign w:val="superscript"/>
                <w:lang w:eastAsia="en-GB"/>
              </w:rPr>
              <w:t>2</w:t>
            </w:r>
            <w:r w:rsidRPr="00061F17">
              <w:rPr>
                <w:lang w:eastAsia="en-GB"/>
              </w:rPr>
              <w:t>)</w:t>
            </w:r>
          </w:p>
        </w:tc>
      </w:tr>
      <w:tr w:rsidR="00FD027D" w:rsidRPr="00BC042E" w:rsidTr="000C5108">
        <w:trPr>
          <w:cnfStyle w:val="000000100000" w:firstRow="0" w:lastRow="0" w:firstColumn="0" w:lastColumn="0" w:oddVBand="0" w:evenVBand="0" w:oddHBand="1" w:evenHBand="0" w:firstRowFirstColumn="0" w:firstRowLastColumn="0" w:lastRowFirstColumn="0" w:lastRowLastColumn="0"/>
          <w:trHeight w:val="315"/>
          <w:jc w:val="center"/>
        </w:trPr>
        <w:tc>
          <w:tcPr>
            <w:tcW w:w="2619" w:type="dxa"/>
            <w:noWrap/>
          </w:tcPr>
          <w:p w:rsidR="00FD027D" w:rsidRPr="00BC042E" w:rsidRDefault="00FD027D" w:rsidP="000C5108">
            <w:pPr>
              <w:pStyle w:val="Tabletext"/>
              <w:rPr>
                <w:lang w:eastAsia="en-GB"/>
              </w:rPr>
            </w:pPr>
            <w:r w:rsidRPr="00BC042E">
              <w:rPr>
                <w:lang w:eastAsia="en-GB"/>
              </w:rPr>
              <w:t>30-300</w:t>
            </w:r>
          </w:p>
        </w:tc>
        <w:tc>
          <w:tcPr>
            <w:tcW w:w="1841" w:type="dxa"/>
            <w:noWrap/>
          </w:tcPr>
          <w:p w:rsidR="00FD027D" w:rsidRPr="00BC042E" w:rsidRDefault="00FD027D" w:rsidP="000C5108">
            <w:pPr>
              <w:pStyle w:val="Tabletext"/>
              <w:rPr>
                <w:lang w:eastAsia="en-GB"/>
              </w:rPr>
            </w:pPr>
            <w:r w:rsidRPr="00BC042E">
              <w:rPr>
                <w:lang w:eastAsia="en-GB"/>
              </w:rPr>
              <w:t>27.5</w:t>
            </w:r>
          </w:p>
        </w:tc>
        <w:tc>
          <w:tcPr>
            <w:tcW w:w="1863" w:type="dxa"/>
            <w:noWrap/>
          </w:tcPr>
          <w:p w:rsidR="00FD027D" w:rsidRPr="00BC042E" w:rsidRDefault="00FD027D" w:rsidP="000C5108">
            <w:pPr>
              <w:pStyle w:val="Tabletext"/>
              <w:rPr>
                <w:lang w:eastAsia="en-GB"/>
              </w:rPr>
            </w:pPr>
            <w:r w:rsidRPr="00BC042E">
              <w:rPr>
                <w:lang w:eastAsia="en-GB"/>
              </w:rPr>
              <w:t>0.073</w:t>
            </w:r>
          </w:p>
        </w:tc>
        <w:tc>
          <w:tcPr>
            <w:tcW w:w="2077" w:type="dxa"/>
            <w:noWrap/>
          </w:tcPr>
          <w:p w:rsidR="00FD027D" w:rsidRPr="00BC042E" w:rsidRDefault="00FD027D" w:rsidP="000C5108">
            <w:pPr>
              <w:pStyle w:val="Tabletext"/>
              <w:rPr>
                <w:lang w:eastAsia="en-GB"/>
              </w:rPr>
            </w:pPr>
            <w:r w:rsidRPr="00BC042E">
              <w:rPr>
                <w:lang w:eastAsia="en-GB"/>
              </w:rPr>
              <w:t>0.2</w:t>
            </w:r>
          </w:p>
        </w:tc>
      </w:tr>
      <w:tr w:rsidR="00FD027D" w:rsidRPr="00BC042E" w:rsidTr="000C5108">
        <w:trPr>
          <w:cnfStyle w:val="000000010000" w:firstRow="0" w:lastRow="0" w:firstColumn="0" w:lastColumn="0" w:oddVBand="0" w:evenVBand="0" w:oddHBand="0" w:evenHBand="1" w:firstRowFirstColumn="0" w:firstRowLastColumn="0" w:lastRowFirstColumn="0" w:lastRowLastColumn="0"/>
          <w:trHeight w:val="315"/>
          <w:jc w:val="center"/>
        </w:trPr>
        <w:tc>
          <w:tcPr>
            <w:tcW w:w="2619" w:type="dxa"/>
            <w:noWrap/>
          </w:tcPr>
          <w:p w:rsidR="00FD027D" w:rsidRPr="00BC042E" w:rsidRDefault="00FD027D" w:rsidP="000C5108">
            <w:pPr>
              <w:pStyle w:val="Tabletext"/>
              <w:rPr>
                <w:lang w:eastAsia="en-GB"/>
              </w:rPr>
            </w:pPr>
            <w:r w:rsidRPr="00BC042E">
              <w:rPr>
                <w:lang w:eastAsia="en-GB"/>
              </w:rPr>
              <w:t>300-1500</w:t>
            </w:r>
          </w:p>
        </w:tc>
        <w:tc>
          <w:tcPr>
            <w:tcW w:w="1841" w:type="dxa"/>
            <w:noWrap/>
          </w:tcPr>
          <w:p w:rsidR="00FD027D" w:rsidRPr="00BC042E" w:rsidRDefault="00FD027D" w:rsidP="000C5108">
            <w:pPr>
              <w:pStyle w:val="Tabletext"/>
              <w:rPr>
                <w:lang w:eastAsia="en-GB"/>
              </w:rPr>
            </w:pPr>
            <w:r w:rsidRPr="00BC042E">
              <w:rPr>
                <w:lang w:eastAsia="en-GB"/>
              </w:rPr>
              <w:t>--</w:t>
            </w:r>
          </w:p>
        </w:tc>
        <w:tc>
          <w:tcPr>
            <w:tcW w:w="1863" w:type="dxa"/>
            <w:noWrap/>
          </w:tcPr>
          <w:p w:rsidR="00FD027D" w:rsidRPr="00BC042E" w:rsidRDefault="00FD027D" w:rsidP="000C5108">
            <w:pPr>
              <w:pStyle w:val="Tabletext"/>
              <w:rPr>
                <w:lang w:eastAsia="en-GB"/>
              </w:rPr>
            </w:pPr>
            <w:r w:rsidRPr="00BC042E">
              <w:rPr>
                <w:lang w:eastAsia="en-GB"/>
              </w:rPr>
              <w:t>--</w:t>
            </w:r>
          </w:p>
        </w:tc>
        <w:tc>
          <w:tcPr>
            <w:tcW w:w="2077" w:type="dxa"/>
            <w:noWrap/>
          </w:tcPr>
          <w:p w:rsidR="00FD027D" w:rsidRPr="00BC042E" w:rsidRDefault="00FD027D" w:rsidP="000C5108">
            <w:pPr>
              <w:pStyle w:val="Tabletext"/>
              <w:rPr>
                <w:lang w:eastAsia="en-GB"/>
              </w:rPr>
            </w:pPr>
            <w:r w:rsidRPr="00BC042E">
              <w:rPr>
                <w:lang w:eastAsia="en-GB"/>
              </w:rPr>
              <w:t>f/1500</w:t>
            </w:r>
          </w:p>
        </w:tc>
      </w:tr>
      <w:tr w:rsidR="00FD027D" w:rsidRPr="00BC042E" w:rsidTr="000C5108">
        <w:trPr>
          <w:cnfStyle w:val="000000100000" w:firstRow="0" w:lastRow="0" w:firstColumn="0" w:lastColumn="0" w:oddVBand="0" w:evenVBand="0" w:oddHBand="1" w:evenHBand="0" w:firstRowFirstColumn="0" w:firstRowLastColumn="0" w:lastRowFirstColumn="0" w:lastRowLastColumn="0"/>
          <w:trHeight w:val="315"/>
          <w:jc w:val="center"/>
        </w:trPr>
        <w:tc>
          <w:tcPr>
            <w:tcW w:w="2619" w:type="dxa"/>
            <w:noWrap/>
          </w:tcPr>
          <w:p w:rsidR="00FD027D" w:rsidRPr="00BC042E" w:rsidRDefault="00FD027D" w:rsidP="000C5108">
            <w:pPr>
              <w:pStyle w:val="Tabletext"/>
              <w:rPr>
                <w:lang w:eastAsia="en-GB"/>
              </w:rPr>
            </w:pPr>
            <w:r w:rsidRPr="00BC042E">
              <w:rPr>
                <w:lang w:eastAsia="en-GB"/>
              </w:rPr>
              <w:t>1500-100,000</w:t>
            </w:r>
          </w:p>
        </w:tc>
        <w:tc>
          <w:tcPr>
            <w:tcW w:w="1841" w:type="dxa"/>
            <w:noWrap/>
          </w:tcPr>
          <w:p w:rsidR="00FD027D" w:rsidRPr="00BC042E" w:rsidRDefault="00FD027D" w:rsidP="000C5108">
            <w:pPr>
              <w:pStyle w:val="Tabletext"/>
              <w:rPr>
                <w:lang w:eastAsia="en-GB"/>
              </w:rPr>
            </w:pPr>
            <w:r w:rsidRPr="00BC042E">
              <w:rPr>
                <w:lang w:eastAsia="en-GB"/>
              </w:rPr>
              <w:t>--</w:t>
            </w:r>
          </w:p>
        </w:tc>
        <w:tc>
          <w:tcPr>
            <w:tcW w:w="1863" w:type="dxa"/>
            <w:noWrap/>
          </w:tcPr>
          <w:p w:rsidR="00FD027D" w:rsidRPr="00BC042E" w:rsidRDefault="00FD027D" w:rsidP="000C5108">
            <w:pPr>
              <w:pStyle w:val="Tabletext"/>
              <w:rPr>
                <w:lang w:eastAsia="en-GB"/>
              </w:rPr>
            </w:pPr>
            <w:r w:rsidRPr="00BC042E">
              <w:rPr>
                <w:lang w:eastAsia="en-GB"/>
              </w:rPr>
              <w:t>--</w:t>
            </w:r>
          </w:p>
        </w:tc>
        <w:tc>
          <w:tcPr>
            <w:tcW w:w="2077" w:type="dxa"/>
            <w:noWrap/>
          </w:tcPr>
          <w:p w:rsidR="00FD027D" w:rsidRPr="00BC042E" w:rsidRDefault="00FD027D" w:rsidP="000C5108">
            <w:pPr>
              <w:pStyle w:val="Tabletext"/>
              <w:rPr>
                <w:lang w:eastAsia="en-GB"/>
              </w:rPr>
            </w:pPr>
            <w:r w:rsidRPr="00BC042E">
              <w:rPr>
                <w:lang w:eastAsia="en-GB"/>
              </w:rPr>
              <w:t>1</w:t>
            </w:r>
          </w:p>
        </w:tc>
      </w:tr>
    </w:tbl>
    <w:p w:rsidR="00FD027D" w:rsidRPr="00BC042E" w:rsidRDefault="00FD027D" w:rsidP="00FD027D">
      <w:pPr>
        <w:pStyle w:val="Tablesource"/>
      </w:pPr>
      <w:r w:rsidRPr="00BC042E">
        <w:t>Table-</w:t>
      </w:r>
      <w:r>
        <w:t>4</w:t>
      </w:r>
      <w:r w:rsidRPr="00BC042E">
        <w:t xml:space="preserve"> depicts that the levels in power exposure limits of the US are 4/3 (=200/150) higher than ICNIRP and Europe. </w:t>
      </w:r>
    </w:p>
    <w:p w:rsidR="00FD027D" w:rsidRPr="007A19CC" w:rsidRDefault="00FD027D" w:rsidP="00FD027D">
      <w:pPr>
        <w:rPr>
          <w:lang w:val="en-US"/>
        </w:rPr>
      </w:pPr>
      <w:r w:rsidRPr="007A19CC">
        <w:rPr>
          <w:lang w:val="en-US"/>
        </w:rPr>
        <w:t xml:space="preserve">The IEEE maximum permissible exposure 2005 updates are shown in Table 5. </w:t>
      </w:r>
    </w:p>
    <w:p w:rsidR="00FD027D" w:rsidRDefault="00FD027D" w:rsidP="00FD027D">
      <w:pPr>
        <w:pStyle w:val="Tabletitle"/>
      </w:pPr>
      <w:bookmarkStart w:id="127" w:name="_Ref149546318"/>
      <w:bookmarkStart w:id="128" w:name="_Toc148460123"/>
      <w:bookmarkStart w:id="129" w:name="_Toc199908853"/>
      <w:r>
        <w:br w:type="page"/>
      </w:r>
    </w:p>
    <w:p w:rsidR="00FD027D" w:rsidRPr="00FE56DC" w:rsidRDefault="00FD027D" w:rsidP="00FD027D">
      <w:pPr>
        <w:pStyle w:val="Tabletitle"/>
      </w:pPr>
      <w:r w:rsidRPr="00FE56DC">
        <w:lastRenderedPageBreak/>
        <w:t xml:space="preserve">Table </w:t>
      </w:r>
      <w:bookmarkEnd w:id="127"/>
      <w:r w:rsidRPr="00FE56DC">
        <w:t>5</w:t>
      </w:r>
      <w:r>
        <w:t>:</w:t>
      </w:r>
      <w:r w:rsidRPr="00FE56DC">
        <w:t xml:space="preserve"> The 2005 IEEE permissible exposure (</w:t>
      </w:r>
      <w:r>
        <w:rPr>
          <w:rStyle w:val="CharChar"/>
          <w:rFonts w:ascii="Verdana" w:hAnsi="Verdana"/>
          <w:sz w:val="18"/>
          <w:szCs w:val="18"/>
        </w:rPr>
        <w:t>IEEE Std C95.1-2005:25, T</w:t>
      </w:r>
      <w:r w:rsidRPr="00FE56DC">
        <w:rPr>
          <w:rStyle w:val="CharChar"/>
          <w:rFonts w:ascii="Verdana" w:hAnsi="Verdana"/>
          <w:sz w:val="18"/>
          <w:szCs w:val="18"/>
        </w:rPr>
        <w:t>able 9</w:t>
      </w:r>
      <w:r w:rsidRPr="00FE56DC">
        <w:t>)</w:t>
      </w:r>
      <w:bookmarkEnd w:id="128"/>
      <w:bookmarkEnd w:id="129"/>
    </w:p>
    <w:tbl>
      <w:tblPr>
        <w:tblStyle w:val="Style1"/>
        <w:tblW w:w="5000" w:type="pct"/>
        <w:jc w:val="center"/>
        <w:tblLook w:val="01E0" w:firstRow="1" w:lastRow="1" w:firstColumn="1" w:lastColumn="1" w:noHBand="0" w:noVBand="0"/>
      </w:tblPr>
      <w:tblGrid>
        <w:gridCol w:w="2896"/>
        <w:gridCol w:w="2035"/>
        <w:gridCol w:w="2060"/>
        <w:gridCol w:w="2296"/>
      </w:tblGrid>
      <w:tr w:rsidR="00FD027D" w:rsidRPr="00C84343" w:rsidTr="000C5108">
        <w:trPr>
          <w:cnfStyle w:val="100000000000" w:firstRow="1" w:lastRow="0" w:firstColumn="0" w:lastColumn="0" w:oddVBand="0" w:evenVBand="0" w:oddHBand="0" w:evenHBand="0" w:firstRowFirstColumn="0" w:firstRowLastColumn="0" w:lastRowFirstColumn="0" w:lastRowLastColumn="0"/>
          <w:trHeight w:val="315"/>
          <w:jc w:val="center"/>
        </w:trPr>
        <w:tc>
          <w:tcPr>
            <w:tcW w:w="2619" w:type="dxa"/>
            <w:noWrap/>
          </w:tcPr>
          <w:p w:rsidR="00FD027D" w:rsidRPr="000B0EF9" w:rsidRDefault="00FD027D" w:rsidP="000C5108">
            <w:pPr>
              <w:pStyle w:val="Tablehead"/>
              <w:rPr>
                <w:lang w:eastAsia="en-GB"/>
              </w:rPr>
            </w:pPr>
            <w:r w:rsidRPr="000B0EF9">
              <w:rPr>
                <w:lang w:eastAsia="en-GB"/>
              </w:rPr>
              <w:t>Frequency Range MHz</w:t>
            </w:r>
          </w:p>
        </w:tc>
        <w:tc>
          <w:tcPr>
            <w:tcW w:w="1841" w:type="dxa"/>
            <w:noWrap/>
          </w:tcPr>
          <w:p w:rsidR="00FD027D" w:rsidRPr="00061F17" w:rsidRDefault="00FD027D" w:rsidP="000C5108">
            <w:pPr>
              <w:pStyle w:val="Tablehead"/>
              <w:rPr>
                <w:lang w:eastAsia="en-GB"/>
              </w:rPr>
            </w:pPr>
            <w:r w:rsidRPr="00061F17">
              <w:rPr>
                <w:lang w:eastAsia="en-GB"/>
              </w:rPr>
              <w:t>Electric Field (E)  (V/m)</w:t>
            </w:r>
          </w:p>
        </w:tc>
        <w:tc>
          <w:tcPr>
            <w:tcW w:w="1863" w:type="dxa"/>
            <w:noWrap/>
          </w:tcPr>
          <w:p w:rsidR="00FD027D" w:rsidRPr="00061F17" w:rsidRDefault="00FD027D" w:rsidP="000C5108">
            <w:pPr>
              <w:pStyle w:val="Tablehead"/>
              <w:rPr>
                <w:lang w:eastAsia="en-GB"/>
              </w:rPr>
            </w:pPr>
            <w:r w:rsidRPr="00061F17">
              <w:rPr>
                <w:lang w:eastAsia="en-GB"/>
              </w:rPr>
              <w:t>Magnetic Field H (A/m)</w:t>
            </w:r>
          </w:p>
        </w:tc>
        <w:tc>
          <w:tcPr>
            <w:tcW w:w="2077" w:type="dxa"/>
            <w:noWrap/>
          </w:tcPr>
          <w:p w:rsidR="00FD027D" w:rsidRPr="00061F17" w:rsidRDefault="00FD027D" w:rsidP="000C5108">
            <w:pPr>
              <w:pStyle w:val="Tablehead"/>
              <w:rPr>
                <w:lang w:eastAsia="en-GB"/>
              </w:rPr>
            </w:pPr>
            <w:r w:rsidRPr="00061F17">
              <w:rPr>
                <w:lang w:eastAsia="en-GB"/>
              </w:rPr>
              <w:t>RMS power density (S) (W/m</w:t>
            </w:r>
            <w:r w:rsidRPr="00061F17">
              <w:rPr>
                <w:vertAlign w:val="superscript"/>
                <w:lang w:eastAsia="en-GB"/>
              </w:rPr>
              <w:t>2</w:t>
            </w:r>
            <w:r w:rsidRPr="00061F17">
              <w:rPr>
                <w:lang w:eastAsia="en-GB"/>
              </w:rPr>
              <w:t>)</w:t>
            </w:r>
          </w:p>
        </w:tc>
      </w:tr>
      <w:tr w:rsidR="00FD027D" w:rsidRPr="00BC042E" w:rsidTr="000C5108">
        <w:trPr>
          <w:cnfStyle w:val="000000100000" w:firstRow="0" w:lastRow="0" w:firstColumn="0" w:lastColumn="0" w:oddVBand="0" w:evenVBand="0" w:oddHBand="1" w:evenHBand="0" w:firstRowFirstColumn="0" w:firstRowLastColumn="0" w:lastRowFirstColumn="0" w:lastRowLastColumn="0"/>
          <w:trHeight w:val="315"/>
          <w:jc w:val="center"/>
        </w:trPr>
        <w:tc>
          <w:tcPr>
            <w:tcW w:w="2619" w:type="dxa"/>
            <w:noWrap/>
          </w:tcPr>
          <w:p w:rsidR="00FD027D" w:rsidRPr="00BC042E" w:rsidRDefault="00FD027D" w:rsidP="000C5108">
            <w:pPr>
              <w:pStyle w:val="Tabletext"/>
              <w:rPr>
                <w:lang w:eastAsia="en-GB"/>
              </w:rPr>
            </w:pPr>
            <w:r w:rsidRPr="00BC042E">
              <w:rPr>
                <w:lang w:eastAsia="en-GB"/>
              </w:rPr>
              <w:t>100-400</w:t>
            </w:r>
          </w:p>
        </w:tc>
        <w:tc>
          <w:tcPr>
            <w:tcW w:w="1841" w:type="dxa"/>
            <w:noWrap/>
          </w:tcPr>
          <w:p w:rsidR="00FD027D" w:rsidRPr="00BC042E" w:rsidRDefault="00FD027D" w:rsidP="000C5108">
            <w:pPr>
              <w:pStyle w:val="Tabletext"/>
              <w:rPr>
                <w:lang w:eastAsia="en-GB"/>
              </w:rPr>
            </w:pPr>
            <w:r w:rsidRPr="00BC042E">
              <w:rPr>
                <w:lang w:eastAsia="en-GB"/>
              </w:rPr>
              <w:t>27.5</w:t>
            </w:r>
          </w:p>
        </w:tc>
        <w:tc>
          <w:tcPr>
            <w:tcW w:w="1863" w:type="dxa"/>
            <w:noWrap/>
          </w:tcPr>
          <w:p w:rsidR="00FD027D" w:rsidRPr="00BC042E" w:rsidRDefault="00FD027D" w:rsidP="000C5108">
            <w:pPr>
              <w:pStyle w:val="Tabletext"/>
              <w:rPr>
                <w:lang w:eastAsia="en-GB"/>
              </w:rPr>
            </w:pPr>
            <w:r w:rsidRPr="00BC042E">
              <w:rPr>
                <w:lang w:eastAsia="en-GB"/>
              </w:rPr>
              <w:t>0.073</w:t>
            </w:r>
          </w:p>
        </w:tc>
        <w:tc>
          <w:tcPr>
            <w:tcW w:w="2077" w:type="dxa"/>
            <w:noWrap/>
          </w:tcPr>
          <w:p w:rsidR="00FD027D" w:rsidRPr="00BC042E" w:rsidRDefault="00FD027D" w:rsidP="000C5108">
            <w:pPr>
              <w:pStyle w:val="Tabletext"/>
              <w:rPr>
                <w:lang w:eastAsia="en-GB"/>
              </w:rPr>
            </w:pPr>
            <w:r w:rsidRPr="00BC042E">
              <w:rPr>
                <w:lang w:eastAsia="en-GB"/>
              </w:rPr>
              <w:t>2</w:t>
            </w:r>
          </w:p>
        </w:tc>
      </w:tr>
      <w:tr w:rsidR="00FD027D" w:rsidRPr="00BC042E" w:rsidTr="000C5108">
        <w:trPr>
          <w:cnfStyle w:val="000000010000" w:firstRow="0" w:lastRow="0" w:firstColumn="0" w:lastColumn="0" w:oddVBand="0" w:evenVBand="0" w:oddHBand="0" w:evenHBand="1" w:firstRowFirstColumn="0" w:firstRowLastColumn="0" w:lastRowFirstColumn="0" w:lastRowLastColumn="0"/>
          <w:trHeight w:val="315"/>
          <w:jc w:val="center"/>
        </w:trPr>
        <w:tc>
          <w:tcPr>
            <w:tcW w:w="2619" w:type="dxa"/>
            <w:noWrap/>
          </w:tcPr>
          <w:p w:rsidR="00FD027D" w:rsidRPr="00BC042E" w:rsidRDefault="00FD027D" w:rsidP="000C5108">
            <w:pPr>
              <w:pStyle w:val="Tabletext"/>
              <w:rPr>
                <w:lang w:eastAsia="en-GB"/>
              </w:rPr>
            </w:pPr>
            <w:r w:rsidRPr="00BC042E">
              <w:rPr>
                <w:lang w:eastAsia="en-GB"/>
              </w:rPr>
              <w:t>400-2000</w:t>
            </w:r>
          </w:p>
        </w:tc>
        <w:tc>
          <w:tcPr>
            <w:tcW w:w="1841" w:type="dxa"/>
            <w:noWrap/>
          </w:tcPr>
          <w:p w:rsidR="00FD027D" w:rsidRPr="00BC042E" w:rsidRDefault="00FD027D" w:rsidP="000C5108">
            <w:pPr>
              <w:pStyle w:val="Tabletext"/>
              <w:rPr>
                <w:lang w:eastAsia="en-GB"/>
              </w:rPr>
            </w:pPr>
            <w:r w:rsidRPr="00BC042E">
              <w:rPr>
                <w:lang w:eastAsia="en-GB"/>
              </w:rPr>
              <w:t>--</w:t>
            </w:r>
          </w:p>
        </w:tc>
        <w:tc>
          <w:tcPr>
            <w:tcW w:w="1863" w:type="dxa"/>
            <w:noWrap/>
          </w:tcPr>
          <w:p w:rsidR="00FD027D" w:rsidRPr="00BC042E" w:rsidRDefault="00FD027D" w:rsidP="000C5108">
            <w:pPr>
              <w:pStyle w:val="Tabletext"/>
              <w:rPr>
                <w:lang w:eastAsia="en-GB"/>
              </w:rPr>
            </w:pPr>
            <w:r w:rsidRPr="00BC042E">
              <w:rPr>
                <w:lang w:eastAsia="en-GB"/>
              </w:rPr>
              <w:t>--</w:t>
            </w:r>
          </w:p>
        </w:tc>
        <w:tc>
          <w:tcPr>
            <w:tcW w:w="2077" w:type="dxa"/>
            <w:noWrap/>
          </w:tcPr>
          <w:p w:rsidR="00FD027D" w:rsidRPr="00BC042E" w:rsidRDefault="00FD027D" w:rsidP="000C5108">
            <w:pPr>
              <w:pStyle w:val="Tabletext"/>
              <w:rPr>
                <w:lang w:eastAsia="en-GB"/>
              </w:rPr>
            </w:pPr>
            <w:r w:rsidRPr="00BC042E">
              <w:rPr>
                <w:lang w:eastAsia="en-GB"/>
              </w:rPr>
              <w:t>f/200</w:t>
            </w:r>
          </w:p>
        </w:tc>
      </w:tr>
      <w:tr w:rsidR="00FD027D" w:rsidRPr="00BC042E" w:rsidTr="000C5108">
        <w:trPr>
          <w:cnfStyle w:val="000000100000" w:firstRow="0" w:lastRow="0" w:firstColumn="0" w:lastColumn="0" w:oddVBand="0" w:evenVBand="0" w:oddHBand="1" w:evenHBand="0" w:firstRowFirstColumn="0" w:firstRowLastColumn="0" w:lastRowFirstColumn="0" w:lastRowLastColumn="0"/>
          <w:trHeight w:val="315"/>
          <w:jc w:val="center"/>
        </w:trPr>
        <w:tc>
          <w:tcPr>
            <w:tcW w:w="2619" w:type="dxa"/>
            <w:noWrap/>
          </w:tcPr>
          <w:p w:rsidR="00FD027D" w:rsidRPr="00BC042E" w:rsidRDefault="00FD027D" w:rsidP="000C5108">
            <w:pPr>
              <w:pStyle w:val="Tabletext"/>
              <w:rPr>
                <w:lang w:eastAsia="en-GB"/>
              </w:rPr>
            </w:pPr>
            <w:r w:rsidRPr="00BC042E">
              <w:rPr>
                <w:lang w:eastAsia="en-GB"/>
              </w:rPr>
              <w:t>2000-5000</w:t>
            </w:r>
          </w:p>
        </w:tc>
        <w:tc>
          <w:tcPr>
            <w:tcW w:w="1841" w:type="dxa"/>
            <w:noWrap/>
          </w:tcPr>
          <w:p w:rsidR="00FD027D" w:rsidRPr="00BC042E" w:rsidRDefault="00FD027D" w:rsidP="000C5108">
            <w:pPr>
              <w:pStyle w:val="Tabletext"/>
              <w:rPr>
                <w:lang w:eastAsia="en-GB"/>
              </w:rPr>
            </w:pPr>
            <w:r w:rsidRPr="00BC042E">
              <w:rPr>
                <w:lang w:eastAsia="en-GB"/>
              </w:rPr>
              <w:t>--</w:t>
            </w:r>
          </w:p>
        </w:tc>
        <w:tc>
          <w:tcPr>
            <w:tcW w:w="1863" w:type="dxa"/>
            <w:noWrap/>
          </w:tcPr>
          <w:p w:rsidR="00FD027D" w:rsidRPr="00BC042E" w:rsidRDefault="00FD027D" w:rsidP="000C5108">
            <w:pPr>
              <w:pStyle w:val="Tabletext"/>
              <w:rPr>
                <w:lang w:eastAsia="en-GB"/>
              </w:rPr>
            </w:pPr>
            <w:r w:rsidRPr="00BC042E">
              <w:rPr>
                <w:lang w:eastAsia="en-GB"/>
              </w:rPr>
              <w:t>--</w:t>
            </w:r>
          </w:p>
        </w:tc>
        <w:tc>
          <w:tcPr>
            <w:tcW w:w="2077" w:type="dxa"/>
            <w:noWrap/>
          </w:tcPr>
          <w:p w:rsidR="00FD027D" w:rsidRPr="00BC042E" w:rsidRDefault="00FD027D" w:rsidP="000C5108">
            <w:pPr>
              <w:pStyle w:val="Tabletext"/>
              <w:rPr>
                <w:lang w:eastAsia="en-GB"/>
              </w:rPr>
            </w:pPr>
            <w:r w:rsidRPr="00BC042E">
              <w:rPr>
                <w:lang w:eastAsia="en-GB"/>
              </w:rPr>
              <w:t>10</w:t>
            </w:r>
          </w:p>
        </w:tc>
      </w:tr>
    </w:tbl>
    <w:p w:rsidR="00FD027D" w:rsidRPr="007A19CC" w:rsidRDefault="00FD027D" w:rsidP="00FD027D">
      <w:pPr>
        <w:rPr>
          <w:lang w:val="en-US"/>
        </w:rPr>
      </w:pPr>
      <w:r w:rsidRPr="007A19CC">
        <w:rPr>
          <w:lang w:val="en-US"/>
        </w:rPr>
        <w:t>The IEEE C95.1-2005 level for 400-2000 MHz (typical cellular RF bands) is identical (not to FCC nor ANSI levels) to the ICNIRP level (f/200 W/m</w:t>
      </w:r>
      <w:r w:rsidRPr="007A19CC">
        <w:rPr>
          <w:vertAlign w:val="superscript"/>
          <w:lang w:val="en-US"/>
        </w:rPr>
        <w:t>2</w:t>
      </w:r>
      <w:r w:rsidRPr="007A19CC">
        <w:rPr>
          <w:lang w:val="en-US"/>
        </w:rPr>
        <w:t>); the units are also the same.</w:t>
      </w:r>
      <w:bookmarkEnd w:id="124"/>
      <w:bookmarkEnd w:id="125"/>
      <w:bookmarkEnd w:id="126"/>
    </w:p>
    <w:p w:rsidR="00FD027D" w:rsidRPr="00001D3B" w:rsidRDefault="00FD027D" w:rsidP="00FD027D">
      <w:pPr>
        <w:pStyle w:val="Heading2"/>
      </w:pPr>
      <w:bookmarkStart w:id="130" w:name="_Toc149211792"/>
      <w:bookmarkStart w:id="131" w:name="_Toc361912444"/>
      <w:bookmarkStart w:id="132" w:name="_Toc374691843"/>
      <w:bookmarkStart w:id="133" w:name="_Toc377560482"/>
      <w:r w:rsidRPr="00001D3B">
        <w:t>2.2</w:t>
      </w:r>
      <w:r w:rsidRPr="00001D3B">
        <w:tab/>
        <w:t>Exposures: Cellular Handsets</w:t>
      </w:r>
      <w:bookmarkEnd w:id="130"/>
      <w:bookmarkEnd w:id="131"/>
      <w:bookmarkEnd w:id="132"/>
      <w:bookmarkEnd w:id="133"/>
    </w:p>
    <w:p w:rsidR="00FD027D" w:rsidRPr="007A19CC" w:rsidRDefault="00FD027D" w:rsidP="00FD027D">
      <w:pPr>
        <w:rPr>
          <w:lang w:val="en-US"/>
        </w:rPr>
      </w:pPr>
      <w:r w:rsidRPr="007A19CC">
        <w:rPr>
          <w:lang w:val="en-US"/>
        </w:rPr>
        <w:t>Specific energy Absorption Rate (SAR) is the time rate of energy absorption per gram of tissue from electromagnetic radiation; it is expressed in watts per kilogram (W/kg). Table 6 compares the rate absorption in ICNIRP, EC and FCC</w:t>
      </w:r>
      <w:r w:rsidRPr="001970D2">
        <w:rPr>
          <w:rStyle w:val="FootnoteReference"/>
          <w:lang w:val="en-US"/>
        </w:rPr>
        <w:footnoteReference w:customMarkFollows="1" w:id="23"/>
        <w:t>2</w:t>
      </w:r>
      <w:r w:rsidRPr="007A19CC">
        <w:rPr>
          <w:lang w:val="en-US"/>
        </w:rPr>
        <w:t>.</w:t>
      </w:r>
    </w:p>
    <w:p w:rsidR="00FD027D" w:rsidRPr="00B14959" w:rsidRDefault="00FD027D" w:rsidP="00FD027D">
      <w:pPr>
        <w:pStyle w:val="Tabletitle"/>
      </w:pPr>
      <w:bookmarkStart w:id="134" w:name="_Ref149547028"/>
      <w:bookmarkStart w:id="135" w:name="_Toc199908855"/>
      <w:bookmarkStart w:id="136" w:name="_Toc148460125"/>
      <w:r w:rsidRPr="00B14959">
        <w:t>Table</w:t>
      </w:r>
      <w:r>
        <w:t xml:space="preserve"> </w:t>
      </w:r>
      <w:bookmarkEnd w:id="134"/>
      <w:r w:rsidRPr="00B14959">
        <w:t>6</w:t>
      </w:r>
      <w:r>
        <w:t>:</w:t>
      </w:r>
      <w:r w:rsidRPr="00B14959">
        <w:t xml:space="preserve"> Maximal</w:t>
      </w:r>
      <w:r>
        <w:t xml:space="preserve"> power from handsets: Specific absorption r</w:t>
      </w:r>
      <w:r w:rsidRPr="00B14959">
        <w:t>ate, SAR (W/kg)</w:t>
      </w:r>
      <w:bookmarkEnd w:id="135"/>
      <w:bookmarkEnd w:id="136"/>
    </w:p>
    <w:tbl>
      <w:tblPr>
        <w:tblStyle w:val="Style1"/>
        <w:tblW w:w="5000" w:type="pct"/>
        <w:jc w:val="center"/>
        <w:tblLook w:val="0020" w:firstRow="1" w:lastRow="0" w:firstColumn="0" w:lastColumn="0" w:noHBand="0" w:noVBand="0"/>
      </w:tblPr>
      <w:tblGrid>
        <w:gridCol w:w="1925"/>
        <w:gridCol w:w="3926"/>
        <w:gridCol w:w="3436"/>
      </w:tblGrid>
      <w:tr w:rsidR="00FD027D" w:rsidRPr="000B0EF9" w:rsidTr="000C5108">
        <w:trPr>
          <w:cnfStyle w:val="100000000000" w:firstRow="1" w:lastRow="0" w:firstColumn="0" w:lastColumn="0" w:oddVBand="0" w:evenVBand="0" w:oddHBand="0" w:evenHBand="0" w:firstRowFirstColumn="0" w:firstRowLastColumn="0" w:lastRowFirstColumn="0" w:lastRowLastColumn="0"/>
          <w:jc w:val="center"/>
        </w:trPr>
        <w:tc>
          <w:tcPr>
            <w:tcW w:w="1766" w:type="dxa"/>
          </w:tcPr>
          <w:p w:rsidR="00FD027D" w:rsidRPr="000B0EF9" w:rsidRDefault="00FD027D" w:rsidP="000C5108">
            <w:pPr>
              <w:pStyle w:val="Tablehead"/>
              <w:rPr>
                <w:lang w:eastAsia="en-GB"/>
              </w:rPr>
            </w:pPr>
            <w:r w:rsidRPr="000B0EF9">
              <w:rPr>
                <w:lang w:eastAsia="en-GB"/>
              </w:rPr>
              <w:t>ICNIRP</w:t>
            </w:r>
          </w:p>
        </w:tc>
        <w:tc>
          <w:tcPr>
            <w:tcW w:w="3603" w:type="dxa"/>
          </w:tcPr>
          <w:p w:rsidR="00FD027D" w:rsidRPr="000B0EF9" w:rsidRDefault="00FD027D" w:rsidP="000C5108">
            <w:pPr>
              <w:pStyle w:val="Tablehead"/>
              <w:rPr>
                <w:lang w:eastAsia="en-GB"/>
              </w:rPr>
            </w:pPr>
            <w:r w:rsidRPr="000B0EF9">
              <w:rPr>
                <w:lang w:eastAsia="en-GB"/>
              </w:rPr>
              <w:t>European Community</w:t>
            </w:r>
          </w:p>
        </w:tc>
        <w:tc>
          <w:tcPr>
            <w:tcW w:w="3153" w:type="dxa"/>
          </w:tcPr>
          <w:p w:rsidR="00FD027D" w:rsidRPr="000B0EF9" w:rsidRDefault="00FD027D" w:rsidP="000C5108">
            <w:pPr>
              <w:pStyle w:val="Tablehead"/>
              <w:rPr>
                <w:lang w:eastAsia="en-GB"/>
              </w:rPr>
            </w:pPr>
            <w:r w:rsidRPr="000B0EF9">
              <w:rPr>
                <w:lang w:eastAsia="en-GB"/>
              </w:rPr>
              <w:t>FCC- USA</w:t>
            </w:r>
          </w:p>
        </w:tc>
      </w:tr>
      <w:tr w:rsidR="00FD027D" w:rsidRPr="00BC042E" w:rsidTr="000C5108">
        <w:trPr>
          <w:cnfStyle w:val="000000100000" w:firstRow="0" w:lastRow="0" w:firstColumn="0" w:lastColumn="0" w:oddVBand="0" w:evenVBand="0" w:oddHBand="1" w:evenHBand="0" w:firstRowFirstColumn="0" w:firstRowLastColumn="0" w:lastRowFirstColumn="0" w:lastRowLastColumn="0"/>
          <w:jc w:val="center"/>
        </w:trPr>
        <w:tc>
          <w:tcPr>
            <w:tcW w:w="5369" w:type="dxa"/>
            <w:gridSpan w:val="2"/>
          </w:tcPr>
          <w:p w:rsidR="00FD027D" w:rsidRPr="007A19CC" w:rsidRDefault="00FD027D" w:rsidP="000C5108">
            <w:pPr>
              <w:pStyle w:val="Tabletext"/>
              <w:rPr>
                <w:lang w:val="en-US" w:eastAsia="en-GB"/>
              </w:rPr>
            </w:pPr>
            <w:r w:rsidRPr="007A19CC">
              <w:rPr>
                <w:lang w:val="en-US" w:eastAsia="en-GB"/>
              </w:rPr>
              <w:t>10 MHz–10 GHz; Localised SAR (Head and Trunk)</w:t>
            </w:r>
          </w:p>
        </w:tc>
        <w:tc>
          <w:tcPr>
            <w:tcW w:w="3153" w:type="dxa"/>
          </w:tcPr>
          <w:p w:rsidR="00FD027D" w:rsidRPr="00BC042E" w:rsidRDefault="00FD027D" w:rsidP="000C5108">
            <w:pPr>
              <w:pStyle w:val="Tabletext"/>
              <w:rPr>
                <w:lang w:eastAsia="en-GB"/>
              </w:rPr>
            </w:pPr>
            <w:r w:rsidRPr="00BC042E">
              <w:rPr>
                <w:lang w:eastAsia="en-GB"/>
              </w:rPr>
              <w:t xml:space="preserve">Portable Devices; General Population/ Uncontrolled </w:t>
            </w:r>
          </w:p>
        </w:tc>
      </w:tr>
      <w:tr w:rsidR="00FD027D" w:rsidRPr="00BC042E" w:rsidTr="000C5108">
        <w:trPr>
          <w:cnfStyle w:val="000000010000" w:firstRow="0" w:lastRow="0" w:firstColumn="0" w:lastColumn="0" w:oddVBand="0" w:evenVBand="0" w:oddHBand="0" w:evenHBand="1" w:firstRowFirstColumn="0" w:firstRowLastColumn="0" w:lastRowFirstColumn="0" w:lastRowLastColumn="0"/>
          <w:jc w:val="center"/>
        </w:trPr>
        <w:tc>
          <w:tcPr>
            <w:tcW w:w="5369" w:type="dxa"/>
            <w:gridSpan w:val="2"/>
          </w:tcPr>
          <w:p w:rsidR="00FD027D" w:rsidRPr="00BC042E" w:rsidRDefault="00FD027D" w:rsidP="000C5108">
            <w:pPr>
              <w:pStyle w:val="Tabletext"/>
              <w:rPr>
                <w:lang w:eastAsia="en-GB"/>
              </w:rPr>
            </w:pPr>
            <w:r w:rsidRPr="00BC042E">
              <w:rPr>
                <w:lang w:eastAsia="en-GB"/>
              </w:rPr>
              <w:t>2.0; averaged over 10 g tissue</w:t>
            </w:r>
          </w:p>
        </w:tc>
        <w:tc>
          <w:tcPr>
            <w:tcW w:w="3153" w:type="dxa"/>
          </w:tcPr>
          <w:p w:rsidR="00FD027D" w:rsidRPr="00BC042E" w:rsidRDefault="00FD027D" w:rsidP="000C5108">
            <w:pPr>
              <w:pStyle w:val="Tabletext"/>
              <w:rPr>
                <w:lang w:eastAsia="en-GB"/>
              </w:rPr>
            </w:pPr>
            <w:r w:rsidRPr="00BC042E">
              <w:rPr>
                <w:lang w:eastAsia="en-GB"/>
              </w:rPr>
              <w:t>1.6; averaged over 1g tissue</w:t>
            </w:r>
          </w:p>
        </w:tc>
      </w:tr>
    </w:tbl>
    <w:p w:rsidR="00FD027D" w:rsidRDefault="00FD027D" w:rsidP="00FD027D"/>
    <w:p w:rsidR="00FD027D" w:rsidRPr="007A19CC" w:rsidRDefault="00FD027D" w:rsidP="00FD027D">
      <w:pPr>
        <w:rPr>
          <w:lang w:val="en-US"/>
        </w:rPr>
      </w:pPr>
      <w:r w:rsidRPr="00FF79CB">
        <w:rPr>
          <w:lang w:val="en-US"/>
        </w:rPr>
        <w:t xml:space="preserve">In contrast to the thresholds of power density from cellular base stations, it is important to observe that the US is more risk averse than Europe in the allowed SAR from the cellular terminal. </w:t>
      </w:r>
      <w:r w:rsidRPr="007A19CC">
        <w:rPr>
          <w:lang w:val="en-US"/>
        </w:rPr>
        <w:t>The ICNIRP threshold (adopted by EC) is 2.0 W/kg, while the US limits are 1.6 watts/kg</w:t>
      </w:r>
      <w:r w:rsidRPr="001970D2">
        <w:rPr>
          <w:rStyle w:val="FootnoteReference"/>
          <w:lang w:val="en-US"/>
        </w:rPr>
        <w:footnoteReference w:customMarkFollows="1" w:id="24"/>
        <w:t>3</w:t>
      </w:r>
      <w:r w:rsidRPr="007A19CC">
        <w:rPr>
          <w:lang w:val="en-US"/>
        </w:rPr>
        <w:t xml:space="preserve"> for the partial body. The IEEE (2006:79) has changed the peak spatial average SAR values from 1.6 W/kg for exposure of the public environment to 2 W/kg; moreover, the SAR is to be averaged over 10g tissue as in the ICNIRP and not for 1g as before. These changes were based on the scientific considerations and were also influenced by the desire to harmonize the basic restrictions with ICNIRP, where scientifically justified. </w:t>
      </w:r>
    </w:p>
    <w:p w:rsidR="00FD027D" w:rsidRDefault="00FD027D" w:rsidP="00FD027D">
      <w:pPr>
        <w:spacing w:before="0"/>
        <w:jc w:val="left"/>
        <w:rPr>
          <w:rFonts w:cs="Times New Roman Bold"/>
          <w:b/>
          <w:bCs/>
          <w:lang w:val="en-AU"/>
        </w:rPr>
      </w:pPr>
      <w:bookmarkStart w:id="137" w:name="_Toc361912445"/>
      <w:bookmarkStart w:id="138" w:name="_Toc374691844"/>
      <w:r w:rsidRPr="00B03492">
        <w:rPr>
          <w:lang w:val="en-US"/>
        </w:rPr>
        <w:br w:type="page"/>
      </w:r>
    </w:p>
    <w:p w:rsidR="00FD027D" w:rsidRDefault="00FD027D" w:rsidP="00FD027D">
      <w:pPr>
        <w:pStyle w:val="Heading1"/>
        <w:tabs>
          <w:tab w:val="left" w:pos="1418"/>
        </w:tabs>
        <w:ind w:left="1418" w:hanging="1418"/>
      </w:pPr>
      <w:bookmarkStart w:id="139" w:name="_Toc377560483"/>
      <w:r w:rsidRPr="00FF79CB">
        <w:lastRenderedPageBreak/>
        <w:t xml:space="preserve">Annex 3: </w:t>
      </w:r>
      <w:r>
        <w:tab/>
      </w:r>
      <w:r w:rsidRPr="00FF79CB">
        <w:t>Mandate of Question 23/1 (WTDC-10/139 (Rev.1))</w:t>
      </w:r>
      <w:bookmarkEnd w:id="137"/>
      <w:r w:rsidRPr="00002906">
        <w:footnoteReference w:customMarkFollows="1" w:id="25"/>
        <w:t>*</w:t>
      </w:r>
      <w:r w:rsidRPr="00FF79CB">
        <w:t>.</w:t>
      </w:r>
      <w:bookmarkEnd w:id="138"/>
      <w:bookmarkEnd w:id="139"/>
    </w:p>
    <w:p w:rsidR="00FD027D" w:rsidRPr="00002906" w:rsidRDefault="00FD027D" w:rsidP="00FD027D">
      <w:pPr>
        <w:rPr>
          <w:lang w:val="en-US"/>
        </w:rPr>
      </w:pPr>
    </w:p>
    <w:p w:rsidR="00FD027D" w:rsidRPr="004F5CF4" w:rsidRDefault="00FD027D" w:rsidP="00FD027D">
      <w:pPr>
        <w:pStyle w:val="Figuretitle"/>
        <w:pBdr>
          <w:right w:val="single" w:sz="12" w:space="0" w:color="005173"/>
        </w:pBdr>
        <w:rPr>
          <w:bCs/>
          <w:lang w:eastAsia="en-ZA"/>
        </w:rPr>
      </w:pPr>
      <w:bookmarkStart w:id="140" w:name="_Toc375239134"/>
      <w:r w:rsidRPr="004F5CF4">
        <w:rPr>
          <w:lang w:eastAsia="en-ZA"/>
        </w:rPr>
        <w:t>Question 23/1 – Strategies and policies concerning human exposure to electromagnetic fields</w:t>
      </w:r>
      <w:bookmarkEnd w:id="140"/>
      <w:r w:rsidRPr="004F5CF4">
        <w:rPr>
          <w:lang w:eastAsia="en-ZA"/>
        </w:rPr>
        <w:t xml:space="preserve"> </w:t>
      </w:r>
    </w:p>
    <w:p w:rsidR="00FD027D" w:rsidRPr="004F5CF4" w:rsidRDefault="00FD027D" w:rsidP="00FD027D">
      <w:pPr>
        <w:pStyle w:val="Figuretitle"/>
        <w:pBdr>
          <w:right w:val="single" w:sz="12" w:space="0" w:color="005173"/>
        </w:pBdr>
        <w:spacing w:before="240"/>
        <w:rPr>
          <w:bCs/>
          <w:lang w:eastAsia="en-ZA"/>
        </w:rPr>
      </w:pPr>
      <w:bookmarkStart w:id="141" w:name="_Toc375239135"/>
      <w:r w:rsidRPr="004F5CF4">
        <w:rPr>
          <w:lang w:eastAsia="en-ZA"/>
        </w:rPr>
        <w:t>1</w:t>
      </w:r>
      <w:r w:rsidRPr="00F361D6">
        <w:rPr>
          <w:lang w:eastAsia="en-ZA"/>
        </w:rPr>
        <w:t>.</w:t>
      </w:r>
      <w:r w:rsidRPr="004F5CF4">
        <w:rPr>
          <w:lang w:eastAsia="en-ZA"/>
        </w:rPr>
        <w:t xml:space="preserve"> </w:t>
      </w:r>
      <w:r>
        <w:rPr>
          <w:lang w:eastAsia="en-ZA"/>
        </w:rPr>
        <w:tab/>
      </w:r>
      <w:r w:rsidRPr="004F5CF4">
        <w:rPr>
          <w:lang w:eastAsia="en-ZA"/>
        </w:rPr>
        <w:t>Statement of the situation</w:t>
      </w:r>
      <w:bookmarkEnd w:id="141"/>
      <w:r w:rsidRPr="004F5CF4">
        <w:rPr>
          <w:lang w:eastAsia="en-ZA"/>
        </w:rPr>
        <w:t xml:space="preserve"> </w:t>
      </w:r>
    </w:p>
    <w:p w:rsidR="00FD027D" w:rsidRPr="00F361D6" w:rsidRDefault="00FD027D" w:rsidP="00FD027D">
      <w:pPr>
        <w:pStyle w:val="Figure"/>
        <w:pBdr>
          <w:right w:val="single" w:sz="12" w:space="0" w:color="005173"/>
        </w:pBdr>
        <w:spacing w:before="120" w:after="0"/>
        <w:ind w:left="0" w:firstLine="0"/>
        <w:jc w:val="both"/>
        <w:rPr>
          <w:lang w:eastAsia="en-ZA"/>
        </w:rPr>
      </w:pPr>
      <w:r w:rsidRPr="004F5CF4">
        <w:rPr>
          <w:lang w:eastAsia="en-ZA"/>
        </w:rPr>
        <w:t xml:space="preserve">The deployment of different sources of electromagnetic fields to cater for the telecommunication </w:t>
      </w:r>
      <w:r w:rsidRPr="00F361D6">
        <w:rPr>
          <w:lang w:eastAsia="en-ZA"/>
        </w:rPr>
        <w:t xml:space="preserve">and ICT </w:t>
      </w:r>
      <w:r w:rsidRPr="004F5CF4">
        <w:rPr>
          <w:lang w:eastAsia="en-ZA"/>
        </w:rPr>
        <w:t xml:space="preserve">needs of urban and rural communities has developed very rapidly over the past ten (10) </w:t>
      </w:r>
      <w:r w:rsidRPr="00F361D6">
        <w:rPr>
          <w:lang w:eastAsia="en-ZA"/>
        </w:rPr>
        <w:t xml:space="preserve">years. This has </w:t>
      </w:r>
      <w:r w:rsidRPr="004F5CF4">
        <w:rPr>
          <w:lang w:eastAsia="en-ZA"/>
        </w:rPr>
        <w:t xml:space="preserve">been due to strong competition, ongoing traffic growth, quality of service requirements, network coverage extension and the introduction of new technologies. It has produced concern on the possible effects of prolonged exposure to emissions on people's health. </w:t>
      </w:r>
    </w:p>
    <w:p w:rsidR="00FD027D" w:rsidRPr="00F361D6" w:rsidRDefault="00FD027D" w:rsidP="00FD027D">
      <w:pPr>
        <w:pStyle w:val="Figure"/>
        <w:pBdr>
          <w:right w:val="single" w:sz="12" w:space="0" w:color="005173"/>
        </w:pBdr>
        <w:spacing w:before="120" w:after="0"/>
        <w:ind w:left="0" w:firstLine="0"/>
        <w:jc w:val="both"/>
        <w:rPr>
          <w:lang w:eastAsia="en-ZA"/>
        </w:rPr>
      </w:pPr>
      <w:r w:rsidRPr="004F5CF4">
        <w:rPr>
          <w:lang w:eastAsia="en-ZA"/>
        </w:rPr>
        <w:t>This concern on the part of populations is growing,</w:t>
      </w:r>
      <w:r w:rsidRPr="00F361D6">
        <w:rPr>
          <w:lang w:eastAsia="en-ZA"/>
        </w:rPr>
        <w:t xml:space="preserve"> </w:t>
      </w:r>
      <w:r w:rsidRPr="004F5CF4">
        <w:rPr>
          <w:lang w:eastAsia="en-ZA"/>
        </w:rPr>
        <w:t xml:space="preserve">aggravated by the feeling that they are not being kept informed of the process for deploying these installations; hence many complaints received by operators and government bodies responsible for radiocommunications/ICTs. </w:t>
      </w:r>
    </w:p>
    <w:p w:rsidR="00FD027D" w:rsidRPr="004F5CF4" w:rsidRDefault="00FD027D" w:rsidP="00485739">
      <w:pPr>
        <w:pStyle w:val="Figure"/>
        <w:pBdr>
          <w:right w:val="single" w:sz="12" w:space="0" w:color="005173"/>
        </w:pBdr>
        <w:spacing w:before="120" w:after="0"/>
        <w:ind w:left="0" w:firstLine="0"/>
        <w:jc w:val="both"/>
        <w:rPr>
          <w:lang w:eastAsia="en-ZA"/>
        </w:rPr>
      </w:pPr>
      <w:r w:rsidRPr="004F5CF4">
        <w:rPr>
          <w:lang w:eastAsia="en-ZA"/>
        </w:rPr>
        <w:t>Thus, since the continued development of radiocommunications requires trust on the part of populations, the work carried out in ITU-R Study Group 1 Working Party 1C and ITU-T Study Group 5 under Resolution</w:t>
      </w:r>
      <w:r w:rsidR="00485739">
        <w:rPr>
          <w:lang w:eastAsia="en-ZA"/>
        </w:rPr>
        <w:t> </w:t>
      </w:r>
      <w:r w:rsidRPr="004F5CF4">
        <w:rPr>
          <w:lang w:eastAsia="en-ZA"/>
        </w:rPr>
        <w:t xml:space="preserve">72, on measurement concerns related to human exposure to electromagnetic fields, should be complemented by studies on the different regulatory and communication mechanisms developed by countries to increase the awareness of and information to populations and facilitate the deployment and operation of radiocommunication systems. </w:t>
      </w:r>
    </w:p>
    <w:p w:rsidR="00FD027D" w:rsidRPr="004F5CF4" w:rsidRDefault="00FD027D" w:rsidP="00FD027D">
      <w:pPr>
        <w:pStyle w:val="Figuretitle"/>
        <w:pBdr>
          <w:right w:val="single" w:sz="12" w:space="0" w:color="005173"/>
        </w:pBdr>
        <w:spacing w:before="240"/>
        <w:rPr>
          <w:bCs/>
          <w:lang w:eastAsia="en-ZA"/>
        </w:rPr>
      </w:pPr>
      <w:bookmarkStart w:id="142" w:name="_Toc375239136"/>
      <w:r w:rsidRPr="004F5CF4">
        <w:rPr>
          <w:lang w:eastAsia="en-ZA"/>
        </w:rPr>
        <w:t>2</w:t>
      </w:r>
      <w:r w:rsidRPr="00F361D6">
        <w:rPr>
          <w:lang w:eastAsia="en-ZA"/>
        </w:rPr>
        <w:t xml:space="preserve">. </w:t>
      </w:r>
      <w:r>
        <w:rPr>
          <w:lang w:eastAsia="en-ZA"/>
        </w:rPr>
        <w:tab/>
      </w:r>
      <w:r w:rsidRPr="004F5CF4">
        <w:rPr>
          <w:lang w:eastAsia="en-ZA"/>
        </w:rPr>
        <w:t>Question for study</w:t>
      </w:r>
      <w:bookmarkEnd w:id="142"/>
      <w:r w:rsidRPr="004F5CF4">
        <w:rPr>
          <w:lang w:eastAsia="en-ZA"/>
        </w:rPr>
        <w:t xml:space="preserve"> </w:t>
      </w:r>
    </w:p>
    <w:p w:rsidR="00FD027D" w:rsidRPr="004F5CF4" w:rsidRDefault="00FD027D" w:rsidP="00FD027D">
      <w:pPr>
        <w:pStyle w:val="Figure"/>
        <w:pBdr>
          <w:right w:val="single" w:sz="12" w:space="0" w:color="005173"/>
        </w:pBdr>
        <w:spacing w:before="120" w:after="0"/>
        <w:ind w:left="0" w:firstLine="0"/>
        <w:jc w:val="both"/>
        <w:rPr>
          <w:lang w:eastAsia="en-ZA"/>
        </w:rPr>
      </w:pPr>
      <w:r w:rsidRPr="004F5CF4">
        <w:rPr>
          <w:lang w:eastAsia="en-ZA"/>
        </w:rPr>
        <w:t xml:space="preserve">The following subjects should be studied: </w:t>
      </w:r>
    </w:p>
    <w:p w:rsidR="00FD027D" w:rsidRPr="004F5CF4" w:rsidRDefault="00FD027D" w:rsidP="00FD027D">
      <w:pPr>
        <w:pStyle w:val="Figure"/>
        <w:pBdr>
          <w:right w:val="single" w:sz="12" w:space="0" w:color="005173"/>
        </w:pBdr>
        <w:spacing w:before="120" w:after="0"/>
        <w:ind w:left="0" w:firstLine="0"/>
        <w:jc w:val="both"/>
        <w:rPr>
          <w:lang w:eastAsia="en-ZA"/>
        </w:rPr>
      </w:pPr>
      <w:r w:rsidRPr="004F5CF4">
        <w:rPr>
          <w:lang w:eastAsia="en-ZA"/>
        </w:rPr>
        <w:t xml:space="preserve">a) </w:t>
      </w:r>
      <w:r w:rsidRPr="00F361D6">
        <w:rPr>
          <w:lang w:eastAsia="en-ZA"/>
        </w:rPr>
        <w:tab/>
      </w:r>
      <w:r w:rsidRPr="004F5CF4">
        <w:rPr>
          <w:lang w:eastAsia="en-ZA"/>
        </w:rPr>
        <w:t>To compile and analyse the regulatory policies concerning human exposure to electromagnetic fields that are being considered or</w:t>
      </w:r>
      <w:r w:rsidRPr="00F361D6">
        <w:rPr>
          <w:lang w:eastAsia="en-ZA"/>
        </w:rPr>
        <w:t xml:space="preserve"> </w:t>
      </w:r>
      <w:r w:rsidRPr="004F5CF4">
        <w:rPr>
          <w:lang w:eastAsia="en-ZA"/>
        </w:rPr>
        <w:t xml:space="preserve">being undertaken for authorizing the installation of radiocommunication sites and Power Lines Telecommunications systems. </w:t>
      </w:r>
    </w:p>
    <w:p w:rsidR="00FD027D" w:rsidRPr="004F5CF4" w:rsidRDefault="00FD027D" w:rsidP="00FD027D">
      <w:pPr>
        <w:pStyle w:val="Figure"/>
        <w:pBdr>
          <w:right w:val="single" w:sz="12" w:space="0" w:color="005173"/>
        </w:pBdr>
        <w:spacing w:before="120" w:after="0"/>
        <w:ind w:left="0" w:firstLine="0"/>
        <w:jc w:val="both"/>
        <w:rPr>
          <w:lang w:eastAsia="en-ZA"/>
        </w:rPr>
      </w:pPr>
      <w:r w:rsidRPr="00F361D6">
        <w:rPr>
          <w:lang w:eastAsia="en-ZA"/>
        </w:rPr>
        <w:t>b)</w:t>
      </w:r>
      <w:r w:rsidRPr="00F361D6">
        <w:rPr>
          <w:lang w:eastAsia="en-ZA"/>
        </w:rPr>
        <w:tab/>
      </w:r>
      <w:r w:rsidRPr="004F5CF4">
        <w:rPr>
          <w:lang w:eastAsia="en-ZA"/>
        </w:rPr>
        <w:t xml:space="preserve">To describe the strategies or methods for raising the awareness of populations and </w:t>
      </w:r>
      <w:r w:rsidRPr="00F361D6">
        <w:rPr>
          <w:lang w:eastAsia="en-ZA"/>
        </w:rPr>
        <w:t xml:space="preserve">information to </w:t>
      </w:r>
      <w:r w:rsidRPr="004F5CF4">
        <w:rPr>
          <w:lang w:eastAsia="en-ZA"/>
        </w:rPr>
        <w:t>populations regarding the effects of</w:t>
      </w:r>
      <w:r w:rsidRPr="00F361D6">
        <w:rPr>
          <w:lang w:eastAsia="en-ZA"/>
        </w:rPr>
        <w:t xml:space="preserve"> </w:t>
      </w:r>
      <w:r w:rsidRPr="004F5CF4">
        <w:rPr>
          <w:lang w:eastAsia="en-ZA"/>
        </w:rPr>
        <w:t xml:space="preserve">electromagnetic fields due to radiocommunication systems. </w:t>
      </w:r>
    </w:p>
    <w:p w:rsidR="00FD027D" w:rsidRPr="00F361D6" w:rsidRDefault="00FD027D" w:rsidP="00FD027D">
      <w:pPr>
        <w:pStyle w:val="Figure"/>
        <w:pBdr>
          <w:right w:val="single" w:sz="12" w:space="0" w:color="005173"/>
        </w:pBdr>
        <w:spacing w:before="120" w:after="0"/>
        <w:ind w:left="0" w:firstLine="0"/>
        <w:jc w:val="both"/>
        <w:rPr>
          <w:lang w:eastAsia="en-ZA"/>
        </w:rPr>
      </w:pPr>
      <w:r w:rsidRPr="00F361D6">
        <w:rPr>
          <w:lang w:eastAsia="en-ZA"/>
        </w:rPr>
        <w:t>c)</w:t>
      </w:r>
      <w:r w:rsidRPr="00F361D6">
        <w:rPr>
          <w:lang w:eastAsia="en-ZA"/>
        </w:rPr>
        <w:tab/>
      </w:r>
      <w:r w:rsidRPr="004F5CF4">
        <w:rPr>
          <w:lang w:eastAsia="en-ZA"/>
        </w:rPr>
        <w:t>To propose guidelines and best practices on this</w:t>
      </w:r>
      <w:r>
        <w:rPr>
          <w:lang w:eastAsia="en-ZA"/>
        </w:rPr>
        <w:t xml:space="preserve"> </w:t>
      </w:r>
      <w:r w:rsidRPr="004F5CF4">
        <w:rPr>
          <w:lang w:eastAsia="en-ZA"/>
        </w:rPr>
        <w:t xml:space="preserve">matter. </w:t>
      </w:r>
    </w:p>
    <w:p w:rsidR="00FD027D" w:rsidRPr="004F5CF4" w:rsidRDefault="00FD027D" w:rsidP="00FD027D">
      <w:pPr>
        <w:pStyle w:val="Figuretitle"/>
        <w:pBdr>
          <w:right w:val="single" w:sz="12" w:space="0" w:color="005173"/>
        </w:pBdr>
        <w:spacing w:before="240"/>
        <w:rPr>
          <w:bCs/>
          <w:lang w:eastAsia="en-ZA"/>
        </w:rPr>
      </w:pPr>
      <w:bookmarkStart w:id="143" w:name="_Toc375239137"/>
      <w:r w:rsidRPr="004F5CF4">
        <w:rPr>
          <w:lang w:eastAsia="en-ZA"/>
        </w:rPr>
        <w:t>3</w:t>
      </w:r>
      <w:r w:rsidRPr="00F361D6">
        <w:rPr>
          <w:lang w:eastAsia="en-ZA"/>
        </w:rPr>
        <w:t>.</w:t>
      </w:r>
      <w:r w:rsidRPr="004F5CF4">
        <w:rPr>
          <w:lang w:eastAsia="en-ZA"/>
        </w:rPr>
        <w:t xml:space="preserve"> </w:t>
      </w:r>
      <w:r>
        <w:rPr>
          <w:lang w:eastAsia="en-ZA"/>
        </w:rPr>
        <w:tab/>
      </w:r>
      <w:r w:rsidRPr="004F5CF4">
        <w:rPr>
          <w:lang w:eastAsia="en-ZA"/>
        </w:rPr>
        <w:t>Expected outcome</w:t>
      </w:r>
      <w:bookmarkEnd w:id="143"/>
      <w:r w:rsidRPr="004F5CF4">
        <w:rPr>
          <w:lang w:eastAsia="en-ZA"/>
        </w:rPr>
        <w:t xml:space="preserve"> </w:t>
      </w:r>
    </w:p>
    <w:p w:rsidR="00FD027D" w:rsidRPr="004F5CF4" w:rsidRDefault="00FD027D" w:rsidP="00FD027D">
      <w:pPr>
        <w:pStyle w:val="Figure"/>
        <w:pBdr>
          <w:right w:val="single" w:sz="12" w:space="0" w:color="005173"/>
        </w:pBdr>
        <w:spacing w:before="120" w:after="0"/>
        <w:ind w:left="0" w:firstLine="0"/>
        <w:jc w:val="both"/>
        <w:rPr>
          <w:lang w:eastAsia="en-ZA"/>
        </w:rPr>
      </w:pPr>
      <w:r w:rsidRPr="00F361D6">
        <w:rPr>
          <w:lang w:eastAsia="en-ZA"/>
        </w:rPr>
        <w:t>a)</w:t>
      </w:r>
      <w:r w:rsidRPr="00F361D6">
        <w:rPr>
          <w:lang w:eastAsia="en-ZA"/>
        </w:rPr>
        <w:tab/>
      </w:r>
      <w:r w:rsidRPr="004F5CF4">
        <w:rPr>
          <w:lang w:eastAsia="en-ZA"/>
        </w:rPr>
        <w:t>A report to the membership presenting guidelines</w:t>
      </w:r>
      <w:r>
        <w:rPr>
          <w:lang w:eastAsia="en-ZA"/>
        </w:rPr>
        <w:t xml:space="preserve"> </w:t>
      </w:r>
      <w:r w:rsidRPr="004F5CF4">
        <w:rPr>
          <w:lang w:eastAsia="en-ZA"/>
        </w:rPr>
        <w:t xml:space="preserve">to assist Member States in resolving </w:t>
      </w:r>
      <w:r w:rsidRPr="00F361D6">
        <w:rPr>
          <w:lang w:eastAsia="en-ZA"/>
        </w:rPr>
        <w:t>similar</w:t>
      </w:r>
      <w:r>
        <w:rPr>
          <w:lang w:eastAsia="en-ZA"/>
        </w:rPr>
        <w:t xml:space="preserve"> p</w:t>
      </w:r>
      <w:r w:rsidRPr="00F361D6">
        <w:rPr>
          <w:lang w:eastAsia="en-ZA"/>
        </w:rPr>
        <w:t xml:space="preserve">roblems </w:t>
      </w:r>
      <w:r w:rsidRPr="004F5CF4">
        <w:rPr>
          <w:lang w:eastAsia="en-ZA"/>
        </w:rPr>
        <w:t xml:space="preserve">faced by regulatory bodies. </w:t>
      </w:r>
    </w:p>
    <w:p w:rsidR="00FD027D" w:rsidRPr="00F361D6" w:rsidRDefault="00FD027D" w:rsidP="00FD027D">
      <w:pPr>
        <w:pStyle w:val="Figure"/>
        <w:pBdr>
          <w:right w:val="single" w:sz="12" w:space="0" w:color="005173"/>
        </w:pBdr>
        <w:spacing w:before="120" w:after="0"/>
        <w:ind w:left="0" w:firstLine="0"/>
        <w:jc w:val="both"/>
        <w:rPr>
          <w:lang w:eastAsia="en-ZA"/>
        </w:rPr>
      </w:pPr>
      <w:r w:rsidRPr="00F361D6">
        <w:rPr>
          <w:lang w:eastAsia="en-ZA"/>
        </w:rPr>
        <w:t>b)</w:t>
      </w:r>
      <w:r w:rsidRPr="00F361D6">
        <w:rPr>
          <w:lang w:eastAsia="en-ZA"/>
        </w:rPr>
        <w:tab/>
      </w:r>
      <w:r w:rsidRPr="004F5CF4">
        <w:rPr>
          <w:lang w:eastAsia="en-ZA"/>
        </w:rPr>
        <w:t xml:space="preserve">The report will provide regulatory authorities with guidelines on methods for raising the </w:t>
      </w:r>
      <w:r>
        <w:rPr>
          <w:lang w:eastAsia="en-ZA"/>
        </w:rPr>
        <w:t>a</w:t>
      </w:r>
      <w:r w:rsidRPr="004F5CF4">
        <w:rPr>
          <w:lang w:eastAsia="en-ZA"/>
        </w:rPr>
        <w:t xml:space="preserve">wareness of populations along with best practices based on countries' experience in the matter. </w:t>
      </w:r>
    </w:p>
    <w:p w:rsidR="00FD027D" w:rsidRPr="004F5CF4" w:rsidRDefault="00FD027D" w:rsidP="00FD027D">
      <w:pPr>
        <w:pStyle w:val="Figuretitle"/>
        <w:pBdr>
          <w:right w:val="single" w:sz="12" w:space="0" w:color="005173"/>
        </w:pBdr>
        <w:spacing w:before="240"/>
        <w:rPr>
          <w:bCs/>
          <w:lang w:eastAsia="en-ZA"/>
        </w:rPr>
      </w:pPr>
      <w:bookmarkStart w:id="144" w:name="_Toc375239138"/>
      <w:r w:rsidRPr="004F5CF4">
        <w:rPr>
          <w:lang w:eastAsia="en-ZA"/>
        </w:rPr>
        <w:t>4</w:t>
      </w:r>
      <w:r w:rsidR="00485739">
        <w:rPr>
          <w:lang w:eastAsia="en-ZA"/>
        </w:rPr>
        <w:t>.</w:t>
      </w:r>
      <w:r w:rsidRPr="004F5CF4">
        <w:rPr>
          <w:lang w:eastAsia="en-ZA"/>
        </w:rPr>
        <w:t xml:space="preserve"> </w:t>
      </w:r>
      <w:r>
        <w:rPr>
          <w:lang w:eastAsia="en-ZA"/>
        </w:rPr>
        <w:tab/>
      </w:r>
      <w:r w:rsidRPr="004F5CF4">
        <w:rPr>
          <w:lang w:eastAsia="en-ZA"/>
        </w:rPr>
        <w:t>Timeline</w:t>
      </w:r>
      <w:bookmarkEnd w:id="144"/>
      <w:r w:rsidRPr="004F5CF4">
        <w:rPr>
          <w:lang w:eastAsia="en-ZA"/>
        </w:rPr>
        <w:t xml:space="preserve"> </w:t>
      </w:r>
    </w:p>
    <w:p w:rsidR="00FD027D" w:rsidRPr="004F5CF4" w:rsidRDefault="00FD027D" w:rsidP="00FD027D">
      <w:pPr>
        <w:pStyle w:val="Figure"/>
        <w:pBdr>
          <w:right w:val="single" w:sz="12" w:space="0" w:color="005173"/>
        </w:pBdr>
        <w:spacing w:before="120" w:after="0"/>
        <w:ind w:left="0" w:firstLine="0"/>
        <w:jc w:val="both"/>
        <w:rPr>
          <w:lang w:eastAsia="en-ZA"/>
        </w:rPr>
      </w:pPr>
      <w:r w:rsidRPr="004F5CF4">
        <w:rPr>
          <w:lang w:eastAsia="en-ZA"/>
        </w:rPr>
        <w:t>A provisional report is to be presented to the Study Group in 2012. It is proposed that the study be completed in 2013, at which date a final report containing guidelines will be submitted</w:t>
      </w:r>
      <w:r w:rsidR="00485739">
        <w:rPr>
          <w:lang w:eastAsia="en-ZA"/>
        </w:rPr>
        <w:t>.</w:t>
      </w:r>
    </w:p>
    <w:p w:rsidR="00FD027D" w:rsidRDefault="00FD027D" w:rsidP="00FD027D">
      <w:pPr>
        <w:spacing w:before="0"/>
        <w:rPr>
          <w:b/>
          <w:szCs w:val="19"/>
          <w:lang w:val="en-GB"/>
        </w:rPr>
      </w:pPr>
      <w:bookmarkStart w:id="145" w:name="_Toc361912446"/>
      <w:r w:rsidRPr="00061F17">
        <w:rPr>
          <w:smallCaps/>
          <w:szCs w:val="19"/>
          <w:lang w:val="en-US"/>
        </w:rPr>
        <w:br w:type="page"/>
      </w:r>
    </w:p>
    <w:p w:rsidR="00FD027D" w:rsidRPr="00013023" w:rsidRDefault="00FD027D" w:rsidP="00FD027D">
      <w:pPr>
        <w:pStyle w:val="Heading1"/>
        <w:tabs>
          <w:tab w:val="left" w:pos="1418"/>
        </w:tabs>
        <w:ind w:left="1418" w:hanging="1418"/>
        <w:rPr>
          <w:smallCaps/>
        </w:rPr>
      </w:pPr>
      <w:bookmarkStart w:id="146" w:name="_Toc374691845"/>
      <w:bookmarkStart w:id="147" w:name="_Toc377560484"/>
      <w:r w:rsidRPr="00013023">
        <w:lastRenderedPageBreak/>
        <w:t>A</w:t>
      </w:r>
      <w:r>
        <w:t>nnex</w:t>
      </w:r>
      <w:r w:rsidRPr="00013023">
        <w:t xml:space="preserve"> 4: </w:t>
      </w:r>
      <w:r>
        <w:tab/>
      </w:r>
      <w:r w:rsidRPr="00013023">
        <w:t>WTSA</w:t>
      </w:r>
      <w:r>
        <w:t>-</w:t>
      </w:r>
      <w:r w:rsidRPr="00013023">
        <w:t>12</w:t>
      </w:r>
      <w:r w:rsidRPr="00FA6CE1">
        <w:rPr>
          <w:rStyle w:val="FootnoteReference"/>
          <w:lang w:val="en-US"/>
        </w:rPr>
        <w:footnoteReference w:customMarkFollows="1" w:id="26"/>
        <w:t>*</w:t>
      </w:r>
      <w:r w:rsidRPr="00013023">
        <w:t xml:space="preserve"> Resolution 72 on “Measurement concerns related to human exposure to electromagnetic fields”'</w:t>
      </w:r>
      <w:bookmarkEnd w:id="145"/>
      <w:bookmarkEnd w:id="146"/>
      <w:bookmarkEnd w:id="147"/>
    </w:p>
    <w:p w:rsidR="00FD027D" w:rsidRDefault="00FD027D" w:rsidP="00FD027D">
      <w:pPr>
        <w:rPr>
          <w:lang w:val="en-US"/>
        </w:rPr>
      </w:pPr>
      <w:bookmarkStart w:id="148" w:name="dstart"/>
      <w:bookmarkStart w:id="149" w:name="dbreak"/>
      <w:bookmarkStart w:id="150" w:name="c2tope"/>
      <w:bookmarkStart w:id="151" w:name="irecnoe"/>
      <w:bookmarkEnd w:id="148"/>
      <w:bookmarkEnd w:id="149"/>
      <w:bookmarkEnd w:id="150"/>
      <w:bookmarkEnd w:id="151"/>
    </w:p>
    <w:p w:rsidR="00FD027D" w:rsidRPr="00A86D63" w:rsidRDefault="00FD027D" w:rsidP="00FD027D">
      <w:pPr>
        <w:rPr>
          <w:lang w:val="en-US"/>
        </w:rPr>
      </w:pPr>
    </w:p>
    <w:p w:rsidR="00FD027D" w:rsidRPr="001D4022" w:rsidRDefault="00FD027D" w:rsidP="00FD027D">
      <w:pPr>
        <w:pStyle w:val="ResNo"/>
        <w:rPr>
          <w:rFonts w:asciiTheme="minorHAnsi" w:hAnsiTheme="minorHAnsi"/>
          <w:lang w:val="en-US"/>
        </w:rPr>
      </w:pPr>
      <w:r w:rsidRPr="001D4022">
        <w:rPr>
          <w:rFonts w:asciiTheme="minorHAnsi" w:hAnsiTheme="minorHAnsi"/>
          <w:lang w:val="en-US"/>
        </w:rPr>
        <w:t xml:space="preserve">resolution </w:t>
      </w:r>
      <w:r w:rsidRPr="001D4022">
        <w:rPr>
          <w:rStyle w:val="href"/>
          <w:rFonts w:asciiTheme="minorHAnsi" w:hAnsiTheme="minorHAnsi"/>
          <w:lang w:val="en-US"/>
        </w:rPr>
        <w:t xml:space="preserve">72 </w:t>
      </w:r>
      <w:r w:rsidRPr="001D4022">
        <w:rPr>
          <w:rFonts w:asciiTheme="minorHAnsi" w:hAnsiTheme="minorHAnsi"/>
          <w:lang w:val="en-US"/>
        </w:rPr>
        <w:t>(Rev. Dubai, 2012)</w:t>
      </w:r>
    </w:p>
    <w:p w:rsidR="00FD027D" w:rsidRPr="00F361D6" w:rsidRDefault="00FD027D" w:rsidP="00FD027D">
      <w:pPr>
        <w:pStyle w:val="Restitle"/>
        <w:rPr>
          <w:lang w:val="en-GB"/>
        </w:rPr>
      </w:pPr>
      <w:r w:rsidRPr="001D4022">
        <w:rPr>
          <w:rFonts w:asciiTheme="minorHAnsi" w:hAnsiTheme="minorHAnsi"/>
          <w:lang w:val="en-US"/>
        </w:rPr>
        <w:t>Measurement</w:t>
      </w:r>
      <w:r w:rsidRPr="001D4022">
        <w:rPr>
          <w:rFonts w:asciiTheme="minorHAnsi" w:hAnsiTheme="minorHAnsi"/>
          <w:lang w:val="en-GB"/>
        </w:rPr>
        <w:t xml:space="preserve"> concerns related to human exposure to electromagnetic fields</w:t>
      </w:r>
    </w:p>
    <w:p w:rsidR="00FD027D" w:rsidRPr="001D4022" w:rsidRDefault="00FD027D" w:rsidP="00FD027D">
      <w:pPr>
        <w:pStyle w:val="Resref"/>
        <w:rPr>
          <w:rFonts w:asciiTheme="minorHAnsi" w:hAnsiTheme="minorHAnsi"/>
          <w:sz w:val="21"/>
          <w:szCs w:val="21"/>
          <w:lang w:val="en-US"/>
        </w:rPr>
      </w:pPr>
      <w:r w:rsidRPr="001D4022">
        <w:rPr>
          <w:rFonts w:asciiTheme="minorHAnsi" w:hAnsiTheme="minorHAnsi"/>
          <w:sz w:val="21"/>
          <w:szCs w:val="21"/>
          <w:lang w:val="en-US"/>
        </w:rPr>
        <w:t>(Johannesburg, 2008; Dubai, 2012)</w:t>
      </w:r>
    </w:p>
    <w:p w:rsidR="00FD027D" w:rsidRPr="001D4022" w:rsidRDefault="00FD027D" w:rsidP="00FD027D">
      <w:pPr>
        <w:pStyle w:val="Normalaftertitle0"/>
        <w:spacing w:before="120" w:after="120"/>
        <w:rPr>
          <w:rFonts w:asciiTheme="minorHAnsi" w:hAnsiTheme="minorHAnsi"/>
          <w:sz w:val="21"/>
          <w:szCs w:val="21"/>
        </w:rPr>
      </w:pPr>
    </w:p>
    <w:p w:rsidR="00FD027D" w:rsidRPr="001D4022" w:rsidRDefault="00FD027D" w:rsidP="00FD027D">
      <w:pPr>
        <w:pStyle w:val="Normalaftertitle0"/>
        <w:rPr>
          <w:rFonts w:asciiTheme="minorHAnsi" w:hAnsiTheme="minorHAnsi"/>
          <w:sz w:val="21"/>
          <w:szCs w:val="21"/>
        </w:rPr>
      </w:pPr>
      <w:r w:rsidRPr="001D4022">
        <w:rPr>
          <w:rFonts w:asciiTheme="minorHAnsi" w:hAnsiTheme="minorHAnsi"/>
          <w:sz w:val="21"/>
          <w:szCs w:val="21"/>
        </w:rPr>
        <w:t>The World Telecommunication Standardization Assembly (Dubai, 2012),</w:t>
      </w:r>
    </w:p>
    <w:p w:rsidR="00FD027D" w:rsidRPr="001D4022" w:rsidRDefault="00FD027D" w:rsidP="00FD027D">
      <w:pPr>
        <w:pStyle w:val="Call"/>
        <w:rPr>
          <w:rFonts w:asciiTheme="minorHAnsi" w:hAnsiTheme="minorHAnsi"/>
          <w:szCs w:val="21"/>
        </w:rPr>
      </w:pPr>
      <w:r w:rsidRPr="001D4022">
        <w:rPr>
          <w:rFonts w:asciiTheme="minorHAnsi" w:hAnsiTheme="minorHAnsi"/>
          <w:szCs w:val="21"/>
        </w:rPr>
        <w:t xml:space="preserve">considering </w:t>
      </w:r>
    </w:p>
    <w:p w:rsidR="00FD027D" w:rsidRPr="001D4022" w:rsidRDefault="00FD027D" w:rsidP="00FD027D">
      <w:pPr>
        <w:rPr>
          <w:rFonts w:asciiTheme="minorHAnsi" w:hAnsiTheme="minorHAnsi"/>
          <w:szCs w:val="21"/>
          <w:lang w:val="en-GB"/>
        </w:rPr>
      </w:pPr>
      <w:r w:rsidRPr="001D4022">
        <w:rPr>
          <w:rFonts w:asciiTheme="minorHAnsi" w:hAnsiTheme="minorHAnsi"/>
          <w:i/>
          <w:iCs/>
          <w:szCs w:val="21"/>
          <w:lang w:val="en-GB"/>
        </w:rPr>
        <w:t>a)</w:t>
      </w:r>
      <w:r w:rsidRPr="001D4022">
        <w:rPr>
          <w:rFonts w:asciiTheme="minorHAnsi" w:hAnsiTheme="minorHAnsi"/>
          <w:szCs w:val="21"/>
          <w:lang w:val="en-GB"/>
        </w:rPr>
        <w:tab/>
        <w:t>the importance of telecommunications and information and communication technologies (ICT) for political, economic, social and cultural progress;</w:t>
      </w:r>
    </w:p>
    <w:p w:rsidR="00FD027D" w:rsidRPr="001D4022" w:rsidRDefault="00FD027D" w:rsidP="00FD027D">
      <w:pPr>
        <w:rPr>
          <w:rFonts w:asciiTheme="minorHAnsi" w:hAnsiTheme="minorHAnsi"/>
          <w:szCs w:val="21"/>
          <w:lang w:val="en-GB"/>
        </w:rPr>
      </w:pPr>
      <w:r w:rsidRPr="001D4022">
        <w:rPr>
          <w:rFonts w:asciiTheme="minorHAnsi" w:hAnsiTheme="minorHAnsi"/>
          <w:i/>
          <w:iCs/>
          <w:szCs w:val="21"/>
          <w:lang w:val="en-GB"/>
        </w:rPr>
        <w:t>b)</w:t>
      </w:r>
      <w:r w:rsidRPr="001D4022">
        <w:rPr>
          <w:rFonts w:asciiTheme="minorHAnsi" w:hAnsiTheme="minorHAnsi"/>
          <w:szCs w:val="21"/>
          <w:lang w:val="en-GB"/>
        </w:rPr>
        <w:tab/>
        <w:t>that a significant part of the infrastructure needed to help bridge the digital divide between developed and developing countries</w:t>
      </w:r>
      <w:r w:rsidRPr="001D4022">
        <w:rPr>
          <w:rStyle w:val="FootnoteReference"/>
          <w:rFonts w:asciiTheme="minorHAnsi" w:hAnsiTheme="minorHAnsi"/>
          <w:szCs w:val="21"/>
          <w:lang w:val="en-US"/>
        </w:rPr>
        <w:footnoteReference w:customMarkFollows="1" w:id="27"/>
        <w:t>1</w:t>
      </w:r>
      <w:r w:rsidRPr="001D4022">
        <w:rPr>
          <w:rFonts w:asciiTheme="minorHAnsi" w:hAnsiTheme="minorHAnsi"/>
          <w:szCs w:val="21"/>
          <w:lang w:val="en-GB"/>
        </w:rPr>
        <w:t xml:space="preserve"> involves various wireless technologies;</w:t>
      </w:r>
    </w:p>
    <w:p w:rsidR="00FD027D" w:rsidRPr="001D4022" w:rsidRDefault="00FD027D" w:rsidP="00FD027D">
      <w:pPr>
        <w:rPr>
          <w:rFonts w:asciiTheme="minorHAnsi" w:hAnsiTheme="minorHAnsi"/>
          <w:szCs w:val="21"/>
          <w:lang w:val="en-GB"/>
        </w:rPr>
      </w:pPr>
      <w:r w:rsidRPr="001D4022">
        <w:rPr>
          <w:rFonts w:asciiTheme="minorHAnsi" w:hAnsiTheme="minorHAnsi"/>
          <w:i/>
          <w:iCs/>
          <w:szCs w:val="21"/>
          <w:lang w:val="en-GB"/>
        </w:rPr>
        <w:t>c)</w:t>
      </w:r>
      <w:r w:rsidRPr="001D4022">
        <w:rPr>
          <w:rFonts w:asciiTheme="minorHAnsi" w:hAnsiTheme="minorHAnsi"/>
          <w:szCs w:val="21"/>
          <w:lang w:val="en-GB"/>
        </w:rPr>
        <w:tab/>
        <w:t>that there is a need to inform the public of the potential effects of exposure to electromagnetic fields (EMF);</w:t>
      </w:r>
    </w:p>
    <w:p w:rsidR="00FD027D" w:rsidRPr="001D4022" w:rsidRDefault="00FD027D" w:rsidP="00FD027D">
      <w:pPr>
        <w:rPr>
          <w:rFonts w:asciiTheme="minorHAnsi" w:hAnsiTheme="minorHAnsi"/>
          <w:szCs w:val="21"/>
          <w:lang w:val="en-GB"/>
        </w:rPr>
      </w:pPr>
      <w:r w:rsidRPr="001D4022">
        <w:rPr>
          <w:rFonts w:asciiTheme="minorHAnsi" w:hAnsiTheme="minorHAnsi"/>
          <w:i/>
          <w:iCs/>
          <w:szCs w:val="21"/>
          <w:lang w:val="en-GB"/>
        </w:rPr>
        <w:t>d)</w:t>
      </w:r>
      <w:r w:rsidRPr="001D4022">
        <w:rPr>
          <w:rFonts w:asciiTheme="minorHAnsi" w:hAnsiTheme="minorHAnsi"/>
          <w:szCs w:val="21"/>
          <w:lang w:val="en-GB"/>
        </w:rPr>
        <w:tab/>
        <w:t>that an enormous amount of research has been carried out regarding wireless systems and health, and many independent expert committees have reviewed this research;</w:t>
      </w:r>
    </w:p>
    <w:p w:rsidR="00FD027D" w:rsidRPr="001D4022" w:rsidRDefault="00FD027D" w:rsidP="00FD027D">
      <w:pPr>
        <w:rPr>
          <w:rFonts w:asciiTheme="minorHAnsi" w:hAnsiTheme="minorHAnsi"/>
          <w:szCs w:val="21"/>
          <w:lang w:val="en-GB"/>
        </w:rPr>
      </w:pPr>
      <w:r w:rsidRPr="001D4022">
        <w:rPr>
          <w:rFonts w:asciiTheme="minorHAnsi" w:hAnsiTheme="minorHAnsi"/>
          <w:i/>
          <w:iCs/>
          <w:szCs w:val="21"/>
          <w:lang w:val="en-GB"/>
        </w:rPr>
        <w:t>e)</w:t>
      </w:r>
      <w:r w:rsidRPr="001D4022">
        <w:rPr>
          <w:rFonts w:asciiTheme="minorHAnsi" w:hAnsiTheme="minorHAnsi"/>
          <w:szCs w:val="21"/>
          <w:lang w:val="en-GB"/>
        </w:rPr>
        <w:tab/>
        <w:t>that the International Commission on Non-Ionizing Radiation Protection (ICNIRP), the International Electrotechnical Commission (IEC) and the Institute of Electrical and Electronics Engineers (IEEE) are three among a number of pre-eminent international bodies in establishing measurement methodologies for assessing human exposure to EMF, and they already cooperate with many standards bodies and industry forums;</w:t>
      </w:r>
    </w:p>
    <w:p w:rsidR="00FD027D" w:rsidRPr="001D4022" w:rsidRDefault="00FD027D" w:rsidP="00FD027D">
      <w:pPr>
        <w:rPr>
          <w:rFonts w:asciiTheme="minorHAnsi" w:hAnsiTheme="minorHAnsi"/>
          <w:szCs w:val="21"/>
          <w:lang w:val="en-GB"/>
        </w:rPr>
      </w:pPr>
      <w:r w:rsidRPr="001D4022">
        <w:rPr>
          <w:rFonts w:asciiTheme="minorHAnsi" w:hAnsiTheme="minorHAnsi"/>
          <w:i/>
          <w:iCs/>
          <w:szCs w:val="21"/>
          <w:lang w:val="en-GB"/>
        </w:rPr>
        <w:t>f)</w:t>
      </w:r>
      <w:r w:rsidRPr="001D4022">
        <w:rPr>
          <w:rFonts w:asciiTheme="minorHAnsi" w:hAnsiTheme="minorHAnsi"/>
          <w:szCs w:val="21"/>
          <w:lang w:val="en-GB"/>
        </w:rPr>
        <w:tab/>
        <w:t>that the World Health Organization (WHO) has issued fact sheets regarding EMF issues, including mobile terminals, base stations and wireless networks, referencing ICNIRP standards;</w:t>
      </w:r>
    </w:p>
    <w:p w:rsidR="00FD027D" w:rsidRPr="001D4022" w:rsidRDefault="00FD027D" w:rsidP="00FD027D">
      <w:pPr>
        <w:rPr>
          <w:rFonts w:asciiTheme="minorHAnsi" w:hAnsiTheme="minorHAnsi"/>
          <w:szCs w:val="21"/>
          <w:lang w:val="en-GB"/>
        </w:rPr>
      </w:pPr>
      <w:r w:rsidRPr="001D4022">
        <w:rPr>
          <w:rFonts w:asciiTheme="minorHAnsi" w:hAnsiTheme="minorHAnsi"/>
          <w:i/>
          <w:iCs/>
          <w:szCs w:val="21"/>
          <w:lang w:val="en-GB"/>
        </w:rPr>
        <w:t>g)</w:t>
      </w:r>
      <w:r w:rsidRPr="001D4022">
        <w:rPr>
          <w:rFonts w:asciiTheme="minorHAnsi" w:hAnsiTheme="minorHAnsi"/>
          <w:szCs w:val="21"/>
          <w:lang w:val="en-GB"/>
        </w:rPr>
        <w:tab/>
        <w:t xml:space="preserve">Resolution 176 (Guadalajara, 2010) of the Plenipotentiary Conference, on human exposure to and measurement of electromagnetic fields; </w:t>
      </w:r>
    </w:p>
    <w:p w:rsidR="00FD027D" w:rsidRPr="001D4022" w:rsidRDefault="00FD027D" w:rsidP="00FD027D">
      <w:pPr>
        <w:rPr>
          <w:rFonts w:asciiTheme="minorHAnsi" w:hAnsiTheme="minorHAnsi"/>
          <w:szCs w:val="21"/>
          <w:lang w:val="en-GB"/>
        </w:rPr>
      </w:pPr>
      <w:r w:rsidRPr="001D4022">
        <w:rPr>
          <w:rFonts w:asciiTheme="minorHAnsi" w:hAnsiTheme="minorHAnsi"/>
          <w:i/>
          <w:iCs/>
          <w:szCs w:val="21"/>
          <w:lang w:val="en-GB"/>
        </w:rPr>
        <w:t>h)</w:t>
      </w:r>
      <w:r w:rsidRPr="001D4022">
        <w:rPr>
          <w:rFonts w:asciiTheme="minorHAnsi" w:hAnsiTheme="minorHAnsi"/>
          <w:szCs w:val="21"/>
          <w:lang w:val="en-GB"/>
        </w:rPr>
        <w:tab/>
        <w:t>Resolution 62 (Hyderabad, 2010) of the World Telecommunication Development Conference, on measurement concerns related to human exposure to electromagnetic fields,</w:t>
      </w:r>
    </w:p>
    <w:p w:rsidR="00FD027D" w:rsidRPr="001D4022" w:rsidRDefault="00FD027D" w:rsidP="00FD027D">
      <w:pPr>
        <w:pStyle w:val="Call"/>
        <w:rPr>
          <w:rFonts w:asciiTheme="minorHAnsi" w:hAnsiTheme="minorHAnsi"/>
          <w:szCs w:val="21"/>
        </w:rPr>
      </w:pPr>
      <w:r w:rsidRPr="001D4022">
        <w:rPr>
          <w:rFonts w:asciiTheme="minorHAnsi" w:hAnsiTheme="minorHAnsi"/>
          <w:szCs w:val="21"/>
        </w:rPr>
        <w:t>recognizing</w:t>
      </w:r>
    </w:p>
    <w:p w:rsidR="00FD027D" w:rsidRPr="001D4022" w:rsidRDefault="00FD027D" w:rsidP="00FD027D">
      <w:pPr>
        <w:rPr>
          <w:rFonts w:asciiTheme="minorHAnsi" w:hAnsiTheme="minorHAnsi"/>
          <w:szCs w:val="21"/>
          <w:lang w:val="en-GB"/>
        </w:rPr>
      </w:pPr>
      <w:r w:rsidRPr="001D4022">
        <w:rPr>
          <w:rFonts w:asciiTheme="minorHAnsi" w:hAnsiTheme="minorHAnsi"/>
          <w:i/>
          <w:iCs/>
          <w:szCs w:val="21"/>
          <w:lang w:val="en-GB"/>
        </w:rPr>
        <w:t>a)</w:t>
      </w:r>
      <w:r w:rsidRPr="001D4022">
        <w:rPr>
          <w:rFonts w:asciiTheme="minorHAnsi" w:hAnsiTheme="minorHAnsi"/>
          <w:szCs w:val="21"/>
          <w:lang w:val="en-GB"/>
        </w:rPr>
        <w:tab/>
        <w:t>the work done within ITU Radiocommunication Sector (ITU</w:t>
      </w:r>
      <w:r w:rsidRPr="001D4022">
        <w:rPr>
          <w:rFonts w:asciiTheme="minorHAnsi" w:hAnsiTheme="minorHAnsi"/>
          <w:szCs w:val="21"/>
          <w:lang w:val="en-GB"/>
        </w:rPr>
        <w:noBreakHyphen/>
        <w:t>R) study groups on radiowave propagation, electromagnetic compatibility (EMC) and related aspects, including measurement methods;</w:t>
      </w:r>
    </w:p>
    <w:p w:rsidR="00FD027D" w:rsidRPr="001D4022" w:rsidRDefault="00FD027D" w:rsidP="00FD027D">
      <w:pPr>
        <w:rPr>
          <w:rFonts w:asciiTheme="minorHAnsi" w:hAnsiTheme="minorHAnsi"/>
          <w:szCs w:val="21"/>
          <w:lang w:val="en-GB"/>
        </w:rPr>
      </w:pPr>
      <w:r w:rsidRPr="001D4022">
        <w:rPr>
          <w:rFonts w:asciiTheme="minorHAnsi" w:hAnsiTheme="minorHAnsi"/>
          <w:i/>
          <w:iCs/>
          <w:szCs w:val="21"/>
          <w:lang w:val="en-GB"/>
        </w:rPr>
        <w:t>b)</w:t>
      </w:r>
      <w:r w:rsidRPr="001D4022">
        <w:rPr>
          <w:rFonts w:asciiTheme="minorHAnsi" w:hAnsiTheme="minorHAnsi"/>
          <w:szCs w:val="21"/>
          <w:lang w:val="en-GB"/>
        </w:rPr>
        <w:tab/>
        <w:t>the work done within Study Group 5 of the ITU Telecommunication Standardization Sector (ITU</w:t>
      </w:r>
      <w:r w:rsidRPr="001D4022">
        <w:rPr>
          <w:rFonts w:asciiTheme="minorHAnsi" w:hAnsiTheme="minorHAnsi"/>
          <w:szCs w:val="21"/>
          <w:lang w:val="en-GB"/>
        </w:rPr>
        <w:noBreakHyphen/>
        <w:t>T) on techniques for taking radio-frequency (RF) measurements;</w:t>
      </w:r>
    </w:p>
    <w:p w:rsidR="00FD027D" w:rsidRPr="00F361D6" w:rsidRDefault="00FD027D" w:rsidP="00FD027D">
      <w:pPr>
        <w:rPr>
          <w:szCs w:val="19"/>
          <w:lang w:val="en-GB"/>
        </w:rPr>
      </w:pPr>
      <w:r w:rsidRPr="00F361D6">
        <w:rPr>
          <w:i/>
          <w:iCs/>
          <w:szCs w:val="19"/>
          <w:lang w:val="en-GB"/>
        </w:rPr>
        <w:lastRenderedPageBreak/>
        <w:t>c)</w:t>
      </w:r>
      <w:r w:rsidRPr="00F361D6">
        <w:rPr>
          <w:szCs w:val="19"/>
          <w:lang w:val="en-GB"/>
        </w:rPr>
        <w:tab/>
        <w:t>that Study Group 5, in establishing measurement methodologies for assessing human exposure to RF energy, already cooperates with many participating standards organizations (PSOs),</w:t>
      </w:r>
    </w:p>
    <w:p w:rsidR="00FD027D" w:rsidRPr="00F361D6" w:rsidRDefault="00FD027D" w:rsidP="00FD027D">
      <w:pPr>
        <w:pStyle w:val="Call"/>
      </w:pPr>
      <w:r w:rsidRPr="00FF79CB">
        <w:t>recognizing</w:t>
      </w:r>
      <w:r w:rsidRPr="00F361D6">
        <w:t xml:space="preserve"> further</w:t>
      </w:r>
    </w:p>
    <w:p w:rsidR="00FD027D" w:rsidRPr="00F361D6" w:rsidRDefault="00FD027D" w:rsidP="00FD027D">
      <w:pPr>
        <w:rPr>
          <w:szCs w:val="19"/>
          <w:lang w:val="en-GB"/>
        </w:rPr>
      </w:pPr>
      <w:r w:rsidRPr="00F361D6">
        <w:rPr>
          <w:i/>
          <w:iCs/>
          <w:szCs w:val="19"/>
          <w:lang w:val="en-GB"/>
        </w:rPr>
        <w:t>a)</w:t>
      </w:r>
      <w:r w:rsidRPr="00F361D6">
        <w:rPr>
          <w:szCs w:val="19"/>
          <w:lang w:val="en-GB"/>
        </w:rPr>
        <w:tab/>
        <w:t>that some publications about EMF effects on health create doubt among the population, in particular in developing countries;</w:t>
      </w:r>
    </w:p>
    <w:p w:rsidR="00FD027D" w:rsidRPr="00F361D6" w:rsidRDefault="00FD027D" w:rsidP="00FD027D">
      <w:pPr>
        <w:rPr>
          <w:szCs w:val="19"/>
          <w:lang w:val="en-GB"/>
        </w:rPr>
      </w:pPr>
      <w:r w:rsidRPr="00F361D6">
        <w:rPr>
          <w:i/>
          <w:iCs/>
          <w:szCs w:val="19"/>
          <w:lang w:val="en-GB"/>
        </w:rPr>
        <w:t>b)</w:t>
      </w:r>
      <w:r w:rsidRPr="00F361D6">
        <w:rPr>
          <w:szCs w:val="19"/>
          <w:lang w:val="en-GB"/>
        </w:rPr>
        <w:tab/>
        <w:t>that, in the absence of regulation, people, in particular in developing countries, become more and more doubtful and are increasingly opposing the deployment of radio installations in their neighbourhoods;</w:t>
      </w:r>
    </w:p>
    <w:p w:rsidR="00FD027D" w:rsidRPr="00F361D6" w:rsidRDefault="00FD027D" w:rsidP="00FD027D">
      <w:pPr>
        <w:rPr>
          <w:szCs w:val="19"/>
          <w:lang w:val="en-GB"/>
        </w:rPr>
      </w:pPr>
      <w:r w:rsidRPr="00F361D6">
        <w:rPr>
          <w:i/>
          <w:iCs/>
          <w:szCs w:val="19"/>
          <w:lang w:val="en-GB"/>
        </w:rPr>
        <w:t>c)</w:t>
      </w:r>
      <w:r w:rsidRPr="00F361D6">
        <w:rPr>
          <w:szCs w:val="19"/>
          <w:lang w:val="en-GB"/>
        </w:rPr>
        <w:tab/>
        <w:t>that the cost of the equipment used for assessing human exposure to RF energy is very high, and that the equipment is more likely to be affordable only in developed countries;</w:t>
      </w:r>
    </w:p>
    <w:p w:rsidR="00FD027D" w:rsidRPr="00F361D6" w:rsidRDefault="00FD027D" w:rsidP="00FD027D">
      <w:pPr>
        <w:rPr>
          <w:szCs w:val="19"/>
          <w:lang w:val="en-GB"/>
        </w:rPr>
      </w:pPr>
      <w:r w:rsidRPr="00F361D6">
        <w:rPr>
          <w:i/>
          <w:iCs/>
          <w:szCs w:val="19"/>
          <w:lang w:val="en-GB"/>
        </w:rPr>
        <w:t>d)</w:t>
      </w:r>
      <w:r w:rsidRPr="00F361D6">
        <w:rPr>
          <w:szCs w:val="19"/>
          <w:lang w:val="en-GB"/>
        </w:rPr>
        <w:tab/>
        <w:t>that implementing such measurement is essential for many regulatory authorities, in particular in developing countries, in order to monitor the limits for human exposure to RF energy, and that they are called upon to ensure those limits are met in order to license different services,</w:t>
      </w:r>
    </w:p>
    <w:p w:rsidR="00FD027D" w:rsidRPr="00F361D6" w:rsidRDefault="00FD027D" w:rsidP="00FD027D">
      <w:pPr>
        <w:pStyle w:val="Call"/>
      </w:pPr>
      <w:r w:rsidRPr="00FF79CB">
        <w:t>noting</w:t>
      </w:r>
    </w:p>
    <w:p w:rsidR="00FD027D" w:rsidRPr="00F361D6" w:rsidRDefault="00FD027D" w:rsidP="00FD027D">
      <w:pPr>
        <w:rPr>
          <w:szCs w:val="19"/>
          <w:lang w:val="en-GB"/>
        </w:rPr>
      </w:pPr>
      <w:r w:rsidRPr="00F361D6">
        <w:rPr>
          <w:szCs w:val="19"/>
          <w:lang w:val="en-GB"/>
        </w:rPr>
        <w:t>the similar activities carried out by other national, regional and international standards development organizations (SDOs),</w:t>
      </w:r>
    </w:p>
    <w:p w:rsidR="00FD027D" w:rsidRPr="00F361D6" w:rsidRDefault="00FD027D" w:rsidP="00FD027D">
      <w:pPr>
        <w:pStyle w:val="Call"/>
      </w:pPr>
      <w:r w:rsidRPr="00F361D6">
        <w:t>resolves</w:t>
      </w:r>
    </w:p>
    <w:p w:rsidR="00FD027D" w:rsidRPr="00F361D6" w:rsidRDefault="00FD027D" w:rsidP="00FD027D">
      <w:pPr>
        <w:rPr>
          <w:szCs w:val="19"/>
          <w:lang w:val="en-GB"/>
        </w:rPr>
      </w:pPr>
      <w:r w:rsidRPr="00F361D6">
        <w:rPr>
          <w:szCs w:val="19"/>
          <w:lang w:val="en-GB"/>
        </w:rPr>
        <w:t>to invite ITU</w:t>
      </w:r>
      <w:r w:rsidRPr="00F361D6">
        <w:rPr>
          <w:szCs w:val="19"/>
          <w:lang w:val="en-GB"/>
        </w:rPr>
        <w:noBreakHyphen/>
        <w:t>T, in particular Study Group 5, to expand and continue its work and support in this domain, including but not limited to:</w:t>
      </w:r>
    </w:p>
    <w:p w:rsidR="00FD027D" w:rsidRPr="00F361D6" w:rsidRDefault="00FD027D" w:rsidP="00FD027D">
      <w:pPr>
        <w:pStyle w:val="Enumlevel1"/>
      </w:pPr>
      <w:r w:rsidRPr="00F361D6">
        <w:t>i)</w:t>
      </w:r>
      <w:r w:rsidRPr="00F361D6">
        <w:tab/>
        <w:t>disseminating information related to this topic through organizing workshops and seminars for regulators, operators and any interested stakeholders from developing countries;</w:t>
      </w:r>
    </w:p>
    <w:p w:rsidR="00FD027D" w:rsidRPr="00F361D6" w:rsidRDefault="00FD027D" w:rsidP="00FD027D">
      <w:pPr>
        <w:pStyle w:val="Enumlevel1"/>
      </w:pPr>
      <w:r w:rsidRPr="00F361D6">
        <w:t>ii)</w:t>
      </w:r>
      <w:r w:rsidRPr="00F361D6">
        <w:tab/>
        <w:t xml:space="preserve">continuing to cooperate and collaborate with other organizations working on this topic and to leverage their work, in particular with a view to assisting the developing countries in the establishment of standards and in monitoring compliance with these standards, especially on telecommunication terminals; </w:t>
      </w:r>
    </w:p>
    <w:p w:rsidR="00FD027D" w:rsidRPr="00F361D6" w:rsidRDefault="00FD027D" w:rsidP="00FD027D">
      <w:pPr>
        <w:pStyle w:val="Enumlevel1"/>
      </w:pPr>
      <w:r w:rsidRPr="00F361D6">
        <w:t>iii)</w:t>
      </w:r>
      <w:r w:rsidRPr="00F361D6">
        <w:tab/>
        <w:t>cooperating on these issues with ITU</w:t>
      </w:r>
      <w:r w:rsidRPr="00F361D6">
        <w:noBreakHyphen/>
        <w:t>R Study Groups 1 and 6, and with Study Group 1 of the ITU Telecommunication Development Sector (ITU</w:t>
      </w:r>
      <w:r w:rsidRPr="00F361D6">
        <w:noBreakHyphen/>
        <w:t>D) in the framework of Question 23/1;</w:t>
      </w:r>
    </w:p>
    <w:p w:rsidR="00FD027D" w:rsidRPr="00F361D6" w:rsidRDefault="00FD027D" w:rsidP="00FD027D">
      <w:pPr>
        <w:pStyle w:val="Enumlevel1"/>
      </w:pPr>
      <w:r w:rsidRPr="00F361D6">
        <w:t>iv)</w:t>
      </w:r>
      <w:r w:rsidRPr="00F361D6">
        <w:tab/>
        <w:t>strengthening coordination with WHO so that any fact sheet relating to human exposure to electromagnetic fields is circulated to Member States as soon as it is issued,</w:t>
      </w:r>
    </w:p>
    <w:p w:rsidR="00FD027D" w:rsidRPr="00F361D6" w:rsidRDefault="00FD027D" w:rsidP="00FD027D">
      <w:pPr>
        <w:pStyle w:val="Call"/>
      </w:pPr>
      <w:r w:rsidRPr="00FF79CB">
        <w:t>instructs</w:t>
      </w:r>
      <w:r w:rsidRPr="00F361D6">
        <w:t xml:space="preserve"> the Director of the Telecommunication Standardization Bureau, in close collaboration with the Directors of the other two Bureaux, and within the available financial resources</w:t>
      </w:r>
    </w:p>
    <w:p w:rsidR="00FD027D" w:rsidRPr="00F361D6" w:rsidRDefault="00FD027D" w:rsidP="00FD027D">
      <w:pPr>
        <w:rPr>
          <w:szCs w:val="19"/>
          <w:lang w:val="en-GB"/>
        </w:rPr>
      </w:pPr>
      <w:r w:rsidRPr="00F361D6">
        <w:rPr>
          <w:szCs w:val="19"/>
          <w:lang w:val="en-GB"/>
        </w:rPr>
        <w:t>1</w:t>
      </w:r>
      <w:r w:rsidRPr="00F361D6">
        <w:rPr>
          <w:szCs w:val="19"/>
          <w:lang w:val="en-GB"/>
        </w:rPr>
        <w:tab/>
        <w:t xml:space="preserve">to support the development of reports identifying the needs of developing countries on the issue of assessing human exposure to EMF, and submit the reports as soon as possible to ITU-T Study Group 5 for its consideration and action in accordance with its mandate; </w:t>
      </w:r>
    </w:p>
    <w:p w:rsidR="00FD027D" w:rsidRPr="00F361D6" w:rsidRDefault="00FD027D" w:rsidP="00FD027D">
      <w:pPr>
        <w:rPr>
          <w:szCs w:val="19"/>
          <w:lang w:val="en-GB"/>
        </w:rPr>
      </w:pPr>
      <w:r w:rsidRPr="00F361D6">
        <w:rPr>
          <w:szCs w:val="19"/>
          <w:lang w:val="en-GB"/>
        </w:rPr>
        <w:t>2</w:t>
      </w:r>
      <w:r w:rsidRPr="00F361D6">
        <w:rPr>
          <w:szCs w:val="19"/>
          <w:lang w:val="en-GB"/>
        </w:rPr>
        <w:tab/>
        <w:t>to hold workshops in developing countries with presentations and training on the use of equipment employed in assessing human exposure to RF energy;</w:t>
      </w:r>
    </w:p>
    <w:p w:rsidR="00FD027D" w:rsidRPr="00F361D6" w:rsidRDefault="00FD027D" w:rsidP="00FD027D">
      <w:pPr>
        <w:rPr>
          <w:szCs w:val="19"/>
          <w:lang w:val="en-GB"/>
        </w:rPr>
      </w:pPr>
      <w:r w:rsidRPr="00F361D6">
        <w:rPr>
          <w:szCs w:val="19"/>
          <w:lang w:val="en-GB"/>
        </w:rPr>
        <w:t>3</w:t>
      </w:r>
      <w:r w:rsidRPr="00F361D6">
        <w:rPr>
          <w:szCs w:val="19"/>
          <w:lang w:val="en-GB"/>
        </w:rPr>
        <w:tab/>
        <w:t>to support developing countries while they establish their regional centres equipped with test benches for monitoring conformance of telecommunication terminal equipment and human exposure to electromagnetic waves using, among other things, the modalities listed in Resolutions 44 (Rev. Dubai, 2012) and 76 (Rev. Dubai, 2012) of this assembly, in the context of the development of the regional test centres and of Resolution 177 (Guadalajara, 2010) of the Plenipotentiary Conference,</w:t>
      </w:r>
    </w:p>
    <w:p w:rsidR="00FD027D" w:rsidRDefault="00FD027D" w:rsidP="00FD027D">
      <w:pPr>
        <w:pStyle w:val="Call"/>
      </w:pPr>
      <w:r>
        <w:br w:type="page"/>
      </w:r>
    </w:p>
    <w:p w:rsidR="00FD027D" w:rsidRPr="00F361D6" w:rsidRDefault="00FD027D" w:rsidP="00FD027D">
      <w:pPr>
        <w:pStyle w:val="Call"/>
      </w:pPr>
      <w:r w:rsidRPr="00FF79CB">
        <w:lastRenderedPageBreak/>
        <w:t>invites</w:t>
      </w:r>
      <w:r w:rsidRPr="00F361D6">
        <w:t xml:space="preserve"> Member States and Sector Members</w:t>
      </w:r>
    </w:p>
    <w:p w:rsidR="00FD027D" w:rsidRPr="00F361D6" w:rsidRDefault="00FD027D" w:rsidP="00FD027D">
      <w:pPr>
        <w:rPr>
          <w:szCs w:val="19"/>
          <w:lang w:val="en-GB"/>
        </w:rPr>
      </w:pPr>
      <w:r w:rsidRPr="00F361D6">
        <w:rPr>
          <w:szCs w:val="19"/>
          <w:lang w:val="en-GB"/>
        </w:rPr>
        <w:t>to contribute actively to the work of Study Group 5 in providing relevant and timely information in order to assist developing countries in providing information and addressing measurement concerns related to RF exposure and electromagnetic fields,</w:t>
      </w:r>
    </w:p>
    <w:p w:rsidR="00FD027D" w:rsidRPr="00F361D6" w:rsidRDefault="00FD027D" w:rsidP="00FD027D">
      <w:pPr>
        <w:pStyle w:val="Call"/>
      </w:pPr>
      <w:r w:rsidRPr="00F361D6">
        <w:t>further invites Member States</w:t>
      </w:r>
    </w:p>
    <w:p w:rsidR="00FD027D" w:rsidRPr="00F361D6" w:rsidRDefault="00FD027D" w:rsidP="00FD027D">
      <w:pPr>
        <w:rPr>
          <w:szCs w:val="19"/>
          <w:lang w:val="en-GB"/>
        </w:rPr>
      </w:pPr>
      <w:r w:rsidRPr="00F361D6">
        <w:rPr>
          <w:szCs w:val="19"/>
          <w:lang w:val="en-GB"/>
        </w:rPr>
        <w:t>to adopt suitable measures in order to ensure compliance with relevant international recommendations to protect health against the adverse effect of EMF.</w:t>
      </w:r>
    </w:p>
    <w:p w:rsidR="00FD027D" w:rsidRDefault="00FD027D" w:rsidP="00FD027D">
      <w:pPr>
        <w:spacing w:before="0"/>
        <w:rPr>
          <w:b/>
          <w:szCs w:val="19"/>
          <w:lang w:val="en-GB"/>
        </w:rPr>
      </w:pPr>
      <w:bookmarkStart w:id="152" w:name="_Toc361912447"/>
      <w:r w:rsidRPr="00061F17">
        <w:rPr>
          <w:smallCaps/>
          <w:szCs w:val="19"/>
          <w:lang w:val="en-US"/>
        </w:rPr>
        <w:br w:type="page"/>
      </w:r>
    </w:p>
    <w:p w:rsidR="00FD027D" w:rsidRPr="00F361D6" w:rsidRDefault="00FD027D" w:rsidP="00FD027D">
      <w:pPr>
        <w:pStyle w:val="Heading1"/>
        <w:tabs>
          <w:tab w:val="left" w:pos="1418"/>
        </w:tabs>
        <w:ind w:left="1418" w:hanging="1418"/>
        <w:rPr>
          <w:smallCaps/>
        </w:rPr>
      </w:pPr>
      <w:bookmarkStart w:id="153" w:name="_Toc374691846"/>
      <w:bookmarkStart w:id="154" w:name="_Toc377560485"/>
      <w:r w:rsidRPr="00F361D6">
        <w:lastRenderedPageBreak/>
        <w:t>A</w:t>
      </w:r>
      <w:r>
        <w:t xml:space="preserve">nnex </w:t>
      </w:r>
      <w:r w:rsidRPr="00F361D6">
        <w:t xml:space="preserve">5: </w:t>
      </w:r>
      <w:r>
        <w:tab/>
      </w:r>
      <w:r w:rsidRPr="00F361D6">
        <w:t>WTDC-10</w:t>
      </w:r>
      <w:r w:rsidRPr="00BC0DB7">
        <w:rPr>
          <w:rStyle w:val="FootnoteReference"/>
          <w:lang w:val="en-US"/>
        </w:rPr>
        <w:footnoteReference w:customMarkFollows="1" w:id="28"/>
        <w:t>*</w:t>
      </w:r>
      <w:r w:rsidRPr="00F361D6">
        <w:t xml:space="preserve"> Resolution 62 on "Measurement concerns related to </w:t>
      </w:r>
      <w:r w:rsidRPr="00FF79CB">
        <w:t>human</w:t>
      </w:r>
      <w:r w:rsidRPr="00F361D6">
        <w:t xml:space="preserve"> exposure to EMF"</w:t>
      </w:r>
      <w:bookmarkEnd w:id="152"/>
      <w:bookmarkEnd w:id="153"/>
      <w:bookmarkEnd w:id="154"/>
    </w:p>
    <w:p w:rsidR="00FD027D" w:rsidRPr="007A19CC" w:rsidRDefault="00FD027D" w:rsidP="00FD027D">
      <w:pPr>
        <w:pStyle w:val="Restitle"/>
        <w:rPr>
          <w:lang w:val="en-US"/>
        </w:rPr>
      </w:pPr>
    </w:p>
    <w:p w:rsidR="00FD027D" w:rsidRPr="001D4022" w:rsidRDefault="00FD027D" w:rsidP="00FD027D">
      <w:pPr>
        <w:pStyle w:val="ResNo"/>
        <w:rPr>
          <w:rFonts w:asciiTheme="minorHAnsi" w:hAnsiTheme="minorHAnsi"/>
          <w:lang w:val="en-US"/>
        </w:rPr>
      </w:pPr>
      <w:r w:rsidRPr="001D4022">
        <w:rPr>
          <w:rFonts w:asciiTheme="minorHAnsi" w:hAnsiTheme="minorHAnsi"/>
          <w:lang w:val="en-US"/>
        </w:rPr>
        <w:t xml:space="preserve">resolution </w:t>
      </w:r>
      <w:r w:rsidRPr="001D4022">
        <w:rPr>
          <w:rStyle w:val="href"/>
          <w:rFonts w:asciiTheme="minorHAnsi" w:hAnsiTheme="minorHAnsi"/>
          <w:lang w:val="en-US"/>
        </w:rPr>
        <w:t xml:space="preserve">62 </w:t>
      </w:r>
      <w:r w:rsidRPr="001D4022">
        <w:rPr>
          <w:rFonts w:asciiTheme="minorHAnsi" w:hAnsiTheme="minorHAnsi"/>
          <w:lang w:val="en-US"/>
        </w:rPr>
        <w:t>(Hyderabad, 2010)</w:t>
      </w:r>
    </w:p>
    <w:p w:rsidR="00FD027D" w:rsidRPr="001D4022" w:rsidRDefault="00FD027D" w:rsidP="00FD027D">
      <w:pPr>
        <w:pStyle w:val="Restitle"/>
        <w:spacing w:before="480"/>
        <w:rPr>
          <w:rFonts w:asciiTheme="minorHAnsi" w:hAnsiTheme="minorHAnsi"/>
          <w:lang w:val="en-US"/>
        </w:rPr>
      </w:pPr>
      <w:r w:rsidRPr="001D4022">
        <w:rPr>
          <w:rFonts w:asciiTheme="minorHAnsi" w:hAnsiTheme="minorHAnsi"/>
          <w:lang w:val="en-US"/>
        </w:rPr>
        <w:t>Measurement concerns related to human exposure to electromagnetic fields</w:t>
      </w:r>
    </w:p>
    <w:p w:rsidR="00FD027D" w:rsidRPr="001D4022" w:rsidRDefault="00FD027D" w:rsidP="00FD027D">
      <w:pPr>
        <w:pStyle w:val="Normalaftertitle0"/>
        <w:rPr>
          <w:rFonts w:asciiTheme="minorHAnsi" w:hAnsiTheme="minorHAnsi"/>
        </w:rPr>
      </w:pPr>
    </w:p>
    <w:p w:rsidR="00FD027D" w:rsidRPr="001D4022" w:rsidRDefault="00FD027D" w:rsidP="00FD027D">
      <w:pPr>
        <w:pStyle w:val="Normalaftertitle0"/>
        <w:rPr>
          <w:rFonts w:asciiTheme="minorHAnsi" w:hAnsiTheme="minorHAnsi"/>
          <w:sz w:val="21"/>
          <w:szCs w:val="21"/>
        </w:rPr>
      </w:pPr>
      <w:r w:rsidRPr="001D4022">
        <w:rPr>
          <w:rFonts w:asciiTheme="minorHAnsi" w:hAnsiTheme="minorHAnsi"/>
          <w:sz w:val="21"/>
          <w:szCs w:val="21"/>
        </w:rPr>
        <w:t>The World Telecommunication Development Conference (Hyderabad, 2010),</w:t>
      </w:r>
    </w:p>
    <w:p w:rsidR="00FD027D" w:rsidRPr="001D4022" w:rsidRDefault="00FD027D" w:rsidP="00FD027D">
      <w:pPr>
        <w:pStyle w:val="Call"/>
        <w:rPr>
          <w:rFonts w:asciiTheme="minorHAnsi" w:hAnsiTheme="minorHAnsi"/>
          <w:szCs w:val="21"/>
        </w:rPr>
      </w:pPr>
      <w:r w:rsidRPr="001D4022">
        <w:rPr>
          <w:rFonts w:asciiTheme="minorHAnsi" w:hAnsiTheme="minorHAnsi"/>
          <w:szCs w:val="21"/>
        </w:rPr>
        <w:t xml:space="preserve">recalling </w:t>
      </w:r>
    </w:p>
    <w:p w:rsidR="00FD027D" w:rsidRPr="001D4022" w:rsidRDefault="00FD027D" w:rsidP="00FD027D">
      <w:pPr>
        <w:rPr>
          <w:rFonts w:asciiTheme="minorHAnsi" w:eastAsia="Times New Roman" w:hAnsiTheme="minorHAnsi"/>
          <w:szCs w:val="21"/>
          <w:lang w:val="en-US" w:eastAsia="en-ZA"/>
        </w:rPr>
      </w:pPr>
      <w:r w:rsidRPr="001D4022">
        <w:rPr>
          <w:rFonts w:asciiTheme="minorHAnsi" w:eastAsia="Times New Roman" w:hAnsiTheme="minorHAnsi"/>
          <w:szCs w:val="21"/>
          <w:lang w:val="en-US" w:eastAsia="en-ZA"/>
        </w:rPr>
        <w:t xml:space="preserve">Resolution 72 (Johannesburg, 2008) of the World Telecommunication Standardization Assembly, on measurement concerns related to human exposure to electromagnetic fields (EMF), which calls for close cooperation with the Directors of the other two Bureaux – Telecommunication Development Bureau (BDT) and Radiocommunication Bureau (BR) – to implement the resolution in view of its importance to developing countries, </w:t>
      </w:r>
    </w:p>
    <w:p w:rsidR="00FD027D" w:rsidRPr="001D4022" w:rsidRDefault="00FD027D" w:rsidP="00FD027D">
      <w:pPr>
        <w:pStyle w:val="Call"/>
        <w:rPr>
          <w:rFonts w:asciiTheme="minorHAnsi" w:hAnsiTheme="minorHAnsi"/>
          <w:szCs w:val="21"/>
        </w:rPr>
      </w:pPr>
      <w:r w:rsidRPr="001D4022">
        <w:rPr>
          <w:rFonts w:asciiTheme="minorHAnsi" w:hAnsiTheme="minorHAnsi"/>
          <w:szCs w:val="21"/>
        </w:rPr>
        <w:t xml:space="preserve">considering </w:t>
      </w:r>
    </w:p>
    <w:p w:rsidR="00FD027D" w:rsidRPr="001D4022" w:rsidRDefault="00FD027D" w:rsidP="00FD027D">
      <w:pPr>
        <w:rPr>
          <w:rFonts w:asciiTheme="minorHAnsi" w:eastAsia="Times New Roman" w:hAnsiTheme="minorHAnsi"/>
          <w:szCs w:val="21"/>
          <w:lang w:val="en-US" w:eastAsia="en-ZA"/>
        </w:rPr>
      </w:pPr>
      <w:r w:rsidRPr="001D4022">
        <w:rPr>
          <w:rFonts w:asciiTheme="minorHAnsi" w:eastAsia="Times New Roman" w:hAnsiTheme="minorHAnsi"/>
          <w:szCs w:val="21"/>
          <w:lang w:val="en-US" w:eastAsia="en-ZA"/>
        </w:rPr>
        <w:t>a)</w:t>
      </w:r>
      <w:r w:rsidRPr="001D4022">
        <w:rPr>
          <w:rFonts w:asciiTheme="minorHAnsi" w:eastAsia="Times New Roman" w:hAnsiTheme="minorHAnsi"/>
          <w:szCs w:val="21"/>
          <w:lang w:val="en-US" w:eastAsia="en-ZA"/>
        </w:rPr>
        <w:tab/>
        <w:t xml:space="preserve">that there is a pressing need for information on the potential effects of human exposure to EMF in order to protect humans from such effects; </w:t>
      </w:r>
    </w:p>
    <w:p w:rsidR="00FD027D" w:rsidRPr="001D4022" w:rsidRDefault="00FD027D" w:rsidP="00FD027D">
      <w:pPr>
        <w:rPr>
          <w:rFonts w:asciiTheme="minorHAnsi" w:eastAsia="Times New Roman" w:hAnsiTheme="minorHAnsi"/>
          <w:szCs w:val="21"/>
          <w:lang w:val="en-US" w:eastAsia="en-ZA"/>
        </w:rPr>
      </w:pPr>
      <w:r w:rsidRPr="001D4022">
        <w:rPr>
          <w:rFonts w:asciiTheme="minorHAnsi" w:eastAsia="Times New Roman" w:hAnsiTheme="minorHAnsi"/>
          <w:szCs w:val="21"/>
          <w:lang w:val="en-US" w:eastAsia="en-ZA"/>
        </w:rPr>
        <w:t>b)</w:t>
      </w:r>
      <w:r w:rsidRPr="001D4022">
        <w:rPr>
          <w:rFonts w:asciiTheme="minorHAnsi" w:eastAsia="Times New Roman" w:hAnsiTheme="minorHAnsi"/>
          <w:szCs w:val="21"/>
          <w:lang w:val="en-US" w:eastAsia="en-ZA"/>
        </w:rPr>
        <w:tab/>
        <w:t>that there are a number of eminent international bodies involved in establishing measurement methodologies for assessing human exposure to EMF, and these already cooperate with many telecommunication standards bodies, including the ITU Telecommunication Standardization Sector (ITU-T),</w:t>
      </w:r>
    </w:p>
    <w:p w:rsidR="00FD027D" w:rsidRPr="001D4022" w:rsidRDefault="00FD027D" w:rsidP="00FD027D">
      <w:pPr>
        <w:pStyle w:val="Call"/>
        <w:rPr>
          <w:rFonts w:asciiTheme="minorHAnsi" w:hAnsiTheme="minorHAnsi"/>
          <w:szCs w:val="21"/>
        </w:rPr>
      </w:pPr>
      <w:r w:rsidRPr="001D4022">
        <w:rPr>
          <w:rFonts w:asciiTheme="minorHAnsi" w:hAnsiTheme="minorHAnsi"/>
          <w:szCs w:val="21"/>
        </w:rPr>
        <w:t>recognizing</w:t>
      </w:r>
    </w:p>
    <w:p w:rsidR="00FD027D" w:rsidRPr="001D4022" w:rsidRDefault="00FD027D" w:rsidP="00FD027D">
      <w:pPr>
        <w:rPr>
          <w:rFonts w:asciiTheme="minorHAnsi" w:eastAsia="Times New Roman" w:hAnsiTheme="minorHAnsi"/>
          <w:szCs w:val="21"/>
          <w:lang w:val="en-US" w:eastAsia="en-ZA"/>
        </w:rPr>
      </w:pPr>
      <w:r w:rsidRPr="001D4022">
        <w:rPr>
          <w:rFonts w:asciiTheme="minorHAnsi" w:eastAsia="Times New Roman" w:hAnsiTheme="minorHAnsi"/>
          <w:szCs w:val="21"/>
          <w:lang w:val="en-US" w:eastAsia="en-ZA"/>
        </w:rPr>
        <w:t>a)</w:t>
      </w:r>
      <w:r w:rsidRPr="001D4022">
        <w:rPr>
          <w:rFonts w:asciiTheme="minorHAnsi" w:eastAsia="Times New Roman" w:hAnsiTheme="minorHAnsi"/>
          <w:szCs w:val="21"/>
          <w:lang w:val="en-US" w:eastAsia="en-ZA"/>
        </w:rPr>
        <w:tab/>
        <w:t>that some publications and information about EMF effects on health create doubt among the population, in particular in developing countries</w:t>
      </w:r>
      <w:r w:rsidRPr="001D4022">
        <w:rPr>
          <w:rStyle w:val="FootnoteReference"/>
          <w:rFonts w:asciiTheme="minorHAnsi" w:eastAsia="Times New Roman" w:hAnsiTheme="minorHAnsi"/>
          <w:szCs w:val="21"/>
          <w:lang w:val="en-US" w:eastAsia="en-ZA"/>
        </w:rPr>
        <w:footnoteReference w:customMarkFollows="1" w:id="29"/>
        <w:t>1</w:t>
      </w:r>
      <w:r w:rsidRPr="001D4022">
        <w:rPr>
          <w:rFonts w:asciiTheme="minorHAnsi" w:eastAsia="Times New Roman" w:hAnsiTheme="minorHAnsi"/>
          <w:szCs w:val="21"/>
          <w:lang w:val="en-US" w:eastAsia="en-ZA"/>
        </w:rPr>
        <w:t xml:space="preserve">, causing these countries to address questions to ITU-T and, currently, to the ITU Telecommunication Development Sector (ITU-D); </w:t>
      </w:r>
    </w:p>
    <w:p w:rsidR="00FD027D" w:rsidRPr="001D4022" w:rsidRDefault="00FD027D" w:rsidP="00FD027D">
      <w:pPr>
        <w:rPr>
          <w:rFonts w:asciiTheme="minorHAnsi" w:eastAsia="Times New Roman" w:hAnsiTheme="minorHAnsi"/>
          <w:szCs w:val="21"/>
          <w:lang w:val="en-US" w:eastAsia="en-ZA"/>
        </w:rPr>
      </w:pPr>
      <w:r w:rsidRPr="001D4022">
        <w:rPr>
          <w:rFonts w:asciiTheme="minorHAnsi" w:eastAsia="Times New Roman" w:hAnsiTheme="minorHAnsi"/>
          <w:szCs w:val="21"/>
          <w:lang w:val="en-US" w:eastAsia="en-ZA"/>
        </w:rPr>
        <w:t>b)</w:t>
      </w:r>
      <w:r w:rsidRPr="001D4022">
        <w:rPr>
          <w:rFonts w:asciiTheme="minorHAnsi" w:eastAsia="Times New Roman" w:hAnsiTheme="minorHAnsi"/>
          <w:szCs w:val="21"/>
          <w:lang w:val="en-US" w:eastAsia="en-ZA"/>
        </w:rPr>
        <w:tab/>
        <w:t xml:space="preserve">that, in the absence of regulation, people, particularly in developing countries, become more and more doubtful and are increasingly opposing the deployment of radio installations in their neighbourhoods; </w:t>
      </w:r>
    </w:p>
    <w:p w:rsidR="00FD027D" w:rsidRPr="001D4022" w:rsidRDefault="00FD027D" w:rsidP="00FD027D">
      <w:pPr>
        <w:rPr>
          <w:rFonts w:asciiTheme="minorHAnsi" w:eastAsia="Times New Roman" w:hAnsiTheme="minorHAnsi"/>
          <w:szCs w:val="21"/>
          <w:lang w:val="en-US" w:eastAsia="en-ZA"/>
        </w:rPr>
      </w:pPr>
      <w:r w:rsidRPr="001D4022">
        <w:rPr>
          <w:rFonts w:asciiTheme="minorHAnsi" w:eastAsia="Times New Roman" w:hAnsiTheme="minorHAnsi"/>
          <w:szCs w:val="21"/>
          <w:lang w:val="en-US" w:eastAsia="en-ZA"/>
        </w:rPr>
        <w:t>c)</w:t>
      </w:r>
      <w:r w:rsidRPr="001D4022">
        <w:rPr>
          <w:rFonts w:asciiTheme="minorHAnsi" w:eastAsia="Times New Roman" w:hAnsiTheme="minorHAnsi"/>
          <w:szCs w:val="21"/>
          <w:lang w:val="en-US" w:eastAsia="en-ZA"/>
        </w:rPr>
        <w:tab/>
        <w:t xml:space="preserve">that the cost of the equipment used for assessing human exposure to EMF is very high and difficult for many developing countries to afford; </w:t>
      </w:r>
    </w:p>
    <w:p w:rsidR="00FD027D" w:rsidRPr="001D4022" w:rsidRDefault="00FD027D" w:rsidP="00FD027D">
      <w:pPr>
        <w:rPr>
          <w:rFonts w:asciiTheme="minorHAnsi" w:eastAsia="Times New Roman" w:hAnsiTheme="minorHAnsi"/>
          <w:szCs w:val="21"/>
          <w:lang w:val="en-US" w:eastAsia="en-ZA"/>
        </w:rPr>
      </w:pPr>
      <w:r w:rsidRPr="001D4022">
        <w:rPr>
          <w:rFonts w:asciiTheme="minorHAnsi" w:eastAsia="Times New Roman" w:hAnsiTheme="minorHAnsi"/>
          <w:szCs w:val="21"/>
          <w:lang w:val="en-US" w:eastAsia="en-ZA"/>
        </w:rPr>
        <w:t>d)</w:t>
      </w:r>
      <w:r w:rsidRPr="001D4022">
        <w:rPr>
          <w:rFonts w:asciiTheme="minorHAnsi" w:eastAsia="Times New Roman" w:hAnsiTheme="minorHAnsi"/>
          <w:szCs w:val="21"/>
          <w:lang w:val="en-US" w:eastAsia="en-ZA"/>
        </w:rPr>
        <w:tab/>
        <w:t xml:space="preserve">that implementing such measurement is essential for many regulatory authorities in developing countries, in order to monitor the limits for human exposure to radio-frequency energy, and that they are called upon to ensure those limits are met in order to license different services, </w:t>
      </w:r>
    </w:p>
    <w:p w:rsidR="00FD027D" w:rsidRPr="001D4022" w:rsidRDefault="00FD027D" w:rsidP="00FD027D">
      <w:pPr>
        <w:pStyle w:val="Call"/>
        <w:rPr>
          <w:rFonts w:asciiTheme="minorHAnsi" w:hAnsiTheme="minorHAnsi"/>
          <w:szCs w:val="21"/>
        </w:rPr>
      </w:pPr>
      <w:r w:rsidRPr="001D4022">
        <w:rPr>
          <w:rFonts w:asciiTheme="minorHAnsi" w:hAnsiTheme="minorHAnsi"/>
          <w:szCs w:val="21"/>
        </w:rPr>
        <w:br w:type="page"/>
      </w:r>
    </w:p>
    <w:p w:rsidR="00FD027D" w:rsidRPr="001D4022" w:rsidRDefault="00FD027D" w:rsidP="00FD027D">
      <w:pPr>
        <w:pStyle w:val="Call"/>
        <w:rPr>
          <w:rFonts w:asciiTheme="minorHAnsi" w:hAnsiTheme="minorHAnsi"/>
          <w:szCs w:val="21"/>
        </w:rPr>
      </w:pPr>
      <w:r w:rsidRPr="001D4022">
        <w:rPr>
          <w:rFonts w:asciiTheme="minorHAnsi" w:hAnsiTheme="minorHAnsi"/>
          <w:szCs w:val="21"/>
        </w:rPr>
        <w:lastRenderedPageBreak/>
        <w:t xml:space="preserve">resolves to instruct the Director of the Telecommunication Development Bureau </w:t>
      </w:r>
    </w:p>
    <w:p w:rsidR="00FD027D" w:rsidRPr="001D4022" w:rsidRDefault="00FD027D" w:rsidP="00FD027D">
      <w:pPr>
        <w:rPr>
          <w:rFonts w:asciiTheme="minorHAnsi" w:eastAsia="Times New Roman" w:hAnsiTheme="minorHAnsi"/>
          <w:szCs w:val="21"/>
          <w:lang w:val="en-US" w:eastAsia="en-ZA"/>
        </w:rPr>
      </w:pPr>
      <w:r w:rsidRPr="001D4022">
        <w:rPr>
          <w:rFonts w:asciiTheme="minorHAnsi" w:eastAsia="Times New Roman" w:hAnsiTheme="minorHAnsi"/>
          <w:szCs w:val="21"/>
          <w:lang w:val="en-US" w:eastAsia="en-ZA"/>
        </w:rPr>
        <w:t xml:space="preserve">in response to the needs of the developing countries and consistent with the substance of Resolution 72 (Johannesburg, 2008), and in close cooperation with the Director of BR and Director of the Telecommunication Standardization Bureau (TSB): </w:t>
      </w:r>
    </w:p>
    <w:p w:rsidR="00FD027D" w:rsidRPr="001D4022" w:rsidRDefault="00FD027D" w:rsidP="00FD027D">
      <w:pPr>
        <w:rPr>
          <w:rFonts w:asciiTheme="minorHAnsi" w:eastAsia="Times New Roman" w:hAnsiTheme="minorHAnsi"/>
          <w:szCs w:val="21"/>
          <w:lang w:val="en-US" w:eastAsia="en-ZA"/>
        </w:rPr>
      </w:pPr>
      <w:r w:rsidRPr="001D4022">
        <w:rPr>
          <w:rFonts w:asciiTheme="minorHAnsi" w:eastAsia="Times New Roman" w:hAnsiTheme="minorHAnsi"/>
          <w:szCs w:val="21"/>
          <w:lang w:val="en-US" w:eastAsia="en-ZA"/>
        </w:rPr>
        <w:t>1</w:t>
      </w:r>
      <w:r w:rsidRPr="001D4022">
        <w:rPr>
          <w:rFonts w:asciiTheme="minorHAnsi" w:eastAsia="Times New Roman" w:hAnsiTheme="minorHAnsi"/>
          <w:szCs w:val="21"/>
          <w:lang w:val="en-US" w:eastAsia="en-ZA"/>
        </w:rPr>
        <w:tab/>
        <w:t xml:space="preserve">to give the necessary priority to this subject and, within the available resources, allocate the necessary funds for expediting execution of this resolution; </w:t>
      </w:r>
    </w:p>
    <w:p w:rsidR="00FD027D" w:rsidRPr="001D4022" w:rsidRDefault="00FD027D" w:rsidP="00FD027D">
      <w:pPr>
        <w:rPr>
          <w:rFonts w:asciiTheme="minorHAnsi" w:eastAsia="Times New Roman" w:hAnsiTheme="minorHAnsi"/>
          <w:szCs w:val="21"/>
          <w:lang w:val="en-US" w:eastAsia="en-ZA"/>
        </w:rPr>
      </w:pPr>
      <w:r w:rsidRPr="001D4022">
        <w:rPr>
          <w:rFonts w:asciiTheme="minorHAnsi" w:eastAsia="Times New Roman" w:hAnsiTheme="minorHAnsi"/>
          <w:szCs w:val="21"/>
          <w:lang w:val="en-US" w:eastAsia="en-ZA"/>
        </w:rPr>
        <w:t>2</w:t>
      </w:r>
      <w:r w:rsidRPr="001D4022">
        <w:rPr>
          <w:rFonts w:asciiTheme="minorHAnsi" w:eastAsia="Times New Roman" w:hAnsiTheme="minorHAnsi"/>
          <w:szCs w:val="21"/>
          <w:lang w:val="en-US" w:eastAsia="en-ZA"/>
        </w:rPr>
        <w:tab/>
        <w:t>to ensure that Programme 1 determines the requirements of developing countries and their regulatory authorities (at regional level) in relation to this resolution, contributes to studies on this subject, takes an active part in the work of the relevant ITU Radiocommunication Sector (ITU-R) and ITU-T study groups, and submits written contributions on the results of its work in this regard, plus any proposals it deems necessary, to ITU-D Study Group 2,</w:t>
      </w:r>
    </w:p>
    <w:p w:rsidR="00FD027D" w:rsidRPr="001D4022" w:rsidRDefault="00FD027D" w:rsidP="00FD027D">
      <w:pPr>
        <w:pStyle w:val="Call"/>
        <w:rPr>
          <w:rFonts w:asciiTheme="minorHAnsi" w:hAnsiTheme="minorHAnsi"/>
          <w:szCs w:val="21"/>
        </w:rPr>
      </w:pPr>
      <w:r w:rsidRPr="001D4022">
        <w:rPr>
          <w:rFonts w:asciiTheme="minorHAnsi" w:hAnsiTheme="minorHAnsi"/>
          <w:szCs w:val="21"/>
        </w:rPr>
        <w:t xml:space="preserve">instructs Study Group 1 </w:t>
      </w:r>
    </w:p>
    <w:p w:rsidR="00FD027D" w:rsidRPr="001D4022" w:rsidRDefault="00FD027D" w:rsidP="00FD027D">
      <w:pPr>
        <w:keepNext/>
        <w:rPr>
          <w:rFonts w:asciiTheme="minorHAnsi" w:eastAsia="Times New Roman" w:hAnsiTheme="minorHAnsi"/>
          <w:szCs w:val="21"/>
          <w:lang w:val="en-US" w:eastAsia="en-ZA"/>
        </w:rPr>
      </w:pPr>
      <w:r w:rsidRPr="001D4022">
        <w:rPr>
          <w:rFonts w:asciiTheme="minorHAnsi" w:eastAsia="Times New Roman" w:hAnsiTheme="minorHAnsi"/>
          <w:szCs w:val="21"/>
          <w:lang w:val="en-US" w:eastAsia="en-ZA"/>
        </w:rPr>
        <w:t xml:space="preserve">within the framework of their Questions, to cooperate with ITU-T Study Group 5 and ITU-R Study Groups 1, 5 and 6, in order to achieve the following goals: </w:t>
      </w:r>
    </w:p>
    <w:p w:rsidR="00FD027D" w:rsidRPr="001D4022" w:rsidRDefault="00FD027D" w:rsidP="00FD027D">
      <w:pPr>
        <w:rPr>
          <w:rFonts w:asciiTheme="minorHAnsi" w:eastAsia="Times New Roman" w:hAnsiTheme="minorHAnsi"/>
          <w:szCs w:val="21"/>
          <w:lang w:val="en-US" w:eastAsia="en-ZA"/>
        </w:rPr>
      </w:pPr>
      <w:r w:rsidRPr="001D4022">
        <w:rPr>
          <w:rFonts w:asciiTheme="minorHAnsi" w:eastAsia="Times New Roman" w:hAnsiTheme="minorHAnsi"/>
          <w:szCs w:val="21"/>
          <w:lang w:val="en-US" w:eastAsia="en-ZA"/>
        </w:rPr>
        <w:t>•</w:t>
      </w:r>
      <w:r w:rsidRPr="001D4022">
        <w:rPr>
          <w:rFonts w:asciiTheme="minorHAnsi" w:eastAsia="Times New Roman" w:hAnsiTheme="minorHAnsi"/>
          <w:szCs w:val="21"/>
          <w:lang w:val="en-US" w:eastAsia="en-ZA"/>
        </w:rPr>
        <w:tab/>
        <w:t>prepare an annual report on the progress of work in this area in respect of their Questions;</w:t>
      </w:r>
    </w:p>
    <w:p w:rsidR="00FD027D" w:rsidRPr="001D4022" w:rsidRDefault="00FD027D" w:rsidP="00FD027D">
      <w:pPr>
        <w:rPr>
          <w:rFonts w:asciiTheme="minorHAnsi" w:eastAsia="Times New Roman" w:hAnsiTheme="minorHAnsi"/>
          <w:szCs w:val="21"/>
          <w:lang w:val="en-US" w:eastAsia="en-ZA"/>
        </w:rPr>
      </w:pPr>
      <w:r w:rsidRPr="001D4022">
        <w:rPr>
          <w:rFonts w:asciiTheme="minorHAnsi" w:eastAsia="Times New Roman" w:hAnsiTheme="minorHAnsi"/>
          <w:szCs w:val="21"/>
          <w:lang w:val="en-US" w:eastAsia="en-ZA"/>
        </w:rPr>
        <w:t>•</w:t>
      </w:r>
      <w:r w:rsidRPr="001D4022">
        <w:rPr>
          <w:rFonts w:asciiTheme="minorHAnsi" w:eastAsia="Times New Roman" w:hAnsiTheme="minorHAnsi"/>
          <w:szCs w:val="21"/>
          <w:lang w:val="en-US" w:eastAsia="en-ZA"/>
        </w:rPr>
        <w:tab/>
        <w:t xml:space="preserve">contribute to the organization of any seminars on this subject; </w:t>
      </w:r>
    </w:p>
    <w:p w:rsidR="00FD027D" w:rsidRPr="001D4022" w:rsidRDefault="00FD027D" w:rsidP="00FD027D">
      <w:pPr>
        <w:rPr>
          <w:rFonts w:asciiTheme="minorHAnsi" w:eastAsia="Times New Roman" w:hAnsiTheme="minorHAnsi"/>
          <w:szCs w:val="21"/>
          <w:lang w:val="en-US" w:eastAsia="en-ZA"/>
        </w:rPr>
      </w:pPr>
      <w:r w:rsidRPr="001D4022">
        <w:rPr>
          <w:rFonts w:asciiTheme="minorHAnsi" w:eastAsia="Times New Roman" w:hAnsiTheme="minorHAnsi"/>
          <w:szCs w:val="21"/>
          <w:lang w:val="en-US" w:eastAsia="en-ZA"/>
        </w:rPr>
        <w:t>•</w:t>
      </w:r>
      <w:r w:rsidRPr="001D4022">
        <w:rPr>
          <w:rFonts w:asciiTheme="minorHAnsi" w:eastAsia="Times New Roman" w:hAnsiTheme="minorHAnsi"/>
          <w:szCs w:val="21"/>
          <w:lang w:val="en-US" w:eastAsia="en-ZA"/>
        </w:rPr>
        <w:tab/>
        <w:t>contribute to preparation of the Guide on the use of ITU-T publications on achieving electromagnetic compatibility and safety, and publications relating to measurement methodologies, the need for measurements to be performed by a "Qualified Radio Engineer" and the criteria for a "Qualified Radio Engineer", and system specifications.</w:t>
      </w:r>
    </w:p>
    <w:p w:rsidR="00FD027D" w:rsidRPr="001D4022" w:rsidRDefault="00FD027D" w:rsidP="00FD027D">
      <w:pPr>
        <w:spacing w:before="0"/>
        <w:rPr>
          <w:rFonts w:asciiTheme="minorHAnsi" w:hAnsiTheme="minorHAnsi"/>
          <w:b/>
          <w:szCs w:val="19"/>
          <w:lang w:val="en-GB"/>
        </w:rPr>
      </w:pPr>
      <w:bookmarkStart w:id="155" w:name="_Toc361912448"/>
      <w:r w:rsidRPr="001D4022">
        <w:rPr>
          <w:rFonts w:asciiTheme="minorHAnsi" w:hAnsiTheme="minorHAnsi"/>
          <w:smallCaps/>
          <w:szCs w:val="19"/>
          <w:lang w:val="en-US"/>
        </w:rPr>
        <w:br w:type="page"/>
      </w:r>
    </w:p>
    <w:p w:rsidR="00FD027D" w:rsidRPr="00FA2397" w:rsidRDefault="00FD027D" w:rsidP="00FD027D">
      <w:pPr>
        <w:pStyle w:val="Heading1"/>
        <w:tabs>
          <w:tab w:val="left" w:pos="1418"/>
        </w:tabs>
        <w:ind w:left="1418" w:hanging="1418"/>
      </w:pPr>
      <w:bookmarkStart w:id="156" w:name="_Toc374691847"/>
      <w:bookmarkStart w:id="157" w:name="_Toc377560486"/>
      <w:r w:rsidRPr="00FA2397">
        <w:lastRenderedPageBreak/>
        <w:t xml:space="preserve">Annex 6: </w:t>
      </w:r>
      <w:r>
        <w:tab/>
      </w:r>
      <w:r w:rsidRPr="00FA2397">
        <w:t>Plenipotentiary Conference (PP-10)</w:t>
      </w:r>
      <w:r w:rsidRPr="00BC0DB7">
        <w:rPr>
          <w:rStyle w:val="FootnoteReference"/>
          <w:lang w:val="en-US"/>
        </w:rPr>
        <w:footnoteReference w:customMarkFollows="1" w:id="30"/>
        <w:t>*</w:t>
      </w:r>
      <w:r w:rsidRPr="00FA2397">
        <w:t xml:space="preserve"> Resolution 176 on "Human exposure to and measurement of electromagnetic fields".</w:t>
      </w:r>
      <w:bookmarkEnd w:id="155"/>
      <w:bookmarkEnd w:id="156"/>
      <w:bookmarkEnd w:id="157"/>
    </w:p>
    <w:p w:rsidR="00FD027D" w:rsidRDefault="00FD027D" w:rsidP="00FD027D">
      <w:pPr>
        <w:rPr>
          <w:lang w:val="en-US"/>
        </w:rPr>
      </w:pPr>
    </w:p>
    <w:p w:rsidR="00FD027D" w:rsidRPr="00061F17" w:rsidRDefault="00FD027D" w:rsidP="00FD027D">
      <w:pPr>
        <w:rPr>
          <w:lang w:val="en-US"/>
        </w:rPr>
      </w:pPr>
    </w:p>
    <w:p w:rsidR="00FD027D" w:rsidRPr="001D4022" w:rsidRDefault="00FD027D" w:rsidP="00FD027D">
      <w:pPr>
        <w:pStyle w:val="ResNo"/>
        <w:rPr>
          <w:rFonts w:asciiTheme="minorHAnsi" w:hAnsiTheme="minorHAnsi"/>
          <w:lang w:val="en-US"/>
        </w:rPr>
      </w:pPr>
      <w:r w:rsidRPr="001D4022">
        <w:rPr>
          <w:rFonts w:asciiTheme="minorHAnsi" w:hAnsiTheme="minorHAnsi"/>
          <w:lang w:val="en-US"/>
        </w:rPr>
        <w:t>RESOLUTION 176 (Guadalajara, 2010)</w:t>
      </w:r>
    </w:p>
    <w:p w:rsidR="00FD027D" w:rsidRPr="001D4022" w:rsidRDefault="00FD027D" w:rsidP="00FD027D">
      <w:pPr>
        <w:pStyle w:val="Restitle"/>
        <w:rPr>
          <w:rFonts w:asciiTheme="minorHAnsi" w:hAnsiTheme="minorHAnsi"/>
          <w:lang w:val="en-US"/>
        </w:rPr>
      </w:pPr>
      <w:r w:rsidRPr="001D4022">
        <w:rPr>
          <w:rFonts w:asciiTheme="minorHAnsi" w:hAnsiTheme="minorHAnsi"/>
          <w:lang w:val="en-US"/>
        </w:rPr>
        <w:t>Human exposure to and measurement of electromagnetic fields</w:t>
      </w:r>
    </w:p>
    <w:p w:rsidR="00FD027D" w:rsidRPr="001D4022" w:rsidRDefault="00FD027D" w:rsidP="00FD027D">
      <w:pPr>
        <w:pStyle w:val="Normalaftertitle0"/>
        <w:rPr>
          <w:rFonts w:asciiTheme="minorHAnsi" w:hAnsiTheme="minorHAnsi"/>
          <w:sz w:val="21"/>
          <w:szCs w:val="21"/>
        </w:rPr>
      </w:pPr>
      <w:r w:rsidRPr="001D4022">
        <w:rPr>
          <w:rFonts w:asciiTheme="minorHAnsi" w:hAnsiTheme="minorHAnsi"/>
          <w:sz w:val="21"/>
          <w:szCs w:val="21"/>
        </w:rPr>
        <w:t xml:space="preserve">The Plenipotentiary Conference of the International Telecommunication Union (Guadalajara, 2010), </w:t>
      </w:r>
    </w:p>
    <w:p w:rsidR="00FD027D" w:rsidRPr="001D4022" w:rsidRDefault="00FD027D" w:rsidP="00FD027D">
      <w:pPr>
        <w:pStyle w:val="Call"/>
        <w:rPr>
          <w:rFonts w:asciiTheme="minorHAnsi" w:hAnsiTheme="minorHAnsi"/>
          <w:szCs w:val="21"/>
          <w:lang w:val="en-US"/>
        </w:rPr>
      </w:pPr>
      <w:r w:rsidRPr="001D4022">
        <w:rPr>
          <w:rFonts w:asciiTheme="minorHAnsi" w:hAnsiTheme="minorHAnsi"/>
          <w:szCs w:val="21"/>
        </w:rPr>
        <w:t>recalling</w:t>
      </w:r>
    </w:p>
    <w:p w:rsidR="00FD027D" w:rsidRPr="001D4022" w:rsidRDefault="00FD027D" w:rsidP="00FD027D">
      <w:pPr>
        <w:rPr>
          <w:rFonts w:asciiTheme="minorHAnsi" w:hAnsiTheme="minorHAnsi"/>
          <w:szCs w:val="21"/>
          <w:lang w:val="en-US"/>
        </w:rPr>
      </w:pPr>
      <w:r w:rsidRPr="001D4022">
        <w:rPr>
          <w:rFonts w:asciiTheme="minorHAnsi" w:hAnsiTheme="minorHAnsi"/>
          <w:i/>
          <w:iCs/>
          <w:szCs w:val="21"/>
          <w:lang w:val="en-US"/>
        </w:rPr>
        <w:t>a)</w:t>
      </w:r>
      <w:r w:rsidRPr="001D4022">
        <w:rPr>
          <w:rFonts w:asciiTheme="minorHAnsi" w:hAnsiTheme="minorHAnsi"/>
          <w:szCs w:val="21"/>
          <w:lang w:val="en-US"/>
        </w:rPr>
        <w:tab/>
        <w:t>Resolution 72 (Johannesburg, 2008) of the World Telecommunication Standardization Assembly, on measurement concerns related to human exposure to electromagnetic fields (EMF);</w:t>
      </w:r>
    </w:p>
    <w:p w:rsidR="00FD027D" w:rsidRPr="001D4022" w:rsidRDefault="00FD027D" w:rsidP="00FD027D">
      <w:pPr>
        <w:rPr>
          <w:rFonts w:asciiTheme="minorHAnsi" w:hAnsiTheme="minorHAnsi"/>
          <w:szCs w:val="21"/>
          <w:lang w:val="en-US"/>
        </w:rPr>
      </w:pPr>
      <w:r w:rsidRPr="001D4022">
        <w:rPr>
          <w:rFonts w:asciiTheme="minorHAnsi" w:hAnsiTheme="minorHAnsi"/>
          <w:i/>
          <w:iCs/>
          <w:szCs w:val="21"/>
          <w:lang w:val="en-US"/>
        </w:rPr>
        <w:t>b)</w:t>
      </w:r>
      <w:r w:rsidRPr="001D4022">
        <w:rPr>
          <w:rFonts w:asciiTheme="minorHAnsi" w:hAnsiTheme="minorHAnsi"/>
          <w:szCs w:val="21"/>
          <w:lang w:val="en-US"/>
        </w:rPr>
        <w:tab/>
        <w:t>Resolution 62 (Hyderabad, 2010) of the World Telecommunication Development Conference, on measurement concerns related to human exposure to EMF;</w:t>
      </w:r>
    </w:p>
    <w:p w:rsidR="00FD027D" w:rsidRPr="001D4022" w:rsidRDefault="00FD027D" w:rsidP="00FD027D">
      <w:pPr>
        <w:rPr>
          <w:rFonts w:asciiTheme="minorHAnsi" w:hAnsiTheme="minorHAnsi"/>
          <w:szCs w:val="21"/>
          <w:lang w:val="en-US"/>
        </w:rPr>
      </w:pPr>
      <w:r w:rsidRPr="001D4022">
        <w:rPr>
          <w:rFonts w:asciiTheme="minorHAnsi" w:hAnsiTheme="minorHAnsi"/>
          <w:i/>
          <w:iCs/>
          <w:szCs w:val="21"/>
          <w:lang w:val="en-US"/>
        </w:rPr>
        <w:t>c)</w:t>
      </w:r>
      <w:r w:rsidRPr="001D4022">
        <w:rPr>
          <w:rFonts w:asciiTheme="minorHAnsi" w:hAnsiTheme="minorHAnsi"/>
          <w:szCs w:val="21"/>
          <w:lang w:val="en-US"/>
        </w:rPr>
        <w:tab/>
        <w:t>relevant resolutions and recommendations of the ITU Radiocommunication Sector (ITU-R) and ITU Telecommunication Standardization Sector (ITU-T);</w:t>
      </w:r>
    </w:p>
    <w:p w:rsidR="00FD027D" w:rsidRPr="001D4022" w:rsidRDefault="00FD027D" w:rsidP="00FD027D">
      <w:pPr>
        <w:rPr>
          <w:rFonts w:asciiTheme="minorHAnsi" w:hAnsiTheme="minorHAnsi"/>
          <w:szCs w:val="21"/>
          <w:lang w:val="en-US"/>
        </w:rPr>
      </w:pPr>
      <w:r w:rsidRPr="001D4022">
        <w:rPr>
          <w:rFonts w:asciiTheme="minorHAnsi" w:hAnsiTheme="minorHAnsi"/>
          <w:i/>
          <w:iCs/>
          <w:szCs w:val="21"/>
          <w:lang w:val="en-US"/>
        </w:rPr>
        <w:t>d)</w:t>
      </w:r>
      <w:r w:rsidRPr="001D4022">
        <w:rPr>
          <w:rFonts w:asciiTheme="minorHAnsi" w:hAnsiTheme="minorHAnsi"/>
          <w:szCs w:val="21"/>
          <w:lang w:val="en-US"/>
        </w:rPr>
        <w:tab/>
        <w:t>that there is ongoing work in the three Sectors relating to human exposure to electromagnetic fields, and that liaison and collaboration between the Sectors and with other expert organizations are important, in order to avoid duplication of effort,</w:t>
      </w:r>
    </w:p>
    <w:p w:rsidR="00FD027D" w:rsidRPr="001D4022" w:rsidRDefault="00FD027D" w:rsidP="00FD027D">
      <w:pPr>
        <w:pStyle w:val="Call"/>
        <w:rPr>
          <w:rFonts w:asciiTheme="minorHAnsi" w:hAnsiTheme="minorHAnsi"/>
          <w:szCs w:val="21"/>
        </w:rPr>
      </w:pPr>
      <w:r w:rsidRPr="001D4022">
        <w:rPr>
          <w:rFonts w:asciiTheme="minorHAnsi" w:hAnsiTheme="minorHAnsi"/>
          <w:szCs w:val="21"/>
        </w:rPr>
        <w:t>considering</w:t>
      </w:r>
    </w:p>
    <w:p w:rsidR="00FD027D" w:rsidRPr="001D4022" w:rsidRDefault="00FD027D" w:rsidP="001D4022">
      <w:pPr>
        <w:rPr>
          <w:rFonts w:asciiTheme="minorHAnsi" w:hAnsiTheme="minorHAnsi"/>
          <w:szCs w:val="21"/>
          <w:lang w:val="en-US"/>
        </w:rPr>
      </w:pPr>
      <w:r w:rsidRPr="001D4022">
        <w:rPr>
          <w:rFonts w:asciiTheme="minorHAnsi" w:hAnsiTheme="minorHAnsi"/>
          <w:i/>
          <w:iCs/>
          <w:szCs w:val="21"/>
          <w:lang w:val="en-US"/>
        </w:rPr>
        <w:t>a)</w:t>
      </w:r>
      <w:r w:rsidRPr="001D4022">
        <w:rPr>
          <w:rFonts w:asciiTheme="minorHAnsi" w:hAnsiTheme="minorHAnsi"/>
          <w:szCs w:val="21"/>
          <w:lang w:val="en-US"/>
        </w:rPr>
        <w:tab/>
        <w:t>that the World Health Organization (WHO) and the International Commission on Non</w:t>
      </w:r>
      <w:r w:rsidRPr="001D4022">
        <w:rPr>
          <w:rFonts w:asciiTheme="minorHAnsi" w:hAnsiTheme="minorHAnsi"/>
          <w:szCs w:val="21"/>
          <w:lang w:val="en-US"/>
        </w:rPr>
        <w:noBreakHyphen/>
        <w:t>Ionizing Radiation Protection (ICNIRP) have the specialized health expertise and competence to assess the impact of radio waves on the human body;</w:t>
      </w:r>
    </w:p>
    <w:p w:rsidR="00FD027D" w:rsidRPr="001D4022" w:rsidRDefault="00FD027D" w:rsidP="001D4022">
      <w:pPr>
        <w:rPr>
          <w:rFonts w:asciiTheme="minorHAnsi" w:hAnsiTheme="minorHAnsi"/>
          <w:szCs w:val="21"/>
          <w:lang w:val="en-US"/>
        </w:rPr>
      </w:pPr>
      <w:r w:rsidRPr="001D4022">
        <w:rPr>
          <w:rFonts w:asciiTheme="minorHAnsi" w:hAnsiTheme="minorHAnsi"/>
          <w:i/>
          <w:iCs/>
          <w:szCs w:val="21"/>
          <w:lang w:val="en-US"/>
        </w:rPr>
        <w:t>b)</w:t>
      </w:r>
      <w:r w:rsidRPr="001D4022">
        <w:rPr>
          <w:rFonts w:asciiTheme="minorHAnsi" w:hAnsiTheme="minorHAnsi"/>
          <w:szCs w:val="21"/>
          <w:lang w:val="en-US"/>
        </w:rPr>
        <w:tab/>
        <w:t>that ITU has expertise in calculating and measuring the field strength and power density of radio signals;</w:t>
      </w:r>
    </w:p>
    <w:p w:rsidR="00FD027D" w:rsidRPr="001D4022" w:rsidRDefault="00FD027D" w:rsidP="00FD027D">
      <w:pPr>
        <w:rPr>
          <w:rFonts w:asciiTheme="minorHAnsi" w:hAnsiTheme="minorHAnsi"/>
          <w:szCs w:val="21"/>
          <w:lang w:val="en-US"/>
        </w:rPr>
      </w:pPr>
      <w:r w:rsidRPr="001D4022">
        <w:rPr>
          <w:rFonts w:asciiTheme="minorHAnsi" w:hAnsiTheme="minorHAnsi"/>
          <w:i/>
          <w:iCs/>
          <w:szCs w:val="21"/>
          <w:lang w:val="en-US"/>
        </w:rPr>
        <w:t>c)</w:t>
      </w:r>
      <w:r w:rsidRPr="001D4022">
        <w:rPr>
          <w:rFonts w:asciiTheme="minorHAnsi" w:hAnsiTheme="minorHAnsi"/>
          <w:szCs w:val="21"/>
          <w:lang w:val="en-US"/>
        </w:rPr>
        <w:tab/>
        <w:t>the high cost of equipment used for measuring and assessing human exposure to EMF;</w:t>
      </w:r>
    </w:p>
    <w:p w:rsidR="00FD027D" w:rsidRPr="001D4022" w:rsidRDefault="00FD027D" w:rsidP="00FD027D">
      <w:pPr>
        <w:rPr>
          <w:rFonts w:asciiTheme="minorHAnsi" w:hAnsiTheme="minorHAnsi"/>
          <w:szCs w:val="21"/>
          <w:lang w:val="en-US"/>
        </w:rPr>
      </w:pPr>
      <w:r w:rsidRPr="001D4022">
        <w:rPr>
          <w:rFonts w:asciiTheme="minorHAnsi" w:hAnsiTheme="minorHAnsi"/>
          <w:i/>
          <w:iCs/>
          <w:szCs w:val="21"/>
          <w:lang w:val="en-US"/>
        </w:rPr>
        <w:t>d)</w:t>
      </w:r>
      <w:r w:rsidRPr="001D4022">
        <w:rPr>
          <w:rFonts w:asciiTheme="minorHAnsi" w:hAnsiTheme="minorHAnsi"/>
          <w:szCs w:val="21"/>
          <w:lang w:val="en-US"/>
        </w:rPr>
        <w:tab/>
        <w:t>that the considerable development in radio spectrum use has resulted in multiple sources of EMF emissions within any given geographic area;</w:t>
      </w:r>
    </w:p>
    <w:p w:rsidR="00FD027D" w:rsidRPr="001D4022" w:rsidRDefault="00FD027D" w:rsidP="00FD027D">
      <w:pPr>
        <w:rPr>
          <w:rFonts w:asciiTheme="minorHAnsi" w:hAnsiTheme="minorHAnsi"/>
          <w:szCs w:val="21"/>
          <w:lang w:val="en-US"/>
        </w:rPr>
      </w:pPr>
      <w:r w:rsidRPr="001D4022">
        <w:rPr>
          <w:rFonts w:asciiTheme="minorHAnsi" w:hAnsiTheme="minorHAnsi"/>
          <w:i/>
          <w:iCs/>
          <w:szCs w:val="21"/>
          <w:lang w:val="en-US"/>
        </w:rPr>
        <w:t>e)</w:t>
      </w:r>
      <w:r w:rsidRPr="001D4022">
        <w:rPr>
          <w:rFonts w:asciiTheme="minorHAnsi" w:hAnsiTheme="minorHAnsi"/>
          <w:szCs w:val="21"/>
          <w:lang w:val="en-US"/>
        </w:rPr>
        <w:tab/>
        <w:t>the urgent need for regulatory bodies in many developing countries to obtain information on EMF measurement methodologies in regard to human exposure to radio-frequency energy, in order to establish national regulations to protect their citizens;</w:t>
      </w:r>
    </w:p>
    <w:p w:rsidR="00FD027D" w:rsidRPr="001D4022" w:rsidRDefault="00FD027D" w:rsidP="00FD027D">
      <w:pPr>
        <w:rPr>
          <w:rFonts w:asciiTheme="minorHAnsi" w:hAnsiTheme="minorHAnsi"/>
          <w:szCs w:val="21"/>
          <w:lang w:val="en-US"/>
        </w:rPr>
      </w:pPr>
      <w:r w:rsidRPr="001D4022">
        <w:rPr>
          <w:rFonts w:asciiTheme="minorHAnsi" w:hAnsiTheme="minorHAnsi"/>
          <w:i/>
          <w:iCs/>
          <w:szCs w:val="21"/>
          <w:lang w:val="en-US"/>
        </w:rPr>
        <w:t>f)</w:t>
      </w:r>
      <w:r w:rsidRPr="001D4022">
        <w:rPr>
          <w:rFonts w:asciiTheme="minorHAnsi" w:hAnsiTheme="minorHAnsi"/>
          <w:szCs w:val="21"/>
          <w:lang w:val="en-US"/>
        </w:rPr>
        <w:tab/>
        <w:t>that guidelines on limits of exposure to EMF have been established by ICNIRP</w:t>
      </w:r>
      <w:r w:rsidRPr="001D4022">
        <w:rPr>
          <w:rStyle w:val="FootnoteReference"/>
          <w:rFonts w:asciiTheme="minorHAnsi" w:hAnsiTheme="minorHAnsi"/>
          <w:szCs w:val="21"/>
          <w:lang w:val="en-US"/>
        </w:rPr>
        <w:footnoteReference w:customMarkFollows="1" w:id="31"/>
        <w:t>1</w:t>
      </w:r>
      <w:r w:rsidRPr="001D4022">
        <w:rPr>
          <w:rFonts w:asciiTheme="minorHAnsi" w:hAnsiTheme="minorHAnsi"/>
          <w:szCs w:val="21"/>
          <w:lang w:val="en-US"/>
        </w:rPr>
        <w:t>, the Institute of Electrical and Electronics Engineers (IEEE)</w:t>
      </w:r>
      <w:r w:rsidRPr="001D4022">
        <w:rPr>
          <w:rStyle w:val="FootnoteReference"/>
          <w:rFonts w:asciiTheme="minorHAnsi" w:hAnsiTheme="minorHAnsi"/>
          <w:szCs w:val="21"/>
          <w:lang w:val="en-US"/>
        </w:rPr>
        <w:footnoteReference w:customMarkFollows="1" w:id="32"/>
        <w:t>2</w:t>
      </w:r>
      <w:r w:rsidRPr="001D4022">
        <w:rPr>
          <w:rFonts w:asciiTheme="minorHAnsi" w:hAnsiTheme="minorHAnsi"/>
          <w:szCs w:val="21"/>
          <w:lang w:val="en-US"/>
        </w:rPr>
        <w:t xml:space="preserve"> and the International Organization for Standardization/International Electrotechnical Commission (ISO/IEC) and that many administrations have adopted national regulations based on these guidelines,</w:t>
      </w:r>
    </w:p>
    <w:p w:rsidR="00FD027D" w:rsidRPr="00667A32" w:rsidRDefault="00FD027D" w:rsidP="00FD027D">
      <w:pPr>
        <w:pStyle w:val="Call"/>
      </w:pPr>
      <w:r w:rsidRPr="00667A32">
        <w:lastRenderedPageBreak/>
        <w:t>resolves to instruct the Directors of the three Bureaux</w:t>
      </w:r>
    </w:p>
    <w:p w:rsidR="00FD027D" w:rsidRPr="00061F17" w:rsidRDefault="00FD027D" w:rsidP="00FD027D">
      <w:pPr>
        <w:rPr>
          <w:szCs w:val="19"/>
          <w:lang w:val="en-US"/>
        </w:rPr>
      </w:pPr>
      <w:r w:rsidRPr="00061F17">
        <w:rPr>
          <w:szCs w:val="19"/>
          <w:lang w:val="en-US"/>
        </w:rPr>
        <w:t>to collect and disseminate information concerning exposure to EMF, including on EMF measurement methodologies, in order to assist national administrations, particularly in developing countries, to develop appropriate national regulations,</w:t>
      </w:r>
    </w:p>
    <w:p w:rsidR="00FD027D" w:rsidRPr="00667A32" w:rsidRDefault="00FD027D" w:rsidP="00FD027D">
      <w:pPr>
        <w:pStyle w:val="Call"/>
      </w:pPr>
      <w:r w:rsidRPr="00667A32">
        <w:t>instructs the Director of the Telecommunication Development Bureau, in collaboration with the Director of the Radiocommunication Bureau and the Director of the Telecommunication Standardization Bureau</w:t>
      </w:r>
    </w:p>
    <w:p w:rsidR="00FD027D" w:rsidRPr="00061F17" w:rsidRDefault="00FD027D" w:rsidP="00FD027D">
      <w:pPr>
        <w:rPr>
          <w:szCs w:val="19"/>
          <w:lang w:val="en-US"/>
        </w:rPr>
      </w:pPr>
      <w:r w:rsidRPr="00061F17">
        <w:rPr>
          <w:szCs w:val="19"/>
          <w:lang w:val="en-US"/>
        </w:rPr>
        <w:t>1</w:t>
      </w:r>
      <w:r w:rsidRPr="00061F17">
        <w:rPr>
          <w:szCs w:val="19"/>
          <w:lang w:val="en-US"/>
        </w:rPr>
        <w:tab/>
        <w:t>to ascertain the requirement for, and as appropriate conduct, regional seminars and workshops in order to identify the needs of developing countries and to build human capacity in regard to measurement of EMF related to human exposure to these fields;</w:t>
      </w:r>
    </w:p>
    <w:p w:rsidR="00FD027D" w:rsidRPr="00061F17" w:rsidRDefault="00FD027D" w:rsidP="00FD027D">
      <w:pPr>
        <w:rPr>
          <w:szCs w:val="19"/>
          <w:lang w:val="en-US"/>
        </w:rPr>
      </w:pPr>
      <w:r w:rsidRPr="00061F17">
        <w:rPr>
          <w:szCs w:val="19"/>
          <w:lang w:val="en-US"/>
        </w:rPr>
        <w:t>2</w:t>
      </w:r>
      <w:r w:rsidRPr="00061F17">
        <w:rPr>
          <w:szCs w:val="19"/>
          <w:lang w:val="en-US"/>
        </w:rPr>
        <w:tab/>
        <w:t>to encourage Member States in the various regions to cooperate in sharing expertise and resources and identify a focal point or regional cooperation mechanism, including if required a regional centre, so as to assist all Member States in the region in measurement and training,</w:t>
      </w:r>
    </w:p>
    <w:p w:rsidR="00FD027D" w:rsidRPr="00061F17" w:rsidRDefault="00FD027D" w:rsidP="00FD027D">
      <w:pPr>
        <w:pStyle w:val="Call"/>
      </w:pPr>
      <w:r w:rsidRPr="00061F17">
        <w:t>instructs the Secretary-General, in consultation with the Directors of the three Bureaux</w:t>
      </w:r>
    </w:p>
    <w:p w:rsidR="00FD027D" w:rsidRPr="00061F17" w:rsidRDefault="00FD027D" w:rsidP="00FD027D">
      <w:pPr>
        <w:rPr>
          <w:szCs w:val="19"/>
          <w:lang w:val="en-US"/>
        </w:rPr>
      </w:pPr>
      <w:r w:rsidRPr="00061F17">
        <w:rPr>
          <w:szCs w:val="19"/>
          <w:lang w:val="en-US"/>
        </w:rPr>
        <w:t>1</w:t>
      </w:r>
      <w:r w:rsidRPr="00061F17">
        <w:rPr>
          <w:szCs w:val="19"/>
          <w:lang w:val="en-US"/>
        </w:rPr>
        <w:tab/>
        <w:t>to prepare a report on the implementation of this resolution for submission to the ITU Council at each annual session;</w:t>
      </w:r>
    </w:p>
    <w:p w:rsidR="00FD027D" w:rsidRPr="00061F17" w:rsidRDefault="00FD027D" w:rsidP="00FD027D">
      <w:pPr>
        <w:rPr>
          <w:szCs w:val="19"/>
          <w:lang w:val="en-US"/>
        </w:rPr>
      </w:pPr>
      <w:r w:rsidRPr="00061F17">
        <w:rPr>
          <w:szCs w:val="19"/>
          <w:lang w:val="en-US"/>
        </w:rPr>
        <w:t>2</w:t>
      </w:r>
      <w:r w:rsidRPr="00061F17">
        <w:rPr>
          <w:szCs w:val="19"/>
          <w:lang w:val="en-US"/>
        </w:rPr>
        <w:tab/>
        <w:t>to provide a report to the next plenipotentiary conference on measures taken to implement this resolution.</w:t>
      </w:r>
    </w:p>
    <w:p w:rsidR="00FD027D" w:rsidRPr="00061F17" w:rsidRDefault="00FD027D" w:rsidP="00FD027D">
      <w:pPr>
        <w:rPr>
          <w:szCs w:val="19"/>
          <w:lang w:val="en-US"/>
        </w:rPr>
      </w:pPr>
    </w:p>
    <w:p w:rsidR="00FD027D" w:rsidRDefault="00FD027D" w:rsidP="00FD027D">
      <w:pPr>
        <w:pStyle w:val="Heading1"/>
        <w:spacing w:before="360" w:after="120"/>
        <w:rPr>
          <w:rFonts w:ascii="Verdana Bold" w:hAnsi="Verdana Bold"/>
          <w:szCs w:val="19"/>
        </w:rPr>
      </w:pPr>
      <w:bookmarkStart w:id="158" w:name="_Toc361912449"/>
      <w:r>
        <w:rPr>
          <w:rFonts w:ascii="Verdana Bold" w:hAnsi="Verdana Bold"/>
          <w:szCs w:val="19"/>
        </w:rPr>
        <w:br w:type="page"/>
      </w:r>
    </w:p>
    <w:p w:rsidR="00FD027D" w:rsidRPr="00FA2397" w:rsidRDefault="00FD027D" w:rsidP="00FD027D">
      <w:pPr>
        <w:pStyle w:val="Heading1"/>
        <w:tabs>
          <w:tab w:val="left" w:pos="1418"/>
        </w:tabs>
      </w:pPr>
      <w:bookmarkStart w:id="159" w:name="_Toc374691848"/>
      <w:bookmarkStart w:id="160" w:name="_Toc377560487"/>
      <w:r w:rsidRPr="00FA2397">
        <w:lastRenderedPageBreak/>
        <w:t xml:space="preserve">Annex 7: </w:t>
      </w:r>
      <w:r>
        <w:tab/>
      </w:r>
      <w:r w:rsidRPr="00FA2397">
        <w:t>ITU Project in Central America Document</w:t>
      </w:r>
      <w:bookmarkEnd w:id="158"/>
      <w:bookmarkEnd w:id="159"/>
      <w:r w:rsidRPr="00B03492">
        <w:rPr>
          <w:rStyle w:val="FootnoteReference"/>
          <w:lang w:val="en-US"/>
        </w:rPr>
        <w:footnoteReference w:customMarkFollows="1" w:id="33"/>
        <w:t>*</w:t>
      </w:r>
      <w:bookmarkEnd w:id="160"/>
    </w:p>
    <w:p w:rsidR="00FD027D" w:rsidRPr="001970D2" w:rsidRDefault="00FD027D" w:rsidP="00FD027D">
      <w:pPr>
        <w:jc w:val="center"/>
        <w:rPr>
          <w:b/>
          <w:bCs/>
          <w:szCs w:val="19"/>
          <w:lang w:val="en-US"/>
        </w:rPr>
      </w:pPr>
    </w:p>
    <w:p w:rsidR="00FD027D" w:rsidRDefault="00FD027D" w:rsidP="00FD027D">
      <w:pPr>
        <w:spacing w:before="0"/>
        <w:rPr>
          <w:rFonts w:ascii="Verdana Bold" w:hAnsi="Verdana Bold" w:hint="eastAsia"/>
          <w:b/>
          <w:szCs w:val="19"/>
          <w:lang w:val="en-GB"/>
        </w:rPr>
      </w:pPr>
      <w:bookmarkStart w:id="161" w:name="_Toc361912450"/>
      <w:r w:rsidRPr="00061F17">
        <w:rPr>
          <w:rFonts w:ascii="Verdana Bold" w:hAnsi="Verdana Bold" w:hint="eastAsia"/>
          <w:smallCaps/>
          <w:szCs w:val="19"/>
          <w:lang w:val="en-US"/>
        </w:rPr>
        <w:br w:type="page"/>
      </w:r>
    </w:p>
    <w:p w:rsidR="00FD027D" w:rsidRDefault="00FD027D" w:rsidP="00FD027D">
      <w:pPr>
        <w:pStyle w:val="Heading1"/>
        <w:tabs>
          <w:tab w:val="left" w:pos="1418"/>
        </w:tabs>
      </w:pPr>
      <w:bookmarkStart w:id="162" w:name="_Toc374691849"/>
      <w:bookmarkStart w:id="163" w:name="_Toc377560488"/>
      <w:r w:rsidRPr="00BE1873">
        <w:lastRenderedPageBreak/>
        <w:t xml:space="preserve">Annex 8: </w:t>
      </w:r>
      <w:r>
        <w:tab/>
      </w:r>
      <w:r w:rsidRPr="00BE1873">
        <w:t>Q23/1 Work Plan</w:t>
      </w:r>
      <w:bookmarkEnd w:id="161"/>
      <w:bookmarkEnd w:id="162"/>
      <w:bookmarkEnd w:id="163"/>
    </w:p>
    <w:p w:rsidR="001D4022" w:rsidRPr="00CB48E2" w:rsidRDefault="001D4022" w:rsidP="001D4022">
      <w:pPr>
        <w:pStyle w:val="Tabletitle"/>
      </w:pPr>
      <w:r w:rsidRPr="00CB48E2">
        <w:t>Work Programme 2010-2014</w:t>
      </w:r>
    </w:p>
    <w:tbl>
      <w:tblPr>
        <w:tblStyle w:val="Style1"/>
        <w:tblW w:w="4884" w:type="pct"/>
        <w:tblInd w:w="108" w:type="dxa"/>
        <w:tblLayout w:type="fixed"/>
        <w:tblLook w:val="0020" w:firstRow="1" w:lastRow="0" w:firstColumn="0" w:lastColumn="0" w:noHBand="0" w:noVBand="0"/>
      </w:tblPr>
      <w:tblGrid>
        <w:gridCol w:w="2140"/>
        <w:gridCol w:w="4533"/>
        <w:gridCol w:w="2399"/>
      </w:tblGrid>
      <w:tr w:rsidR="001D4022" w:rsidRPr="00413C13" w:rsidTr="000C5108">
        <w:trPr>
          <w:cnfStyle w:val="100000000000" w:firstRow="1" w:lastRow="0" w:firstColumn="0" w:lastColumn="0" w:oddVBand="0" w:evenVBand="0" w:oddHBand="0" w:evenHBand="0" w:firstRowFirstColumn="0" w:firstRowLastColumn="0" w:lastRowFirstColumn="0" w:lastRowLastColumn="0"/>
          <w:tblHeader/>
        </w:trPr>
        <w:tc>
          <w:tcPr>
            <w:tcW w:w="2140" w:type="dxa"/>
          </w:tcPr>
          <w:p w:rsidR="001D4022" w:rsidRPr="00413C13" w:rsidRDefault="001D4022" w:rsidP="000C5108">
            <w:pPr>
              <w:pStyle w:val="Tablehead"/>
            </w:pPr>
            <w:r w:rsidRPr="00413C13">
              <w:t>DATE</w:t>
            </w:r>
          </w:p>
        </w:tc>
        <w:tc>
          <w:tcPr>
            <w:tcW w:w="4533" w:type="dxa"/>
          </w:tcPr>
          <w:p w:rsidR="001D4022" w:rsidRPr="00413C13" w:rsidRDefault="001D4022" w:rsidP="000C5108">
            <w:pPr>
              <w:pStyle w:val="Tablehead"/>
            </w:pPr>
            <w:r w:rsidRPr="00413C13">
              <w:t>ACTIVITY / EXPECTED RESULTS</w:t>
            </w:r>
          </w:p>
        </w:tc>
        <w:tc>
          <w:tcPr>
            <w:tcW w:w="2399" w:type="dxa"/>
          </w:tcPr>
          <w:p w:rsidR="001D4022" w:rsidRPr="00413C13" w:rsidRDefault="001D4022" w:rsidP="000C5108">
            <w:pPr>
              <w:pStyle w:val="Tablehead"/>
            </w:pPr>
            <w:r w:rsidRPr="00413C13">
              <w:t>PERSON RESPONSIBLE</w:t>
            </w:r>
          </w:p>
        </w:tc>
      </w:tr>
      <w:tr w:rsidR="001D4022" w:rsidRPr="00BE1873" w:rsidTr="000C5108">
        <w:trPr>
          <w:cnfStyle w:val="000000100000" w:firstRow="0" w:lastRow="0" w:firstColumn="0" w:lastColumn="0" w:oddVBand="0" w:evenVBand="0" w:oddHBand="1" w:evenHBand="0" w:firstRowFirstColumn="0" w:firstRowLastColumn="0" w:lastRowFirstColumn="0" w:lastRowLastColumn="0"/>
        </w:trPr>
        <w:tc>
          <w:tcPr>
            <w:tcW w:w="2140" w:type="dxa"/>
          </w:tcPr>
          <w:p w:rsidR="001D4022" w:rsidRPr="00413C13" w:rsidRDefault="001D4022" w:rsidP="001D4022">
            <w:pPr>
              <w:pStyle w:val="Tabletext"/>
              <w:spacing w:before="20"/>
            </w:pPr>
            <w:r w:rsidRPr="00413C13">
              <w:t>September 2010</w:t>
            </w:r>
          </w:p>
        </w:tc>
        <w:tc>
          <w:tcPr>
            <w:tcW w:w="4533" w:type="dxa"/>
          </w:tcPr>
          <w:p w:rsidR="001D4022" w:rsidRPr="001D4022" w:rsidRDefault="001D4022" w:rsidP="001D4022">
            <w:pPr>
              <w:pStyle w:val="enumlev1"/>
              <w:tabs>
                <w:tab w:val="clear" w:pos="794"/>
                <w:tab w:val="left" w:pos="304"/>
              </w:tabs>
              <w:spacing w:before="20"/>
              <w:ind w:left="304" w:hanging="304"/>
              <w:rPr>
                <w:rFonts w:asciiTheme="minorHAnsi" w:hAnsiTheme="minorHAnsi"/>
                <w:sz w:val="19"/>
                <w:szCs w:val="19"/>
              </w:rPr>
            </w:pPr>
            <w:r w:rsidRPr="001D4022">
              <w:rPr>
                <w:rFonts w:asciiTheme="minorHAnsi" w:hAnsiTheme="minorHAnsi"/>
                <w:sz w:val="19"/>
                <w:szCs w:val="19"/>
              </w:rPr>
              <w:t>-</w:t>
            </w:r>
            <w:r w:rsidRPr="001D4022">
              <w:rPr>
                <w:rFonts w:asciiTheme="minorHAnsi" w:hAnsiTheme="minorHAnsi"/>
                <w:sz w:val="19"/>
                <w:szCs w:val="19"/>
              </w:rPr>
              <w:tab/>
              <w:t xml:space="preserve">Determination of the working method and of the means to carry out the work </w:t>
            </w:r>
          </w:p>
        </w:tc>
        <w:tc>
          <w:tcPr>
            <w:tcW w:w="2399" w:type="dxa"/>
          </w:tcPr>
          <w:p w:rsidR="001D4022" w:rsidRPr="001D4022" w:rsidRDefault="001D4022" w:rsidP="001D4022">
            <w:pPr>
              <w:pStyle w:val="Tabletext"/>
              <w:spacing w:before="20"/>
              <w:rPr>
                <w:rFonts w:asciiTheme="minorHAnsi" w:hAnsiTheme="minorHAnsi" w:cs="Arial"/>
                <w:lang w:val="en-US"/>
              </w:rPr>
            </w:pPr>
            <w:r w:rsidRPr="001D4022">
              <w:rPr>
                <w:rFonts w:asciiTheme="minorHAnsi" w:hAnsiTheme="minorHAnsi" w:cs="Arial"/>
                <w:lang w:val="en-US"/>
              </w:rPr>
              <w:t>BDT, Rapporteur’s Group</w:t>
            </w:r>
          </w:p>
        </w:tc>
      </w:tr>
      <w:tr w:rsidR="001D4022" w:rsidRPr="00413C13" w:rsidTr="000C5108">
        <w:trPr>
          <w:cnfStyle w:val="000000010000" w:firstRow="0" w:lastRow="0" w:firstColumn="0" w:lastColumn="0" w:oddVBand="0" w:evenVBand="0" w:oddHBand="0" w:evenHBand="1" w:firstRowFirstColumn="0" w:firstRowLastColumn="0" w:lastRowFirstColumn="0" w:lastRowLastColumn="0"/>
        </w:trPr>
        <w:tc>
          <w:tcPr>
            <w:tcW w:w="2140" w:type="dxa"/>
          </w:tcPr>
          <w:p w:rsidR="001D4022" w:rsidRPr="00BE1873" w:rsidRDefault="001D4022" w:rsidP="001D4022">
            <w:pPr>
              <w:pStyle w:val="Tabletext"/>
              <w:spacing w:before="20"/>
              <w:rPr>
                <w:lang w:val="en-US"/>
              </w:rPr>
            </w:pPr>
            <w:r w:rsidRPr="00BE1873">
              <w:rPr>
                <w:lang w:val="en-US"/>
              </w:rPr>
              <w:t>October 2010 – February 2011</w:t>
            </w:r>
          </w:p>
        </w:tc>
        <w:tc>
          <w:tcPr>
            <w:tcW w:w="4533" w:type="dxa"/>
          </w:tcPr>
          <w:p w:rsidR="001D4022" w:rsidRPr="001D4022" w:rsidRDefault="001D4022" w:rsidP="001D4022">
            <w:pPr>
              <w:pStyle w:val="enumlev1"/>
              <w:tabs>
                <w:tab w:val="clear" w:pos="794"/>
                <w:tab w:val="left" w:pos="304"/>
              </w:tabs>
              <w:spacing w:before="20"/>
              <w:ind w:left="304" w:hanging="304"/>
              <w:rPr>
                <w:rFonts w:asciiTheme="minorHAnsi" w:hAnsiTheme="minorHAnsi"/>
                <w:spacing w:val="-6"/>
                <w:sz w:val="19"/>
                <w:szCs w:val="19"/>
              </w:rPr>
            </w:pPr>
            <w:r w:rsidRPr="001D4022">
              <w:rPr>
                <w:rFonts w:asciiTheme="minorHAnsi" w:hAnsiTheme="minorHAnsi"/>
                <w:sz w:val="19"/>
                <w:szCs w:val="19"/>
              </w:rPr>
              <w:t>-</w:t>
            </w:r>
            <w:r w:rsidRPr="001D4022">
              <w:rPr>
                <w:rFonts w:asciiTheme="minorHAnsi" w:hAnsiTheme="minorHAnsi"/>
                <w:sz w:val="19"/>
                <w:szCs w:val="19"/>
              </w:rPr>
              <w:tab/>
            </w:r>
            <w:r w:rsidRPr="001D4022">
              <w:rPr>
                <w:rFonts w:asciiTheme="minorHAnsi" w:hAnsiTheme="minorHAnsi"/>
                <w:spacing w:val="-6"/>
                <w:sz w:val="19"/>
                <w:szCs w:val="19"/>
              </w:rPr>
              <w:t>Compilation and analysis of envisaged or adopted regulatory policies on human exposure to electromagnetic fields authorizing the installation of radiocommunication sites and telecommunication systems over electric power lines</w:t>
            </w:r>
          </w:p>
          <w:p w:rsidR="001D4022" w:rsidRPr="001D4022" w:rsidRDefault="001D4022" w:rsidP="001D4022">
            <w:pPr>
              <w:pStyle w:val="enumlev1"/>
              <w:tabs>
                <w:tab w:val="clear" w:pos="794"/>
                <w:tab w:val="left" w:pos="304"/>
              </w:tabs>
              <w:spacing w:before="20"/>
              <w:ind w:left="304" w:hanging="304"/>
              <w:rPr>
                <w:rFonts w:asciiTheme="minorHAnsi" w:hAnsiTheme="minorHAnsi"/>
                <w:sz w:val="19"/>
                <w:szCs w:val="19"/>
              </w:rPr>
            </w:pPr>
            <w:r w:rsidRPr="001D4022">
              <w:rPr>
                <w:rFonts w:asciiTheme="minorHAnsi" w:hAnsiTheme="minorHAnsi"/>
                <w:sz w:val="19"/>
                <w:szCs w:val="19"/>
              </w:rPr>
              <w:t>-</w:t>
            </w:r>
            <w:r w:rsidRPr="001D4022">
              <w:rPr>
                <w:rFonts w:asciiTheme="minorHAnsi" w:hAnsiTheme="minorHAnsi"/>
                <w:sz w:val="19"/>
                <w:szCs w:val="19"/>
              </w:rPr>
              <w:tab/>
              <w:t>Description of strategies or methods for raising awareness and informing people about the effects of electromagnetic fields caused by radio systems</w:t>
            </w:r>
          </w:p>
          <w:p w:rsidR="001D4022" w:rsidRPr="001D4022" w:rsidRDefault="001D4022" w:rsidP="001D4022">
            <w:pPr>
              <w:pStyle w:val="enumlev1"/>
              <w:tabs>
                <w:tab w:val="clear" w:pos="794"/>
                <w:tab w:val="left" w:pos="304"/>
              </w:tabs>
              <w:spacing w:before="20"/>
              <w:ind w:left="304" w:hanging="304"/>
              <w:rPr>
                <w:rFonts w:asciiTheme="minorHAnsi" w:hAnsiTheme="minorHAnsi"/>
                <w:sz w:val="19"/>
                <w:szCs w:val="19"/>
              </w:rPr>
            </w:pPr>
            <w:r w:rsidRPr="001D4022">
              <w:rPr>
                <w:rFonts w:asciiTheme="minorHAnsi" w:hAnsiTheme="minorHAnsi"/>
                <w:sz w:val="19"/>
                <w:szCs w:val="19"/>
                <w:shd w:val="clear" w:color="auto" w:fill="FFFFFF"/>
              </w:rPr>
              <w:t>-</w:t>
            </w:r>
            <w:r w:rsidRPr="001D4022">
              <w:rPr>
                <w:rFonts w:asciiTheme="minorHAnsi" w:hAnsiTheme="minorHAnsi"/>
                <w:sz w:val="19"/>
                <w:szCs w:val="19"/>
                <w:shd w:val="clear" w:color="auto" w:fill="FFFFFF"/>
              </w:rPr>
              <w:tab/>
              <w:t>Guidelines and best practices</w:t>
            </w:r>
          </w:p>
        </w:tc>
        <w:tc>
          <w:tcPr>
            <w:tcW w:w="2399" w:type="dxa"/>
          </w:tcPr>
          <w:p w:rsidR="001D4022" w:rsidRPr="001D4022" w:rsidRDefault="001D4022" w:rsidP="001D4022">
            <w:pPr>
              <w:pStyle w:val="Tabletext"/>
              <w:spacing w:before="20"/>
              <w:rPr>
                <w:rFonts w:asciiTheme="minorHAnsi" w:hAnsiTheme="minorHAnsi" w:cs="Arial"/>
                <w:lang w:val="fr-CH"/>
              </w:rPr>
            </w:pPr>
            <w:r w:rsidRPr="001D4022">
              <w:rPr>
                <w:rFonts w:asciiTheme="minorHAnsi" w:hAnsiTheme="minorHAnsi" w:cs="Arial"/>
                <w:lang w:val="fr-CH"/>
              </w:rPr>
              <w:t>BDT, Rapporteur’s Group</w:t>
            </w:r>
          </w:p>
        </w:tc>
      </w:tr>
      <w:tr w:rsidR="001D4022" w:rsidRPr="00413C13" w:rsidTr="000C5108">
        <w:trPr>
          <w:cnfStyle w:val="000000100000" w:firstRow="0" w:lastRow="0" w:firstColumn="0" w:lastColumn="0" w:oddVBand="0" w:evenVBand="0" w:oddHBand="1" w:evenHBand="0" w:firstRowFirstColumn="0" w:firstRowLastColumn="0" w:lastRowFirstColumn="0" w:lastRowLastColumn="0"/>
        </w:trPr>
        <w:tc>
          <w:tcPr>
            <w:tcW w:w="2140" w:type="dxa"/>
          </w:tcPr>
          <w:p w:rsidR="001D4022" w:rsidRPr="00413C13" w:rsidRDefault="001D4022" w:rsidP="001D4022">
            <w:pPr>
              <w:pStyle w:val="Tabletext"/>
              <w:spacing w:before="20"/>
              <w:rPr>
                <w:rFonts w:cs="Arial"/>
                <w:lang w:val="fr-CH" w:eastAsia="en-US"/>
              </w:rPr>
            </w:pPr>
            <w:r w:rsidRPr="00413C13">
              <w:rPr>
                <w:rFonts w:cs="Arial"/>
                <w:lang w:val="fr-CH" w:eastAsia="en-US"/>
              </w:rPr>
              <w:t>March/April 2011</w:t>
            </w:r>
          </w:p>
        </w:tc>
        <w:tc>
          <w:tcPr>
            <w:tcW w:w="4533" w:type="dxa"/>
          </w:tcPr>
          <w:p w:rsidR="001D4022" w:rsidRPr="001D4022" w:rsidRDefault="001D4022" w:rsidP="001D4022">
            <w:pPr>
              <w:pStyle w:val="Tabletext"/>
              <w:spacing w:before="20"/>
              <w:rPr>
                <w:rFonts w:asciiTheme="minorHAnsi" w:hAnsiTheme="minorHAnsi"/>
                <w:lang w:val="en-US"/>
              </w:rPr>
            </w:pPr>
            <w:r w:rsidRPr="001D4022">
              <w:rPr>
                <w:rFonts w:asciiTheme="minorHAnsi" w:hAnsiTheme="minorHAnsi"/>
                <w:lang w:val="en-US"/>
              </w:rPr>
              <w:t>Rapporteur’s Group meeting:</w:t>
            </w:r>
          </w:p>
          <w:p w:rsidR="001D4022" w:rsidRPr="001D4022" w:rsidRDefault="001D4022" w:rsidP="001D4022">
            <w:pPr>
              <w:pStyle w:val="enumlev1"/>
              <w:tabs>
                <w:tab w:val="clear" w:pos="794"/>
                <w:tab w:val="left" w:pos="304"/>
              </w:tabs>
              <w:spacing w:before="20"/>
              <w:ind w:left="304" w:hanging="304"/>
              <w:rPr>
                <w:rFonts w:asciiTheme="minorHAnsi" w:hAnsiTheme="minorHAnsi"/>
                <w:sz w:val="19"/>
                <w:szCs w:val="19"/>
              </w:rPr>
            </w:pPr>
            <w:r w:rsidRPr="001D4022">
              <w:rPr>
                <w:rFonts w:asciiTheme="minorHAnsi" w:hAnsiTheme="minorHAnsi"/>
                <w:sz w:val="19"/>
                <w:szCs w:val="19"/>
              </w:rPr>
              <w:t>-</w:t>
            </w:r>
            <w:r w:rsidRPr="001D4022">
              <w:rPr>
                <w:rFonts w:asciiTheme="minorHAnsi" w:hAnsiTheme="minorHAnsi"/>
                <w:sz w:val="19"/>
                <w:szCs w:val="19"/>
              </w:rPr>
              <w:tab/>
              <w:t>Consideration of contributions received</w:t>
            </w:r>
          </w:p>
          <w:p w:rsidR="001D4022" w:rsidRPr="001D4022" w:rsidRDefault="001D4022" w:rsidP="001D4022">
            <w:pPr>
              <w:pStyle w:val="enumlev1"/>
              <w:tabs>
                <w:tab w:val="clear" w:pos="794"/>
                <w:tab w:val="left" w:pos="304"/>
              </w:tabs>
              <w:spacing w:before="20"/>
              <w:ind w:left="304" w:hanging="304"/>
              <w:rPr>
                <w:rFonts w:asciiTheme="minorHAnsi" w:hAnsiTheme="minorHAnsi"/>
                <w:sz w:val="19"/>
                <w:szCs w:val="19"/>
              </w:rPr>
            </w:pPr>
            <w:r w:rsidRPr="001D4022">
              <w:rPr>
                <w:rFonts w:asciiTheme="minorHAnsi" w:hAnsiTheme="minorHAnsi"/>
                <w:sz w:val="19"/>
                <w:szCs w:val="19"/>
              </w:rPr>
              <w:t>-</w:t>
            </w:r>
            <w:r w:rsidRPr="001D4022">
              <w:rPr>
                <w:rFonts w:asciiTheme="minorHAnsi" w:hAnsiTheme="minorHAnsi"/>
                <w:sz w:val="19"/>
                <w:szCs w:val="19"/>
              </w:rPr>
              <w:tab/>
              <w:t>Consideration of relevant documents of others Sectors (ITU-T, ITU-R)</w:t>
            </w:r>
          </w:p>
          <w:p w:rsidR="001D4022" w:rsidRPr="001D4022" w:rsidRDefault="001D4022" w:rsidP="001D4022">
            <w:pPr>
              <w:pStyle w:val="enumlev1"/>
              <w:tabs>
                <w:tab w:val="clear" w:pos="794"/>
                <w:tab w:val="left" w:pos="304"/>
              </w:tabs>
              <w:spacing w:before="20"/>
              <w:ind w:left="304" w:hanging="304"/>
              <w:rPr>
                <w:rFonts w:asciiTheme="minorHAnsi" w:hAnsiTheme="minorHAnsi"/>
                <w:sz w:val="19"/>
                <w:szCs w:val="19"/>
              </w:rPr>
            </w:pPr>
            <w:r w:rsidRPr="001D4022">
              <w:rPr>
                <w:rFonts w:asciiTheme="minorHAnsi" w:hAnsiTheme="minorHAnsi"/>
                <w:sz w:val="19"/>
                <w:szCs w:val="19"/>
              </w:rPr>
              <w:t>-</w:t>
            </w:r>
            <w:r w:rsidRPr="001D4022">
              <w:rPr>
                <w:rFonts w:asciiTheme="minorHAnsi" w:hAnsiTheme="minorHAnsi"/>
                <w:sz w:val="19"/>
                <w:szCs w:val="19"/>
              </w:rPr>
              <w:tab/>
              <w:t>Call for contributions from:</w:t>
            </w:r>
          </w:p>
          <w:p w:rsidR="001D4022" w:rsidRPr="001D4022" w:rsidRDefault="001D4022" w:rsidP="001D4022">
            <w:pPr>
              <w:pStyle w:val="enumlev2"/>
              <w:spacing w:before="20"/>
              <w:rPr>
                <w:rFonts w:asciiTheme="minorHAnsi" w:hAnsiTheme="minorHAnsi"/>
                <w:szCs w:val="19"/>
              </w:rPr>
            </w:pPr>
            <w:r w:rsidRPr="001D4022">
              <w:rPr>
                <w:rFonts w:asciiTheme="minorHAnsi" w:hAnsiTheme="minorHAnsi"/>
                <w:szCs w:val="19"/>
              </w:rPr>
              <w:sym w:font="Symbol" w:char="F0B7"/>
            </w:r>
            <w:r w:rsidRPr="001D4022">
              <w:rPr>
                <w:rFonts w:asciiTheme="minorHAnsi" w:hAnsiTheme="minorHAnsi"/>
                <w:szCs w:val="19"/>
              </w:rPr>
              <w:tab/>
              <w:t>World Health Organization</w:t>
            </w:r>
          </w:p>
          <w:p w:rsidR="001D4022" w:rsidRPr="001D4022" w:rsidRDefault="001D4022" w:rsidP="001D4022">
            <w:pPr>
              <w:pStyle w:val="enumlev2"/>
              <w:spacing w:before="20"/>
              <w:rPr>
                <w:rFonts w:asciiTheme="minorHAnsi" w:hAnsiTheme="minorHAnsi"/>
                <w:szCs w:val="19"/>
              </w:rPr>
            </w:pPr>
            <w:r w:rsidRPr="001D4022">
              <w:rPr>
                <w:rFonts w:asciiTheme="minorHAnsi" w:hAnsiTheme="minorHAnsi"/>
                <w:szCs w:val="19"/>
              </w:rPr>
              <w:sym w:font="Symbol" w:char="F0B7"/>
            </w:r>
            <w:r w:rsidRPr="001D4022">
              <w:rPr>
                <w:rFonts w:asciiTheme="minorHAnsi" w:hAnsiTheme="minorHAnsi"/>
                <w:szCs w:val="19"/>
              </w:rPr>
              <w:tab/>
              <w:t>International Commission on Non-Ionizing Radiation Protection (ICNIRP)</w:t>
            </w:r>
          </w:p>
          <w:p w:rsidR="001D4022" w:rsidRPr="001D4022" w:rsidRDefault="001D4022" w:rsidP="001D4022">
            <w:pPr>
              <w:pStyle w:val="enumlev2"/>
              <w:spacing w:before="20"/>
              <w:rPr>
                <w:rFonts w:asciiTheme="minorHAnsi" w:hAnsiTheme="minorHAnsi"/>
                <w:szCs w:val="19"/>
                <w:shd w:val="clear" w:color="auto" w:fill="E6ECF9"/>
              </w:rPr>
            </w:pPr>
            <w:r w:rsidRPr="001D4022">
              <w:rPr>
                <w:rFonts w:asciiTheme="minorHAnsi" w:hAnsiTheme="minorHAnsi"/>
                <w:szCs w:val="19"/>
              </w:rPr>
              <w:sym w:font="Symbol" w:char="F0B7"/>
            </w:r>
            <w:r w:rsidRPr="001D4022">
              <w:rPr>
                <w:rFonts w:asciiTheme="minorHAnsi" w:hAnsiTheme="minorHAnsi"/>
                <w:szCs w:val="19"/>
              </w:rPr>
              <w:tab/>
              <w:t>Institute of Electrical and Electronic Engineers (IEEE)</w:t>
            </w:r>
          </w:p>
        </w:tc>
        <w:tc>
          <w:tcPr>
            <w:tcW w:w="2399" w:type="dxa"/>
          </w:tcPr>
          <w:p w:rsidR="001D4022" w:rsidRPr="001D4022" w:rsidRDefault="001D4022" w:rsidP="001D4022">
            <w:pPr>
              <w:pStyle w:val="Tabletext"/>
              <w:spacing w:before="20"/>
              <w:rPr>
                <w:rFonts w:asciiTheme="minorHAnsi" w:hAnsiTheme="minorHAnsi" w:cs="Arial"/>
                <w:lang w:val="fr-CH"/>
              </w:rPr>
            </w:pPr>
            <w:r w:rsidRPr="001D4022">
              <w:rPr>
                <w:rFonts w:asciiTheme="minorHAnsi" w:hAnsiTheme="minorHAnsi" w:cs="Arial"/>
                <w:lang w:val="fr-CH"/>
              </w:rPr>
              <w:t>BDT, Rapporteur’s Group</w:t>
            </w:r>
          </w:p>
        </w:tc>
      </w:tr>
      <w:tr w:rsidR="001D4022" w:rsidRPr="00413C13" w:rsidTr="000C5108">
        <w:trPr>
          <w:cnfStyle w:val="000000010000" w:firstRow="0" w:lastRow="0" w:firstColumn="0" w:lastColumn="0" w:oddVBand="0" w:evenVBand="0" w:oddHBand="0" w:evenHBand="1" w:firstRowFirstColumn="0" w:firstRowLastColumn="0" w:lastRowFirstColumn="0" w:lastRowLastColumn="0"/>
        </w:trPr>
        <w:tc>
          <w:tcPr>
            <w:tcW w:w="2140" w:type="dxa"/>
          </w:tcPr>
          <w:p w:rsidR="001D4022" w:rsidRPr="00413C13" w:rsidRDefault="001D4022" w:rsidP="001D4022">
            <w:pPr>
              <w:pStyle w:val="Tabletext"/>
              <w:spacing w:before="20"/>
              <w:rPr>
                <w:rFonts w:cs="Arial"/>
                <w:lang w:val="fr-CH" w:eastAsia="en-US"/>
              </w:rPr>
            </w:pPr>
            <w:r w:rsidRPr="00413C13">
              <w:rPr>
                <w:rFonts w:cs="Arial"/>
                <w:lang w:val="fr-CH" w:eastAsia="en-US"/>
              </w:rPr>
              <w:t>September 2011</w:t>
            </w:r>
          </w:p>
        </w:tc>
        <w:tc>
          <w:tcPr>
            <w:tcW w:w="4533" w:type="dxa"/>
          </w:tcPr>
          <w:p w:rsidR="001D4022" w:rsidRPr="001D4022" w:rsidRDefault="001D4022" w:rsidP="001D4022">
            <w:pPr>
              <w:pStyle w:val="Tabletext"/>
              <w:spacing w:before="20"/>
              <w:rPr>
                <w:rFonts w:asciiTheme="minorHAnsi" w:hAnsiTheme="minorHAnsi"/>
                <w:lang w:val="en-US"/>
              </w:rPr>
            </w:pPr>
            <w:r w:rsidRPr="001D4022">
              <w:rPr>
                <w:rFonts w:asciiTheme="minorHAnsi" w:hAnsiTheme="minorHAnsi"/>
                <w:lang w:val="en-US"/>
              </w:rPr>
              <w:t>Rapporteur’s Group meeting:</w:t>
            </w:r>
          </w:p>
          <w:p w:rsidR="001D4022" w:rsidRPr="001D4022" w:rsidRDefault="001D4022" w:rsidP="001D4022">
            <w:pPr>
              <w:pStyle w:val="enumlev1"/>
              <w:tabs>
                <w:tab w:val="clear" w:pos="794"/>
                <w:tab w:val="left" w:pos="304"/>
              </w:tabs>
              <w:spacing w:before="20"/>
              <w:ind w:left="304" w:hanging="304"/>
              <w:rPr>
                <w:rFonts w:asciiTheme="minorHAnsi" w:hAnsiTheme="minorHAnsi"/>
                <w:sz w:val="19"/>
                <w:szCs w:val="19"/>
              </w:rPr>
            </w:pPr>
            <w:r w:rsidRPr="001D4022">
              <w:rPr>
                <w:rFonts w:asciiTheme="minorHAnsi" w:hAnsiTheme="minorHAnsi"/>
                <w:sz w:val="19"/>
                <w:szCs w:val="19"/>
                <w:shd w:val="clear" w:color="auto" w:fill="FFFFFF"/>
              </w:rPr>
              <w:t>-</w:t>
            </w:r>
            <w:r w:rsidRPr="001D4022">
              <w:rPr>
                <w:rFonts w:asciiTheme="minorHAnsi" w:hAnsiTheme="minorHAnsi"/>
                <w:sz w:val="19"/>
                <w:szCs w:val="19"/>
                <w:shd w:val="clear" w:color="auto" w:fill="FFFFFF"/>
              </w:rPr>
              <w:tab/>
            </w:r>
            <w:r w:rsidRPr="001D4022">
              <w:rPr>
                <w:rFonts w:asciiTheme="minorHAnsi" w:hAnsiTheme="minorHAnsi"/>
                <w:sz w:val="19"/>
                <w:szCs w:val="19"/>
              </w:rPr>
              <w:t>Consideration of contributions received</w:t>
            </w:r>
          </w:p>
          <w:p w:rsidR="001D4022" w:rsidRPr="001D4022" w:rsidRDefault="001D4022" w:rsidP="001D4022">
            <w:pPr>
              <w:pStyle w:val="enumlev1"/>
              <w:tabs>
                <w:tab w:val="clear" w:pos="794"/>
                <w:tab w:val="left" w:pos="304"/>
              </w:tabs>
              <w:spacing w:before="20"/>
              <w:ind w:left="304" w:hanging="304"/>
              <w:rPr>
                <w:rFonts w:asciiTheme="minorHAnsi" w:hAnsiTheme="minorHAnsi"/>
                <w:sz w:val="19"/>
                <w:szCs w:val="19"/>
              </w:rPr>
            </w:pPr>
            <w:r w:rsidRPr="001D4022">
              <w:rPr>
                <w:rFonts w:asciiTheme="minorHAnsi" w:hAnsiTheme="minorHAnsi"/>
                <w:sz w:val="19"/>
                <w:szCs w:val="19"/>
              </w:rPr>
              <w:t>-</w:t>
            </w:r>
            <w:r w:rsidRPr="001D4022">
              <w:rPr>
                <w:rFonts w:asciiTheme="minorHAnsi" w:hAnsiTheme="minorHAnsi"/>
                <w:sz w:val="19"/>
                <w:szCs w:val="19"/>
              </w:rPr>
              <w:tab/>
              <w:t>Consideration of relevant documents of other Sectors and programmes</w:t>
            </w:r>
          </w:p>
          <w:p w:rsidR="001D4022" w:rsidRPr="001D4022" w:rsidRDefault="001D4022" w:rsidP="001D4022">
            <w:pPr>
              <w:pStyle w:val="enumlev1"/>
              <w:tabs>
                <w:tab w:val="clear" w:pos="794"/>
                <w:tab w:val="left" w:pos="304"/>
              </w:tabs>
              <w:spacing w:before="20"/>
              <w:ind w:left="304" w:hanging="304"/>
              <w:rPr>
                <w:rFonts w:asciiTheme="minorHAnsi" w:hAnsiTheme="minorHAnsi"/>
                <w:sz w:val="19"/>
                <w:szCs w:val="19"/>
              </w:rPr>
            </w:pPr>
            <w:r w:rsidRPr="001D4022">
              <w:rPr>
                <w:rFonts w:asciiTheme="minorHAnsi" w:hAnsiTheme="minorHAnsi"/>
                <w:sz w:val="19"/>
                <w:szCs w:val="19"/>
              </w:rPr>
              <w:t>-</w:t>
            </w:r>
            <w:r w:rsidRPr="001D4022">
              <w:rPr>
                <w:rFonts w:asciiTheme="minorHAnsi" w:hAnsiTheme="minorHAnsi"/>
                <w:sz w:val="19"/>
                <w:szCs w:val="19"/>
              </w:rPr>
              <w:tab/>
              <w:t>Call for new contributions</w:t>
            </w:r>
          </w:p>
          <w:p w:rsidR="001D4022" w:rsidRPr="001D4022" w:rsidRDefault="001D4022" w:rsidP="001D4022">
            <w:pPr>
              <w:pStyle w:val="enumlev1"/>
              <w:tabs>
                <w:tab w:val="clear" w:pos="794"/>
                <w:tab w:val="left" w:pos="304"/>
              </w:tabs>
              <w:spacing w:before="20"/>
              <w:ind w:left="304" w:hanging="304"/>
              <w:rPr>
                <w:rFonts w:asciiTheme="minorHAnsi" w:hAnsiTheme="minorHAnsi"/>
                <w:sz w:val="19"/>
                <w:szCs w:val="19"/>
              </w:rPr>
            </w:pPr>
            <w:r w:rsidRPr="001D4022">
              <w:rPr>
                <w:rFonts w:asciiTheme="minorHAnsi" w:hAnsiTheme="minorHAnsi"/>
                <w:sz w:val="19"/>
                <w:szCs w:val="19"/>
              </w:rPr>
              <w:t>-</w:t>
            </w:r>
            <w:r w:rsidRPr="001D4022">
              <w:rPr>
                <w:rFonts w:asciiTheme="minorHAnsi" w:hAnsiTheme="minorHAnsi"/>
                <w:sz w:val="19"/>
                <w:szCs w:val="19"/>
              </w:rPr>
              <w:tab/>
              <w:t>Draft guidelines for compliance with relevant international recommendations aimed at protecting health against the harmful effects of electromagnetic fields</w:t>
            </w:r>
          </w:p>
        </w:tc>
        <w:tc>
          <w:tcPr>
            <w:tcW w:w="2399" w:type="dxa"/>
          </w:tcPr>
          <w:p w:rsidR="001D4022" w:rsidRPr="001D4022" w:rsidRDefault="001D4022" w:rsidP="001D4022">
            <w:pPr>
              <w:pStyle w:val="Tabletext"/>
              <w:spacing w:before="20"/>
              <w:rPr>
                <w:rFonts w:asciiTheme="minorHAnsi" w:hAnsiTheme="minorHAnsi" w:cs="Arial"/>
                <w:lang w:val="fr-CH"/>
              </w:rPr>
            </w:pPr>
            <w:r w:rsidRPr="001D4022">
              <w:rPr>
                <w:rFonts w:asciiTheme="minorHAnsi" w:hAnsiTheme="minorHAnsi" w:cs="Arial"/>
                <w:lang w:val="fr-CH"/>
              </w:rPr>
              <w:t>BDT, Rapporteur’s Group</w:t>
            </w:r>
          </w:p>
        </w:tc>
      </w:tr>
      <w:tr w:rsidR="001D4022" w:rsidRPr="00725C15" w:rsidTr="000C5108">
        <w:trPr>
          <w:cnfStyle w:val="000000100000" w:firstRow="0" w:lastRow="0" w:firstColumn="0" w:lastColumn="0" w:oddVBand="0" w:evenVBand="0" w:oddHBand="1" w:evenHBand="0" w:firstRowFirstColumn="0" w:firstRowLastColumn="0" w:lastRowFirstColumn="0" w:lastRowLastColumn="0"/>
        </w:trPr>
        <w:tc>
          <w:tcPr>
            <w:tcW w:w="2140" w:type="dxa"/>
          </w:tcPr>
          <w:p w:rsidR="001D4022" w:rsidRPr="00602504" w:rsidRDefault="001D4022" w:rsidP="001D4022">
            <w:pPr>
              <w:pStyle w:val="Tabletext"/>
              <w:spacing w:before="20"/>
            </w:pPr>
            <w:r w:rsidRPr="00413C13">
              <w:t>March/April 2012</w:t>
            </w:r>
          </w:p>
        </w:tc>
        <w:tc>
          <w:tcPr>
            <w:tcW w:w="4533" w:type="dxa"/>
          </w:tcPr>
          <w:p w:rsidR="001D4022" w:rsidRPr="001D4022" w:rsidRDefault="001D4022" w:rsidP="001D4022">
            <w:pPr>
              <w:pStyle w:val="Tabletext"/>
              <w:spacing w:before="20"/>
              <w:rPr>
                <w:rFonts w:asciiTheme="minorHAnsi" w:hAnsiTheme="minorHAnsi"/>
                <w:lang w:val="en-US"/>
              </w:rPr>
            </w:pPr>
            <w:r w:rsidRPr="001D4022">
              <w:rPr>
                <w:rFonts w:asciiTheme="minorHAnsi" w:hAnsiTheme="minorHAnsi"/>
                <w:lang w:val="en-US"/>
              </w:rPr>
              <w:t>Rapporteur’s Group meeting</w:t>
            </w:r>
          </w:p>
          <w:p w:rsidR="001D4022" w:rsidRPr="001D4022" w:rsidRDefault="001D4022" w:rsidP="001D4022">
            <w:pPr>
              <w:pStyle w:val="enumlev1"/>
              <w:tabs>
                <w:tab w:val="clear" w:pos="794"/>
                <w:tab w:val="left" w:pos="304"/>
              </w:tabs>
              <w:spacing w:before="20"/>
              <w:ind w:left="304" w:hanging="304"/>
              <w:rPr>
                <w:rFonts w:asciiTheme="minorHAnsi" w:hAnsiTheme="minorHAnsi"/>
                <w:sz w:val="19"/>
                <w:szCs w:val="19"/>
              </w:rPr>
            </w:pPr>
            <w:r w:rsidRPr="001D4022">
              <w:rPr>
                <w:rFonts w:asciiTheme="minorHAnsi" w:hAnsiTheme="minorHAnsi"/>
                <w:sz w:val="19"/>
                <w:szCs w:val="19"/>
              </w:rPr>
              <w:t>-</w:t>
            </w:r>
            <w:r w:rsidRPr="001D4022">
              <w:rPr>
                <w:rFonts w:asciiTheme="minorHAnsi" w:hAnsiTheme="minorHAnsi"/>
                <w:sz w:val="19"/>
                <w:szCs w:val="19"/>
              </w:rPr>
              <w:tab/>
              <w:t>Consideration of contributions received</w:t>
            </w:r>
          </w:p>
          <w:p w:rsidR="001D4022" w:rsidRPr="001D4022" w:rsidRDefault="001D4022" w:rsidP="001D4022">
            <w:pPr>
              <w:pStyle w:val="enumlev1"/>
              <w:tabs>
                <w:tab w:val="clear" w:pos="794"/>
                <w:tab w:val="left" w:pos="304"/>
              </w:tabs>
              <w:spacing w:before="20"/>
              <w:ind w:left="304" w:hanging="304"/>
              <w:rPr>
                <w:rFonts w:asciiTheme="minorHAnsi" w:hAnsiTheme="minorHAnsi"/>
                <w:sz w:val="19"/>
                <w:szCs w:val="19"/>
              </w:rPr>
            </w:pPr>
            <w:r w:rsidRPr="001D4022">
              <w:rPr>
                <w:rFonts w:asciiTheme="minorHAnsi" w:hAnsiTheme="minorHAnsi"/>
                <w:sz w:val="19"/>
                <w:szCs w:val="19"/>
              </w:rPr>
              <w:t>-</w:t>
            </w:r>
            <w:r w:rsidRPr="001D4022">
              <w:rPr>
                <w:rFonts w:asciiTheme="minorHAnsi" w:hAnsiTheme="minorHAnsi"/>
                <w:sz w:val="19"/>
                <w:szCs w:val="19"/>
              </w:rPr>
              <w:tab/>
              <w:t>Consideration of relevant documents of other ITU Sectors and international organizations working on this issue</w:t>
            </w:r>
          </w:p>
          <w:p w:rsidR="001D4022" w:rsidRPr="001D4022" w:rsidRDefault="001D4022" w:rsidP="001D4022">
            <w:pPr>
              <w:pStyle w:val="enumlev1"/>
              <w:tabs>
                <w:tab w:val="clear" w:pos="794"/>
                <w:tab w:val="left" w:pos="304"/>
              </w:tabs>
              <w:spacing w:before="20"/>
              <w:ind w:left="304" w:hanging="304"/>
              <w:rPr>
                <w:rFonts w:asciiTheme="minorHAnsi" w:hAnsiTheme="minorHAnsi"/>
                <w:sz w:val="19"/>
                <w:szCs w:val="19"/>
              </w:rPr>
            </w:pPr>
            <w:r w:rsidRPr="001D4022">
              <w:rPr>
                <w:rFonts w:asciiTheme="minorHAnsi" w:hAnsiTheme="minorHAnsi"/>
                <w:sz w:val="19"/>
                <w:szCs w:val="19"/>
              </w:rPr>
              <w:t>-</w:t>
            </w:r>
            <w:r w:rsidRPr="001D4022">
              <w:rPr>
                <w:rFonts w:asciiTheme="minorHAnsi" w:hAnsiTheme="minorHAnsi"/>
                <w:sz w:val="19"/>
                <w:szCs w:val="19"/>
              </w:rPr>
              <w:tab/>
              <w:t>Finalization of guidelines</w:t>
            </w:r>
          </w:p>
          <w:p w:rsidR="001D4022" w:rsidRPr="001D4022" w:rsidRDefault="001D4022" w:rsidP="001D4022">
            <w:pPr>
              <w:pStyle w:val="enumlev1"/>
              <w:tabs>
                <w:tab w:val="clear" w:pos="794"/>
                <w:tab w:val="left" w:pos="304"/>
              </w:tabs>
              <w:spacing w:before="20"/>
              <w:ind w:left="304" w:hanging="304"/>
              <w:rPr>
                <w:rFonts w:asciiTheme="minorHAnsi" w:hAnsiTheme="minorHAnsi"/>
                <w:sz w:val="19"/>
                <w:szCs w:val="19"/>
              </w:rPr>
            </w:pPr>
            <w:r w:rsidRPr="001D4022">
              <w:rPr>
                <w:rFonts w:asciiTheme="minorHAnsi" w:hAnsiTheme="minorHAnsi"/>
                <w:sz w:val="19"/>
                <w:szCs w:val="19"/>
              </w:rPr>
              <w:t>-</w:t>
            </w:r>
            <w:r w:rsidRPr="001D4022">
              <w:rPr>
                <w:rFonts w:asciiTheme="minorHAnsi" w:hAnsiTheme="minorHAnsi"/>
                <w:sz w:val="19"/>
                <w:szCs w:val="19"/>
              </w:rPr>
              <w:tab/>
              <w:t>Development of plan of the draft report</w:t>
            </w:r>
          </w:p>
          <w:p w:rsidR="001D4022" w:rsidRPr="001D4022" w:rsidRDefault="001D4022" w:rsidP="001D4022">
            <w:pPr>
              <w:pStyle w:val="enumlev1"/>
              <w:tabs>
                <w:tab w:val="clear" w:pos="794"/>
                <w:tab w:val="left" w:pos="304"/>
              </w:tabs>
              <w:spacing w:before="20"/>
              <w:ind w:left="304" w:hanging="304"/>
              <w:rPr>
                <w:rFonts w:asciiTheme="minorHAnsi" w:hAnsiTheme="minorHAnsi"/>
                <w:sz w:val="19"/>
                <w:szCs w:val="19"/>
              </w:rPr>
            </w:pPr>
            <w:r w:rsidRPr="001D4022">
              <w:rPr>
                <w:rFonts w:asciiTheme="minorHAnsi" w:hAnsiTheme="minorHAnsi"/>
                <w:sz w:val="19"/>
                <w:szCs w:val="19"/>
              </w:rPr>
              <w:t>-</w:t>
            </w:r>
            <w:r w:rsidRPr="001D4022">
              <w:rPr>
                <w:rFonts w:asciiTheme="minorHAnsi" w:hAnsiTheme="minorHAnsi"/>
                <w:sz w:val="19"/>
                <w:szCs w:val="19"/>
              </w:rPr>
              <w:tab/>
              <w:t>Call for new contributions</w:t>
            </w:r>
          </w:p>
          <w:p w:rsidR="001D4022" w:rsidRPr="001D4022" w:rsidRDefault="001D4022" w:rsidP="001D4022">
            <w:pPr>
              <w:pStyle w:val="enumlev1"/>
              <w:tabs>
                <w:tab w:val="clear" w:pos="794"/>
                <w:tab w:val="left" w:pos="304"/>
              </w:tabs>
              <w:spacing w:before="20"/>
              <w:ind w:left="304" w:hanging="304"/>
              <w:rPr>
                <w:rFonts w:asciiTheme="minorHAnsi" w:hAnsiTheme="minorHAnsi"/>
                <w:bCs/>
                <w:sz w:val="19"/>
                <w:szCs w:val="19"/>
              </w:rPr>
            </w:pPr>
            <w:r w:rsidRPr="001D4022">
              <w:rPr>
                <w:rFonts w:asciiTheme="minorHAnsi" w:hAnsiTheme="minorHAnsi"/>
                <w:sz w:val="19"/>
                <w:szCs w:val="19"/>
              </w:rPr>
              <w:t>-</w:t>
            </w:r>
            <w:r w:rsidRPr="001D4022">
              <w:rPr>
                <w:rFonts w:asciiTheme="minorHAnsi" w:hAnsiTheme="minorHAnsi"/>
                <w:sz w:val="19"/>
                <w:szCs w:val="19"/>
              </w:rPr>
              <w:tab/>
              <w:t>Dissemination of information on this topic at workshops and seminars organized for regulators, operators and the public</w:t>
            </w:r>
          </w:p>
        </w:tc>
        <w:tc>
          <w:tcPr>
            <w:tcW w:w="2399" w:type="dxa"/>
          </w:tcPr>
          <w:p w:rsidR="001D4022" w:rsidRPr="001D4022" w:rsidRDefault="001D4022" w:rsidP="001D4022">
            <w:pPr>
              <w:pStyle w:val="Tabletext"/>
              <w:spacing w:before="20"/>
              <w:rPr>
                <w:rFonts w:asciiTheme="minorHAnsi" w:hAnsiTheme="minorHAnsi" w:cs="Arial"/>
                <w:lang w:val="fr-CH"/>
              </w:rPr>
            </w:pPr>
            <w:r w:rsidRPr="001D4022">
              <w:rPr>
                <w:rFonts w:asciiTheme="minorHAnsi" w:hAnsiTheme="minorHAnsi" w:cs="Arial"/>
                <w:lang w:val="fr-CH"/>
              </w:rPr>
              <w:t>BDT, Rapporteur and Vice</w:t>
            </w:r>
            <w:r w:rsidRPr="001D4022">
              <w:rPr>
                <w:rFonts w:asciiTheme="minorHAnsi" w:hAnsiTheme="minorHAnsi" w:cs="Arial"/>
                <w:lang w:val="fr-CH"/>
              </w:rPr>
              <w:noBreakHyphen/>
              <w:t>Rapporteurs</w:t>
            </w:r>
          </w:p>
        </w:tc>
      </w:tr>
      <w:tr w:rsidR="001D4022" w:rsidRPr="00A51E5B" w:rsidTr="000C5108">
        <w:trPr>
          <w:cnfStyle w:val="000000010000" w:firstRow="0" w:lastRow="0" w:firstColumn="0" w:lastColumn="0" w:oddVBand="0" w:evenVBand="0" w:oddHBand="0" w:evenHBand="1" w:firstRowFirstColumn="0" w:firstRowLastColumn="0" w:lastRowFirstColumn="0" w:lastRowLastColumn="0"/>
        </w:trPr>
        <w:tc>
          <w:tcPr>
            <w:tcW w:w="2140" w:type="dxa"/>
          </w:tcPr>
          <w:p w:rsidR="001D4022" w:rsidRPr="00602504" w:rsidRDefault="001D4022" w:rsidP="001D4022">
            <w:pPr>
              <w:pStyle w:val="Tabletext"/>
              <w:spacing w:before="20"/>
              <w:rPr>
                <w:lang w:val="en-US"/>
              </w:rPr>
            </w:pPr>
            <w:r w:rsidRPr="00413C13">
              <w:t>September 2012</w:t>
            </w:r>
          </w:p>
        </w:tc>
        <w:tc>
          <w:tcPr>
            <w:tcW w:w="4533" w:type="dxa"/>
          </w:tcPr>
          <w:p w:rsidR="001D4022" w:rsidRPr="001D4022" w:rsidRDefault="001D4022" w:rsidP="001D4022">
            <w:pPr>
              <w:pStyle w:val="Tabletext"/>
              <w:spacing w:before="20"/>
              <w:rPr>
                <w:rFonts w:asciiTheme="minorHAnsi" w:hAnsiTheme="minorHAnsi"/>
                <w:lang w:val="en-US"/>
              </w:rPr>
            </w:pPr>
            <w:r w:rsidRPr="001D4022">
              <w:rPr>
                <w:rFonts w:asciiTheme="minorHAnsi" w:hAnsiTheme="minorHAnsi"/>
                <w:lang w:val="en-US"/>
              </w:rPr>
              <w:t>Rapporteur’s Group meeting:</w:t>
            </w:r>
          </w:p>
          <w:p w:rsidR="001D4022" w:rsidRPr="001D4022" w:rsidRDefault="001D4022" w:rsidP="001D4022">
            <w:pPr>
              <w:pStyle w:val="enumlev1"/>
              <w:tabs>
                <w:tab w:val="clear" w:pos="794"/>
                <w:tab w:val="left" w:pos="304"/>
              </w:tabs>
              <w:spacing w:before="20"/>
              <w:ind w:left="304" w:hanging="304"/>
              <w:rPr>
                <w:rFonts w:asciiTheme="minorHAnsi" w:hAnsiTheme="minorHAnsi"/>
                <w:sz w:val="19"/>
                <w:szCs w:val="19"/>
              </w:rPr>
            </w:pPr>
            <w:r w:rsidRPr="001D4022">
              <w:rPr>
                <w:rFonts w:asciiTheme="minorHAnsi" w:hAnsiTheme="minorHAnsi"/>
                <w:sz w:val="19"/>
                <w:szCs w:val="19"/>
              </w:rPr>
              <w:t>-</w:t>
            </w:r>
            <w:r w:rsidRPr="001D4022">
              <w:rPr>
                <w:rFonts w:asciiTheme="minorHAnsi" w:hAnsiTheme="minorHAnsi"/>
                <w:sz w:val="19"/>
                <w:szCs w:val="19"/>
              </w:rPr>
              <w:tab/>
              <w:t>Preparation of draft report</w:t>
            </w:r>
          </w:p>
          <w:p w:rsidR="001D4022" w:rsidRPr="001D4022" w:rsidRDefault="001D4022" w:rsidP="001D4022">
            <w:pPr>
              <w:pStyle w:val="enumlev1"/>
              <w:tabs>
                <w:tab w:val="clear" w:pos="794"/>
                <w:tab w:val="left" w:pos="304"/>
              </w:tabs>
              <w:spacing w:before="20"/>
              <w:ind w:left="304" w:hanging="304"/>
              <w:rPr>
                <w:rFonts w:asciiTheme="minorHAnsi" w:hAnsiTheme="minorHAnsi"/>
                <w:sz w:val="19"/>
                <w:szCs w:val="19"/>
              </w:rPr>
            </w:pPr>
            <w:r w:rsidRPr="001D4022">
              <w:rPr>
                <w:rFonts w:asciiTheme="minorHAnsi" w:hAnsiTheme="minorHAnsi"/>
                <w:sz w:val="19"/>
                <w:szCs w:val="19"/>
              </w:rPr>
              <w:t>-</w:t>
            </w:r>
            <w:r w:rsidRPr="001D4022">
              <w:rPr>
                <w:rFonts w:asciiTheme="minorHAnsi" w:hAnsiTheme="minorHAnsi"/>
                <w:sz w:val="19"/>
                <w:szCs w:val="19"/>
              </w:rPr>
              <w:tab/>
              <w:t>Consideration of contributions received</w:t>
            </w:r>
          </w:p>
          <w:p w:rsidR="001D4022" w:rsidRPr="001D4022" w:rsidRDefault="001D4022" w:rsidP="001D4022">
            <w:pPr>
              <w:pStyle w:val="enumlev1"/>
              <w:tabs>
                <w:tab w:val="clear" w:pos="794"/>
                <w:tab w:val="left" w:pos="304"/>
              </w:tabs>
              <w:spacing w:before="20"/>
              <w:ind w:left="304" w:hanging="304"/>
              <w:rPr>
                <w:rFonts w:asciiTheme="minorHAnsi" w:hAnsiTheme="minorHAnsi"/>
                <w:sz w:val="19"/>
                <w:szCs w:val="19"/>
              </w:rPr>
            </w:pPr>
            <w:r w:rsidRPr="001D4022">
              <w:rPr>
                <w:rFonts w:asciiTheme="minorHAnsi" w:hAnsiTheme="minorHAnsi"/>
                <w:sz w:val="19"/>
                <w:szCs w:val="19"/>
              </w:rPr>
              <w:t>-</w:t>
            </w:r>
            <w:r w:rsidRPr="001D4022">
              <w:rPr>
                <w:rFonts w:asciiTheme="minorHAnsi" w:hAnsiTheme="minorHAnsi"/>
                <w:sz w:val="19"/>
                <w:szCs w:val="19"/>
              </w:rPr>
              <w:tab/>
              <w:t>Call for new contributions</w:t>
            </w:r>
          </w:p>
        </w:tc>
        <w:tc>
          <w:tcPr>
            <w:tcW w:w="2399" w:type="dxa"/>
          </w:tcPr>
          <w:p w:rsidR="001D4022" w:rsidRPr="001D4022" w:rsidRDefault="001D4022" w:rsidP="001D4022">
            <w:pPr>
              <w:pStyle w:val="Tabletext"/>
              <w:spacing w:before="20"/>
              <w:rPr>
                <w:rFonts w:asciiTheme="minorHAnsi" w:hAnsiTheme="minorHAnsi"/>
                <w:lang w:val="en-US"/>
              </w:rPr>
            </w:pPr>
            <w:r w:rsidRPr="001D4022">
              <w:rPr>
                <w:rFonts w:asciiTheme="minorHAnsi" w:hAnsiTheme="minorHAnsi"/>
                <w:lang w:val="en-US"/>
              </w:rPr>
              <w:t>BDT, Rapporteur’s Group</w:t>
            </w:r>
          </w:p>
        </w:tc>
      </w:tr>
      <w:tr w:rsidR="001D4022" w:rsidRPr="00413C13" w:rsidTr="000C5108">
        <w:trPr>
          <w:cnfStyle w:val="000000100000" w:firstRow="0" w:lastRow="0" w:firstColumn="0" w:lastColumn="0" w:oddVBand="0" w:evenVBand="0" w:oddHBand="1" w:evenHBand="0" w:firstRowFirstColumn="0" w:firstRowLastColumn="0" w:lastRowFirstColumn="0" w:lastRowLastColumn="0"/>
        </w:trPr>
        <w:tc>
          <w:tcPr>
            <w:tcW w:w="2140" w:type="dxa"/>
          </w:tcPr>
          <w:p w:rsidR="001D4022" w:rsidRPr="00A51E5B" w:rsidRDefault="001D4022" w:rsidP="001D4022">
            <w:pPr>
              <w:pStyle w:val="Tabletext"/>
              <w:spacing w:before="20"/>
              <w:rPr>
                <w:lang w:val="en-US"/>
              </w:rPr>
            </w:pPr>
            <w:r w:rsidRPr="00A51E5B">
              <w:rPr>
                <w:lang w:val="en-US"/>
              </w:rPr>
              <w:t>March/April 2013</w:t>
            </w:r>
          </w:p>
        </w:tc>
        <w:tc>
          <w:tcPr>
            <w:tcW w:w="4533" w:type="dxa"/>
          </w:tcPr>
          <w:p w:rsidR="001D4022" w:rsidRPr="001D4022" w:rsidRDefault="001D4022" w:rsidP="001D4022">
            <w:pPr>
              <w:pStyle w:val="Tabletext"/>
              <w:spacing w:before="20"/>
              <w:rPr>
                <w:rFonts w:asciiTheme="minorHAnsi" w:hAnsiTheme="minorHAnsi"/>
                <w:lang w:val="en-US"/>
              </w:rPr>
            </w:pPr>
            <w:r w:rsidRPr="001D4022">
              <w:rPr>
                <w:rFonts w:asciiTheme="minorHAnsi" w:hAnsiTheme="minorHAnsi"/>
                <w:lang w:val="en-US"/>
              </w:rPr>
              <w:t>Rapporteur’s Group meeting:</w:t>
            </w:r>
          </w:p>
          <w:p w:rsidR="001D4022" w:rsidRPr="001D4022" w:rsidRDefault="001D4022" w:rsidP="001D4022">
            <w:pPr>
              <w:pStyle w:val="enumlev1"/>
              <w:tabs>
                <w:tab w:val="clear" w:pos="794"/>
                <w:tab w:val="left" w:pos="304"/>
              </w:tabs>
              <w:spacing w:before="20"/>
              <w:ind w:left="304" w:hanging="304"/>
              <w:rPr>
                <w:rFonts w:asciiTheme="minorHAnsi" w:hAnsiTheme="minorHAnsi"/>
                <w:sz w:val="19"/>
                <w:szCs w:val="19"/>
              </w:rPr>
            </w:pPr>
            <w:r w:rsidRPr="001D4022">
              <w:rPr>
                <w:rFonts w:asciiTheme="minorHAnsi" w:hAnsiTheme="minorHAnsi"/>
                <w:sz w:val="19"/>
                <w:szCs w:val="19"/>
              </w:rPr>
              <w:t>-</w:t>
            </w:r>
            <w:r w:rsidRPr="001D4022">
              <w:rPr>
                <w:rFonts w:asciiTheme="minorHAnsi" w:hAnsiTheme="minorHAnsi"/>
                <w:sz w:val="19"/>
                <w:szCs w:val="19"/>
              </w:rPr>
              <w:tab/>
              <w:t>Consideration and adoption of draft report</w:t>
            </w:r>
          </w:p>
          <w:p w:rsidR="001D4022" w:rsidRPr="001D4022" w:rsidRDefault="001D4022" w:rsidP="001D4022">
            <w:pPr>
              <w:pStyle w:val="enumlev1"/>
              <w:tabs>
                <w:tab w:val="clear" w:pos="794"/>
                <w:tab w:val="left" w:pos="304"/>
              </w:tabs>
              <w:spacing w:before="20"/>
              <w:ind w:left="304" w:hanging="304"/>
              <w:rPr>
                <w:rFonts w:asciiTheme="minorHAnsi" w:hAnsiTheme="minorHAnsi"/>
                <w:sz w:val="19"/>
                <w:szCs w:val="19"/>
              </w:rPr>
            </w:pPr>
            <w:r w:rsidRPr="001D4022">
              <w:rPr>
                <w:rFonts w:asciiTheme="minorHAnsi" w:hAnsiTheme="minorHAnsi"/>
                <w:sz w:val="19"/>
                <w:szCs w:val="19"/>
              </w:rPr>
              <w:t>-</w:t>
            </w:r>
            <w:r w:rsidRPr="001D4022">
              <w:rPr>
                <w:rFonts w:asciiTheme="minorHAnsi" w:hAnsiTheme="minorHAnsi"/>
                <w:sz w:val="19"/>
                <w:szCs w:val="19"/>
              </w:rPr>
              <w:tab/>
              <w:t>Consideration of contributions received</w:t>
            </w:r>
          </w:p>
          <w:p w:rsidR="001D4022" w:rsidRPr="001D4022" w:rsidRDefault="001D4022" w:rsidP="001D4022">
            <w:pPr>
              <w:pStyle w:val="enumlev1"/>
              <w:tabs>
                <w:tab w:val="clear" w:pos="794"/>
                <w:tab w:val="left" w:pos="304"/>
              </w:tabs>
              <w:spacing w:before="20"/>
              <w:ind w:left="304" w:hanging="304"/>
              <w:rPr>
                <w:rFonts w:asciiTheme="minorHAnsi" w:hAnsiTheme="minorHAnsi"/>
                <w:sz w:val="19"/>
                <w:szCs w:val="19"/>
                <w:shd w:val="clear" w:color="auto" w:fill="E6ECF9"/>
              </w:rPr>
            </w:pPr>
            <w:r w:rsidRPr="001D4022">
              <w:rPr>
                <w:rFonts w:asciiTheme="minorHAnsi" w:hAnsiTheme="minorHAnsi"/>
                <w:sz w:val="19"/>
                <w:szCs w:val="19"/>
              </w:rPr>
              <w:t>-</w:t>
            </w:r>
            <w:r w:rsidRPr="001D4022">
              <w:rPr>
                <w:rFonts w:asciiTheme="minorHAnsi" w:hAnsiTheme="minorHAnsi"/>
                <w:sz w:val="19"/>
                <w:szCs w:val="19"/>
              </w:rPr>
              <w:tab/>
              <w:t>Consideration of relevant documents of other Sectors and programmes</w:t>
            </w:r>
          </w:p>
        </w:tc>
        <w:tc>
          <w:tcPr>
            <w:tcW w:w="2399" w:type="dxa"/>
          </w:tcPr>
          <w:p w:rsidR="001D4022" w:rsidRPr="001D4022" w:rsidRDefault="001D4022" w:rsidP="001D4022">
            <w:pPr>
              <w:pStyle w:val="Tabletext"/>
              <w:spacing w:before="20"/>
              <w:rPr>
                <w:rFonts w:asciiTheme="minorHAnsi" w:hAnsiTheme="minorHAnsi"/>
              </w:rPr>
            </w:pPr>
            <w:r w:rsidRPr="001D4022">
              <w:rPr>
                <w:rFonts w:asciiTheme="minorHAnsi" w:hAnsiTheme="minorHAnsi"/>
              </w:rPr>
              <w:t>BDT, Rapporteur’s Group</w:t>
            </w:r>
          </w:p>
        </w:tc>
      </w:tr>
      <w:tr w:rsidR="001D4022" w:rsidRPr="00C71B8F" w:rsidTr="000C5108">
        <w:trPr>
          <w:cnfStyle w:val="000000010000" w:firstRow="0" w:lastRow="0" w:firstColumn="0" w:lastColumn="0" w:oddVBand="0" w:evenVBand="0" w:oddHBand="0" w:evenHBand="1" w:firstRowFirstColumn="0" w:firstRowLastColumn="0" w:lastRowFirstColumn="0" w:lastRowLastColumn="0"/>
        </w:trPr>
        <w:tc>
          <w:tcPr>
            <w:tcW w:w="2140" w:type="dxa"/>
          </w:tcPr>
          <w:p w:rsidR="001D4022" w:rsidRPr="00602504" w:rsidRDefault="001D4022" w:rsidP="001D4022">
            <w:pPr>
              <w:pStyle w:val="Tabletext"/>
              <w:spacing w:before="20"/>
            </w:pPr>
            <w:r w:rsidRPr="00413C13">
              <w:lastRenderedPageBreak/>
              <w:t>September 2013</w:t>
            </w:r>
          </w:p>
        </w:tc>
        <w:tc>
          <w:tcPr>
            <w:tcW w:w="4533" w:type="dxa"/>
          </w:tcPr>
          <w:p w:rsidR="001D4022" w:rsidRPr="001D4022" w:rsidRDefault="001D4022" w:rsidP="001D4022">
            <w:pPr>
              <w:pStyle w:val="Tabletext"/>
              <w:spacing w:before="20"/>
              <w:rPr>
                <w:rFonts w:asciiTheme="minorHAnsi" w:hAnsiTheme="minorHAnsi"/>
                <w:lang w:val="en-US"/>
              </w:rPr>
            </w:pPr>
            <w:r w:rsidRPr="001D4022">
              <w:rPr>
                <w:rFonts w:asciiTheme="minorHAnsi" w:hAnsiTheme="minorHAnsi"/>
                <w:lang w:val="en-US"/>
              </w:rPr>
              <w:t>Rapporteur’s Group meeting:</w:t>
            </w:r>
          </w:p>
          <w:p w:rsidR="001D4022" w:rsidRPr="001D4022" w:rsidRDefault="001D4022" w:rsidP="001D4022">
            <w:pPr>
              <w:pStyle w:val="enumlev1"/>
              <w:tabs>
                <w:tab w:val="clear" w:pos="794"/>
                <w:tab w:val="left" w:pos="304"/>
              </w:tabs>
              <w:spacing w:before="20"/>
              <w:ind w:left="304" w:hanging="304"/>
              <w:rPr>
                <w:rFonts w:asciiTheme="minorHAnsi" w:hAnsiTheme="minorHAnsi"/>
                <w:sz w:val="19"/>
                <w:szCs w:val="19"/>
              </w:rPr>
            </w:pPr>
            <w:r w:rsidRPr="001D4022">
              <w:rPr>
                <w:rFonts w:asciiTheme="minorHAnsi" w:hAnsiTheme="minorHAnsi"/>
                <w:sz w:val="19"/>
                <w:szCs w:val="19"/>
                <w:shd w:val="clear" w:color="auto" w:fill="FFFFFF"/>
              </w:rPr>
              <w:t>-</w:t>
            </w:r>
            <w:r w:rsidRPr="001D4022">
              <w:rPr>
                <w:rFonts w:asciiTheme="minorHAnsi" w:hAnsiTheme="minorHAnsi"/>
                <w:sz w:val="19"/>
                <w:szCs w:val="19"/>
                <w:shd w:val="clear" w:color="auto" w:fill="FFFFFF"/>
              </w:rPr>
              <w:tab/>
            </w:r>
            <w:r w:rsidRPr="001D4022">
              <w:rPr>
                <w:rFonts w:asciiTheme="minorHAnsi" w:hAnsiTheme="minorHAnsi"/>
                <w:sz w:val="19"/>
                <w:szCs w:val="19"/>
              </w:rPr>
              <w:t>Seminar</w:t>
            </w:r>
          </w:p>
          <w:p w:rsidR="001D4022" w:rsidRPr="001D4022" w:rsidRDefault="001D4022" w:rsidP="001D4022">
            <w:pPr>
              <w:pStyle w:val="enumlev1"/>
              <w:tabs>
                <w:tab w:val="clear" w:pos="794"/>
                <w:tab w:val="left" w:pos="304"/>
              </w:tabs>
              <w:spacing w:before="20"/>
              <w:ind w:left="304" w:hanging="304"/>
              <w:rPr>
                <w:rFonts w:asciiTheme="minorHAnsi" w:hAnsiTheme="minorHAnsi"/>
                <w:sz w:val="19"/>
                <w:szCs w:val="19"/>
              </w:rPr>
            </w:pPr>
            <w:r w:rsidRPr="001D4022">
              <w:rPr>
                <w:rFonts w:asciiTheme="minorHAnsi" w:hAnsiTheme="minorHAnsi"/>
                <w:sz w:val="19"/>
                <w:szCs w:val="19"/>
              </w:rPr>
              <w:t>-</w:t>
            </w:r>
            <w:r w:rsidRPr="001D4022">
              <w:rPr>
                <w:rFonts w:asciiTheme="minorHAnsi" w:hAnsiTheme="minorHAnsi"/>
                <w:sz w:val="19"/>
                <w:szCs w:val="19"/>
              </w:rPr>
              <w:tab/>
              <w:t>Presentation of draft report</w:t>
            </w:r>
          </w:p>
          <w:p w:rsidR="001D4022" w:rsidRPr="001D4022" w:rsidRDefault="001D4022" w:rsidP="001D4022">
            <w:pPr>
              <w:pStyle w:val="enumlev1"/>
              <w:tabs>
                <w:tab w:val="clear" w:pos="794"/>
                <w:tab w:val="left" w:pos="304"/>
              </w:tabs>
              <w:spacing w:before="20"/>
              <w:ind w:left="304" w:hanging="304"/>
              <w:rPr>
                <w:rFonts w:asciiTheme="minorHAnsi" w:hAnsiTheme="minorHAnsi"/>
                <w:sz w:val="19"/>
                <w:szCs w:val="19"/>
              </w:rPr>
            </w:pPr>
            <w:r w:rsidRPr="001D4022">
              <w:rPr>
                <w:rFonts w:asciiTheme="minorHAnsi" w:hAnsiTheme="minorHAnsi"/>
                <w:sz w:val="19"/>
                <w:szCs w:val="19"/>
              </w:rPr>
              <w:t>-</w:t>
            </w:r>
            <w:r w:rsidRPr="001D4022">
              <w:rPr>
                <w:rFonts w:asciiTheme="minorHAnsi" w:hAnsiTheme="minorHAnsi"/>
                <w:sz w:val="19"/>
                <w:szCs w:val="19"/>
              </w:rPr>
              <w:tab/>
              <w:t>Consideration of contributions received</w:t>
            </w:r>
          </w:p>
          <w:p w:rsidR="001D4022" w:rsidRPr="001D4022" w:rsidRDefault="001D4022" w:rsidP="001D4022">
            <w:pPr>
              <w:pStyle w:val="enumlev1"/>
              <w:tabs>
                <w:tab w:val="clear" w:pos="794"/>
                <w:tab w:val="left" w:pos="304"/>
              </w:tabs>
              <w:spacing w:before="20"/>
              <w:ind w:left="304" w:hanging="304"/>
              <w:rPr>
                <w:rFonts w:asciiTheme="minorHAnsi" w:hAnsiTheme="minorHAnsi"/>
                <w:sz w:val="19"/>
                <w:szCs w:val="19"/>
              </w:rPr>
            </w:pPr>
            <w:r w:rsidRPr="001D4022">
              <w:rPr>
                <w:rFonts w:asciiTheme="minorHAnsi" w:hAnsiTheme="minorHAnsi"/>
                <w:sz w:val="19"/>
                <w:szCs w:val="19"/>
              </w:rPr>
              <w:t>-</w:t>
            </w:r>
            <w:r w:rsidRPr="001D4022">
              <w:rPr>
                <w:rFonts w:asciiTheme="minorHAnsi" w:hAnsiTheme="minorHAnsi"/>
                <w:sz w:val="19"/>
                <w:szCs w:val="19"/>
              </w:rPr>
              <w:tab/>
              <w:t>Consideration of relevant documents of other Sectors and programmes</w:t>
            </w:r>
          </w:p>
        </w:tc>
        <w:tc>
          <w:tcPr>
            <w:tcW w:w="2399" w:type="dxa"/>
          </w:tcPr>
          <w:p w:rsidR="001D4022" w:rsidRPr="001D4022" w:rsidRDefault="001D4022" w:rsidP="001D4022">
            <w:pPr>
              <w:pStyle w:val="Tabletext"/>
              <w:spacing w:before="20"/>
              <w:rPr>
                <w:rFonts w:asciiTheme="minorHAnsi" w:hAnsiTheme="minorHAnsi"/>
                <w:lang w:val="en-US"/>
              </w:rPr>
            </w:pPr>
            <w:r w:rsidRPr="001D4022">
              <w:rPr>
                <w:rFonts w:asciiTheme="minorHAnsi" w:hAnsiTheme="minorHAnsi"/>
                <w:lang w:val="en-US"/>
              </w:rPr>
              <w:t>BDT, Rapporteur’s Group</w:t>
            </w:r>
          </w:p>
        </w:tc>
      </w:tr>
    </w:tbl>
    <w:p w:rsidR="001D4022" w:rsidRDefault="001D4022" w:rsidP="001D4022">
      <w:pPr>
        <w:pStyle w:val="Heading1"/>
        <w:spacing w:before="360" w:after="120"/>
        <w:rPr>
          <w:szCs w:val="19"/>
        </w:rPr>
      </w:pPr>
      <w:r>
        <w:rPr>
          <w:szCs w:val="19"/>
        </w:rPr>
        <w:br w:type="page"/>
      </w:r>
    </w:p>
    <w:p w:rsidR="00FD027D" w:rsidRPr="00C71B8F" w:rsidRDefault="00FD027D" w:rsidP="00FD027D">
      <w:pPr>
        <w:pStyle w:val="Heading1"/>
        <w:tabs>
          <w:tab w:val="left" w:pos="1418"/>
        </w:tabs>
        <w:spacing w:before="360" w:after="120"/>
        <w:rPr>
          <w:smallCaps/>
          <w:szCs w:val="19"/>
        </w:rPr>
      </w:pPr>
      <w:bookmarkStart w:id="164" w:name="_Toc374691850"/>
      <w:bookmarkStart w:id="165" w:name="_Toc377560489"/>
      <w:bookmarkStart w:id="166" w:name="_Toc361912451"/>
      <w:r w:rsidRPr="00C71B8F">
        <w:rPr>
          <w:szCs w:val="19"/>
        </w:rPr>
        <w:lastRenderedPageBreak/>
        <w:t xml:space="preserve">Annex 9: </w:t>
      </w:r>
      <w:r>
        <w:rPr>
          <w:szCs w:val="19"/>
        </w:rPr>
        <w:tab/>
      </w:r>
      <w:r w:rsidRPr="00C71B8F">
        <w:rPr>
          <w:szCs w:val="19"/>
        </w:rPr>
        <w:t>Documents for Q23/1</w:t>
      </w:r>
      <w:bookmarkEnd w:id="164"/>
      <w:r>
        <w:rPr>
          <w:rStyle w:val="FootnoteReference"/>
          <w:szCs w:val="19"/>
        </w:rPr>
        <w:footnoteReference w:customMarkFollows="1" w:id="34"/>
        <w:t>*</w:t>
      </w:r>
      <w:bookmarkEnd w:id="165"/>
    </w:p>
    <w:bookmarkEnd w:id="166"/>
    <w:p w:rsidR="00FD027D" w:rsidRPr="001970D2" w:rsidRDefault="00FD027D" w:rsidP="00FD027D">
      <w:pPr>
        <w:jc w:val="center"/>
        <w:rPr>
          <w:b/>
          <w:bCs/>
          <w:szCs w:val="19"/>
          <w:lang w:val="en-US"/>
        </w:rPr>
      </w:pPr>
    </w:p>
    <w:p w:rsidR="00FD027D" w:rsidRPr="007A19CC" w:rsidRDefault="00FD027D" w:rsidP="00FD027D">
      <w:pPr>
        <w:spacing w:before="0"/>
        <w:rPr>
          <w:szCs w:val="19"/>
          <w:lang w:val="en-US"/>
        </w:rPr>
      </w:pPr>
      <w:bookmarkStart w:id="167" w:name="_Toc361912452"/>
    </w:p>
    <w:p w:rsidR="00FD027D" w:rsidRPr="007A19CC" w:rsidRDefault="00FD027D" w:rsidP="00FD027D">
      <w:pPr>
        <w:spacing w:before="0"/>
        <w:rPr>
          <w:szCs w:val="19"/>
          <w:lang w:val="en-US"/>
        </w:rPr>
      </w:pPr>
    </w:p>
    <w:p w:rsidR="00FD027D" w:rsidRDefault="00FD027D" w:rsidP="00FD027D">
      <w:pPr>
        <w:pStyle w:val="CEOcontributionStart"/>
        <w:spacing w:before="120"/>
        <w:rPr>
          <w:b/>
          <w:lang w:val="en-US"/>
        </w:rPr>
      </w:pPr>
      <w:r>
        <w:rPr>
          <w:b/>
          <w:lang w:val="en-US"/>
        </w:rPr>
        <w:br w:type="page"/>
      </w:r>
    </w:p>
    <w:p w:rsidR="00FD027D" w:rsidRDefault="00FD027D" w:rsidP="00FD027D">
      <w:pPr>
        <w:pStyle w:val="Heading1"/>
        <w:tabs>
          <w:tab w:val="left" w:pos="1418"/>
        </w:tabs>
      </w:pPr>
      <w:bookmarkStart w:id="168" w:name="_Toc374691851"/>
      <w:bookmarkStart w:id="169" w:name="_Toc377560490"/>
      <w:r w:rsidRPr="00BA33FF">
        <w:lastRenderedPageBreak/>
        <w:t>A</w:t>
      </w:r>
      <w:r>
        <w:t>nnex</w:t>
      </w:r>
      <w:r w:rsidRPr="00BA33FF">
        <w:t xml:space="preserve"> 10: </w:t>
      </w:r>
      <w:r>
        <w:tab/>
      </w:r>
      <w:r w:rsidRPr="00C91548">
        <w:t>A case study from India on EMF</w:t>
      </w:r>
      <w:bookmarkEnd w:id="168"/>
      <w:bookmarkEnd w:id="169"/>
    </w:p>
    <w:p w:rsidR="00FD027D" w:rsidRPr="00C84BA8" w:rsidRDefault="00FD027D" w:rsidP="00976B7A">
      <w:pPr>
        <w:rPr>
          <w:lang w:val="en-US"/>
        </w:rPr>
      </w:pPr>
      <w:r w:rsidRPr="00C84BA8">
        <w:rPr>
          <w:lang w:val="en-US"/>
        </w:rPr>
        <w:t>This contribution is shared among the members for information and also for comments. ITU is also requested to consider and take appropriate action as per the findings of this contribution. Formation of a Focus Group cutting across ITU-T, ITU-R, ITU-D may be necessary to study the various aspects considering the importance of the issue.</w:t>
      </w:r>
    </w:p>
    <w:p w:rsidR="00FD027D" w:rsidRPr="00061F17" w:rsidRDefault="00FD027D" w:rsidP="00976B7A">
      <w:pPr>
        <w:rPr>
          <w:lang w:val="en-US"/>
        </w:rPr>
      </w:pPr>
      <w:r w:rsidRPr="00061F17">
        <w:rPr>
          <w:lang w:val="en-US"/>
        </w:rPr>
        <w:t xml:space="preserve">The deployment of different sources of electromagnetic fields to cater for the telecommunication and ICT needs of urban and rural communities has developed very rapidly over the past decade in India. This has been due to strong competition, presence of multiple operators (10 to 12 in each service area) on-going traffic growth, quality of service requirements, network coverage and introduction of new technologies. Indian Territory has been divided into 22 Licensing Service Areas for provision of mobile services in the country. Growing number of towers nearing more residential premises has produced increasing concern on the possible adverse effects of EMF exposure on people’s health. In India the issue has been raised by the public as well as by media. Accordingly, India adopted a policy on the EMF radiation covering Base Transmitting Station (BTS) and Mobile Handsets standard in the year 2008. </w:t>
      </w:r>
    </w:p>
    <w:p w:rsidR="00FD027D" w:rsidRPr="001D6905" w:rsidRDefault="00FD027D" w:rsidP="00FD027D">
      <w:pPr>
        <w:rPr>
          <w:rFonts w:eastAsia="Times New Roman" w:cs="Arial"/>
          <w:b/>
          <w:bCs/>
          <w:szCs w:val="19"/>
          <w:lang w:val="en-GB" w:bidi="hi-IN"/>
        </w:rPr>
      </w:pPr>
      <w:r w:rsidRPr="001D6905">
        <w:rPr>
          <w:rFonts w:eastAsia="Times New Roman" w:cs="Arial"/>
          <w:b/>
          <w:szCs w:val="19"/>
          <w:lang w:val="en-GB" w:bidi="hi-IN"/>
        </w:rPr>
        <w:t>1.</w:t>
      </w:r>
      <w:r w:rsidRPr="001D6905">
        <w:rPr>
          <w:rFonts w:eastAsia="Times New Roman" w:cs="Arial"/>
          <w:b/>
          <w:szCs w:val="19"/>
          <w:lang w:val="en-GB" w:bidi="hi-IN"/>
        </w:rPr>
        <w:tab/>
        <w:t>Statement of the situation</w:t>
      </w:r>
    </w:p>
    <w:p w:rsidR="00FD027D" w:rsidRPr="00061F17" w:rsidRDefault="00FD027D" w:rsidP="00FD027D">
      <w:pPr>
        <w:tabs>
          <w:tab w:val="left" w:pos="-4962"/>
        </w:tabs>
        <w:rPr>
          <w:rFonts w:eastAsia="MS Mincho" w:cs="Arial"/>
          <w:szCs w:val="19"/>
          <w:lang w:val="en-US"/>
        </w:rPr>
      </w:pPr>
      <w:r w:rsidRPr="00061F17">
        <w:rPr>
          <w:rFonts w:eastAsia="MS Mincho" w:cs="Arial"/>
          <w:szCs w:val="19"/>
          <w:lang w:val="en-US"/>
        </w:rPr>
        <w:t>1.1</w:t>
      </w:r>
      <w:r w:rsidRPr="00061F17">
        <w:rPr>
          <w:rFonts w:eastAsia="MS Mincho" w:cs="Arial"/>
          <w:szCs w:val="19"/>
          <w:lang w:val="en-US"/>
        </w:rPr>
        <w:tab/>
        <w:t xml:space="preserve">The deployment of different sources of electromagnetic fields to cater for the telecommunication and ICT needs of urban and rural communities has developed very rapidly over the past decade in India. This has been due to strong competition, presence of multiple operators (10 to 12 in each Service area) on-going traffic growth, quality of service requirements, network coverage and introduction of new technologies. Indian Territory has been divided into 22 Licensing Service Areas for provision of mobile services in the country. Licensed Service Area wise subscriber base for landline and mobile customer is enclosed as </w:t>
      </w:r>
      <w:r w:rsidRPr="00061F17">
        <w:rPr>
          <w:rFonts w:eastAsia="MS Mincho" w:cs="Arial"/>
          <w:b/>
          <w:szCs w:val="19"/>
          <w:lang w:val="en-US"/>
        </w:rPr>
        <w:t>Annex 10A</w:t>
      </w:r>
      <w:r w:rsidRPr="00061F17">
        <w:rPr>
          <w:rFonts w:eastAsia="MS Mincho" w:cs="Arial"/>
          <w:szCs w:val="19"/>
          <w:lang w:val="en-US"/>
        </w:rPr>
        <w:t>.</w:t>
      </w:r>
    </w:p>
    <w:p w:rsidR="00FD027D" w:rsidRPr="00061F17" w:rsidRDefault="00FD027D" w:rsidP="00FD027D">
      <w:pPr>
        <w:tabs>
          <w:tab w:val="left" w:pos="-4962"/>
        </w:tabs>
        <w:rPr>
          <w:rFonts w:eastAsia="MS Mincho" w:cs="Arial"/>
          <w:szCs w:val="19"/>
          <w:lang w:val="en-US"/>
        </w:rPr>
      </w:pPr>
      <w:r w:rsidRPr="00061F17">
        <w:rPr>
          <w:rFonts w:eastAsia="MS Mincho" w:cs="Arial"/>
          <w:szCs w:val="19"/>
          <w:lang w:val="en-US"/>
        </w:rPr>
        <w:t>1.2</w:t>
      </w:r>
      <w:r w:rsidRPr="00061F17">
        <w:rPr>
          <w:rFonts w:eastAsia="MS Mincho" w:cs="Arial"/>
          <w:szCs w:val="19"/>
          <w:lang w:val="en-US"/>
        </w:rPr>
        <w:tab/>
        <w:t xml:space="preserve">Growing number of towers nearing more residential premises has produced increasing concern on the possible adverse effects of EMF exposure on people’s health. In India the issue has been raised by the public as well as by media. Accordingly, India adopted a policy on the EMF radiation covering Base Transmitting Station (BTS) and Mobile Handsets standard in the year 2008. Licensed Service Area wise details of BTS installed in the country is enclosed as </w:t>
      </w:r>
      <w:r w:rsidRPr="00061F17">
        <w:rPr>
          <w:rFonts w:eastAsia="MS Mincho" w:cs="Arial"/>
          <w:b/>
          <w:szCs w:val="19"/>
          <w:lang w:val="en-US"/>
        </w:rPr>
        <w:t>Annex 10B</w:t>
      </w:r>
      <w:r w:rsidRPr="00061F17">
        <w:rPr>
          <w:rFonts w:eastAsia="MS Mincho" w:cs="Arial"/>
          <w:szCs w:val="19"/>
          <w:lang w:val="en-US"/>
        </w:rPr>
        <w:t>.</w:t>
      </w:r>
    </w:p>
    <w:p w:rsidR="00FD027D" w:rsidRPr="00061F17" w:rsidRDefault="00FD027D" w:rsidP="00FD027D">
      <w:pPr>
        <w:tabs>
          <w:tab w:val="left" w:pos="-4962"/>
        </w:tabs>
        <w:rPr>
          <w:rFonts w:eastAsia="MS Mincho" w:cs="Arial"/>
          <w:b/>
          <w:bCs/>
          <w:szCs w:val="19"/>
          <w:lang w:val="en-US"/>
        </w:rPr>
      </w:pPr>
      <w:r w:rsidRPr="00061F17">
        <w:rPr>
          <w:rFonts w:eastAsia="MS Mincho" w:cs="Arial"/>
          <w:b/>
          <w:szCs w:val="19"/>
          <w:lang w:val="en-US"/>
        </w:rPr>
        <w:t>2.</w:t>
      </w:r>
      <w:r w:rsidRPr="00061F17">
        <w:rPr>
          <w:rFonts w:eastAsia="MS Mincho" w:cs="Arial"/>
          <w:b/>
          <w:szCs w:val="19"/>
          <w:lang w:val="en-US"/>
        </w:rPr>
        <w:tab/>
        <w:t>Steps taken by Government of India</w:t>
      </w:r>
    </w:p>
    <w:p w:rsidR="00FD027D" w:rsidRPr="00061F17" w:rsidRDefault="00FD027D" w:rsidP="00FD027D">
      <w:pPr>
        <w:rPr>
          <w:rFonts w:cs="Arial"/>
          <w:szCs w:val="19"/>
          <w:lang w:val="en-US"/>
        </w:rPr>
      </w:pPr>
      <w:r w:rsidRPr="00061F17">
        <w:rPr>
          <w:rFonts w:cs="Arial"/>
          <w:szCs w:val="19"/>
          <w:lang w:val="en-US"/>
        </w:rPr>
        <w:t>2.1</w:t>
      </w:r>
      <w:r w:rsidRPr="00061F17">
        <w:rPr>
          <w:rFonts w:cs="Arial"/>
          <w:szCs w:val="19"/>
          <w:lang w:val="en-US"/>
        </w:rPr>
        <w:tab/>
        <w:t xml:space="preserve">In its Fact Sheet No. 304 of 2006, WHO recommended that </w:t>
      </w:r>
      <w:r w:rsidRPr="00061F17">
        <w:rPr>
          <w:rFonts w:cs="Arial"/>
          <w:i/>
          <w:szCs w:val="19"/>
          <w:lang w:val="en-US"/>
        </w:rPr>
        <w:t>‘National authorities should adopt international standards to protect their citizens against adverse levels of RF fields. They should restrict access to areas where exposure limits may be exceeded.’</w:t>
      </w:r>
      <w:r w:rsidRPr="00061F17">
        <w:rPr>
          <w:rFonts w:cs="Arial"/>
          <w:szCs w:val="19"/>
          <w:lang w:val="en-US"/>
        </w:rPr>
        <w:t xml:space="preserve">  WHO has referred to the International Exposure Guidelines developed by International Commission on Non-Ionizing Radiation Protection (ICNIRP).</w:t>
      </w:r>
    </w:p>
    <w:p w:rsidR="00FD027D" w:rsidRPr="00061F17" w:rsidRDefault="00FD027D" w:rsidP="00FD027D">
      <w:pPr>
        <w:tabs>
          <w:tab w:val="left" w:pos="-5670"/>
        </w:tabs>
        <w:rPr>
          <w:rFonts w:eastAsia="Times New Roman" w:cs="Arial"/>
          <w:szCs w:val="19"/>
          <w:lang w:val="en-US"/>
        </w:rPr>
      </w:pPr>
      <w:r w:rsidRPr="00061F17">
        <w:rPr>
          <w:rFonts w:eastAsia="Times New Roman" w:cs="Arial"/>
          <w:szCs w:val="19"/>
          <w:lang w:val="en-US"/>
        </w:rPr>
        <w:t>2.2</w:t>
      </w:r>
      <w:r w:rsidRPr="00061F17">
        <w:rPr>
          <w:rFonts w:eastAsia="Times New Roman" w:cs="Arial"/>
          <w:szCs w:val="19"/>
          <w:lang w:val="en-US"/>
        </w:rPr>
        <w:tab/>
        <w:t>Based on the recommendation of WHO, India adopted ICNIRP norms, in the year 2008, for basic restrictions &amp; reference level for limiting electro-magnetic field exposure from Base Stations as well as for mobile handsets and necessary provisions were made in the Unified Access Service Licence (Mobile Telephone Service operators’ license) on 4</w:t>
      </w:r>
      <w:r w:rsidRPr="00061F17">
        <w:rPr>
          <w:rFonts w:eastAsia="Times New Roman" w:cs="Arial"/>
          <w:szCs w:val="19"/>
          <w:vertAlign w:val="superscript"/>
          <w:lang w:val="en-US"/>
        </w:rPr>
        <w:t>th</w:t>
      </w:r>
      <w:r w:rsidRPr="00061F17">
        <w:rPr>
          <w:rFonts w:eastAsia="Times New Roman" w:cs="Arial"/>
          <w:szCs w:val="19"/>
          <w:lang w:val="en-US"/>
        </w:rPr>
        <w:t xml:space="preserve"> November, 2008. As per the provisions, </w:t>
      </w:r>
    </w:p>
    <w:p w:rsidR="00FD027D" w:rsidRPr="00061F17" w:rsidRDefault="00FD027D" w:rsidP="00FD027D">
      <w:pPr>
        <w:tabs>
          <w:tab w:val="left" w:pos="-5670"/>
        </w:tabs>
        <w:rPr>
          <w:rFonts w:eastAsia="Times New Roman" w:cs="Arial"/>
          <w:i/>
          <w:szCs w:val="19"/>
          <w:lang w:val="en-US"/>
        </w:rPr>
      </w:pPr>
      <w:r w:rsidRPr="00061F17">
        <w:rPr>
          <w:rFonts w:eastAsia="Times New Roman" w:cs="Arial"/>
          <w:i/>
          <w:szCs w:val="19"/>
          <w:lang w:val="en-US"/>
        </w:rPr>
        <w:t xml:space="preserve">“Licensee shall conduct audit and provide self certificates annually as per procedure prescribed by Telecommunication Engineering Centre (TEC) / or any other agency authorized by Licensor from time to time for conforming to limits / levels for antennae ( Base Station Emissions) for general public exposure as prescribed by International Commission on Non-Ionizing Radiation Protection (ICNIRP) from time to time”. </w:t>
      </w:r>
    </w:p>
    <w:p w:rsidR="00FD027D" w:rsidRDefault="00FD027D" w:rsidP="00FD027D">
      <w:pPr>
        <w:tabs>
          <w:tab w:val="left" w:pos="-5670"/>
        </w:tabs>
        <w:rPr>
          <w:rFonts w:cs="Arial"/>
          <w:szCs w:val="19"/>
          <w:lang w:val="en-US"/>
        </w:rPr>
      </w:pPr>
      <w:r>
        <w:rPr>
          <w:rFonts w:cs="Arial"/>
          <w:szCs w:val="19"/>
          <w:lang w:val="en-US"/>
        </w:rPr>
        <w:br w:type="page"/>
      </w:r>
    </w:p>
    <w:p w:rsidR="00FD027D" w:rsidRDefault="00FD027D" w:rsidP="00FD027D">
      <w:pPr>
        <w:tabs>
          <w:tab w:val="left" w:pos="-5670"/>
        </w:tabs>
        <w:rPr>
          <w:rFonts w:cs="Arial"/>
          <w:szCs w:val="19"/>
          <w:lang w:val="en-US"/>
        </w:rPr>
      </w:pPr>
      <w:r w:rsidRPr="00061F17">
        <w:rPr>
          <w:rFonts w:cs="Arial"/>
          <w:szCs w:val="19"/>
          <w:lang w:val="en-US"/>
        </w:rPr>
        <w:lastRenderedPageBreak/>
        <w:t>The ICNIRP limits/levels are reproduced as detailed below:</w:t>
      </w:r>
    </w:p>
    <w:p w:rsidR="00FD027D" w:rsidRPr="00061F17" w:rsidRDefault="00FD027D" w:rsidP="00FD027D">
      <w:pPr>
        <w:tabs>
          <w:tab w:val="left" w:pos="-5670"/>
        </w:tabs>
        <w:rPr>
          <w:rFonts w:cs="Arial"/>
          <w:szCs w:val="19"/>
          <w:lang w:val="en-US"/>
        </w:rPr>
      </w:pPr>
    </w:p>
    <w:tbl>
      <w:tblPr>
        <w:tblStyle w:val="Style1"/>
        <w:tblW w:w="4898" w:type="pct"/>
        <w:jc w:val="center"/>
        <w:tblInd w:w="135" w:type="dxa"/>
        <w:tblLook w:val="01E0" w:firstRow="1" w:lastRow="1" w:firstColumn="1" w:lastColumn="1" w:noHBand="0" w:noVBand="0"/>
      </w:tblPr>
      <w:tblGrid>
        <w:gridCol w:w="2268"/>
        <w:gridCol w:w="2245"/>
        <w:gridCol w:w="2405"/>
        <w:gridCol w:w="2180"/>
      </w:tblGrid>
      <w:tr w:rsidR="00FD027D" w:rsidRPr="00C84343" w:rsidTr="000C5108">
        <w:trPr>
          <w:cnfStyle w:val="100000000000" w:firstRow="1" w:lastRow="0" w:firstColumn="0" w:lastColumn="0" w:oddVBand="0" w:evenVBand="0" w:oddHBand="0" w:evenHBand="0" w:firstRowFirstColumn="0" w:firstRowLastColumn="0" w:lastRowFirstColumn="0" w:lastRowLastColumn="0"/>
          <w:jc w:val="center"/>
        </w:trPr>
        <w:tc>
          <w:tcPr>
            <w:tcW w:w="2268" w:type="dxa"/>
          </w:tcPr>
          <w:p w:rsidR="00FD027D" w:rsidRPr="001D6905" w:rsidRDefault="00FD027D" w:rsidP="000C5108">
            <w:pPr>
              <w:pStyle w:val="Tablehead"/>
            </w:pPr>
            <w:r w:rsidRPr="001D6905">
              <w:t>Frequency Range</w:t>
            </w:r>
          </w:p>
        </w:tc>
        <w:tc>
          <w:tcPr>
            <w:tcW w:w="2245" w:type="dxa"/>
          </w:tcPr>
          <w:p w:rsidR="00FD027D" w:rsidRPr="00061F17" w:rsidRDefault="00FD027D" w:rsidP="000C5108">
            <w:pPr>
              <w:pStyle w:val="Tablehead"/>
              <w:rPr>
                <w:lang w:val="de-CH"/>
              </w:rPr>
            </w:pPr>
            <w:r w:rsidRPr="00061F17">
              <w:rPr>
                <w:lang w:val="de-CH"/>
              </w:rPr>
              <w:t>E-Field Strength ( Volt/Meter (V/m))</w:t>
            </w:r>
          </w:p>
        </w:tc>
        <w:tc>
          <w:tcPr>
            <w:tcW w:w="2405" w:type="dxa"/>
          </w:tcPr>
          <w:p w:rsidR="00FD027D" w:rsidRPr="00061F17" w:rsidRDefault="00FD027D" w:rsidP="000C5108">
            <w:pPr>
              <w:pStyle w:val="Tablehead"/>
            </w:pPr>
            <w:r w:rsidRPr="00061F17">
              <w:t>H-Field Strength (Amp/Meter (A/m))</w:t>
            </w:r>
          </w:p>
        </w:tc>
        <w:tc>
          <w:tcPr>
            <w:tcW w:w="2180" w:type="dxa"/>
          </w:tcPr>
          <w:p w:rsidR="00FD027D" w:rsidRPr="00061F17" w:rsidRDefault="00FD027D" w:rsidP="000C5108">
            <w:pPr>
              <w:pStyle w:val="Tablehead"/>
            </w:pPr>
            <w:r w:rsidRPr="00061F17">
              <w:t>Power Density (Watt/Sq.Meter (W/Sq.m))</w:t>
            </w:r>
          </w:p>
        </w:tc>
      </w:tr>
      <w:tr w:rsidR="00FD027D" w:rsidRPr="001D6905" w:rsidTr="000C5108">
        <w:trPr>
          <w:cnfStyle w:val="000000100000" w:firstRow="0" w:lastRow="0" w:firstColumn="0" w:lastColumn="0" w:oddVBand="0" w:evenVBand="0" w:oddHBand="1" w:evenHBand="0" w:firstRowFirstColumn="0" w:firstRowLastColumn="0" w:lastRowFirstColumn="0" w:lastRowLastColumn="0"/>
          <w:jc w:val="center"/>
        </w:trPr>
        <w:tc>
          <w:tcPr>
            <w:tcW w:w="2268" w:type="dxa"/>
          </w:tcPr>
          <w:p w:rsidR="00FD027D" w:rsidRPr="001D6905" w:rsidRDefault="00FD027D" w:rsidP="000C5108">
            <w:pPr>
              <w:pStyle w:val="Tabletext"/>
            </w:pPr>
            <w:r w:rsidRPr="001D6905">
              <w:t>400MHz to 2000MHz</w:t>
            </w:r>
          </w:p>
        </w:tc>
        <w:tc>
          <w:tcPr>
            <w:tcW w:w="2245" w:type="dxa"/>
          </w:tcPr>
          <w:p w:rsidR="00FD027D" w:rsidRPr="001D6905" w:rsidRDefault="00FD027D" w:rsidP="000C5108">
            <w:pPr>
              <w:pStyle w:val="Tabletext"/>
            </w:pPr>
            <w:r w:rsidRPr="001D6905">
              <w:t xml:space="preserve">1.375f </w:t>
            </w:r>
            <w:r w:rsidRPr="001D6905">
              <w:rPr>
                <w:vertAlign w:val="superscript"/>
              </w:rPr>
              <w:t>½</w:t>
            </w:r>
          </w:p>
        </w:tc>
        <w:tc>
          <w:tcPr>
            <w:tcW w:w="2405" w:type="dxa"/>
          </w:tcPr>
          <w:p w:rsidR="00FD027D" w:rsidRPr="001D6905" w:rsidRDefault="00FD027D" w:rsidP="000C5108">
            <w:pPr>
              <w:pStyle w:val="Tabletext"/>
            </w:pPr>
            <w:r w:rsidRPr="001D6905">
              <w:t xml:space="preserve">0.0037f </w:t>
            </w:r>
            <w:r w:rsidRPr="001D6905">
              <w:rPr>
                <w:vertAlign w:val="superscript"/>
              </w:rPr>
              <w:t>½</w:t>
            </w:r>
          </w:p>
        </w:tc>
        <w:tc>
          <w:tcPr>
            <w:tcW w:w="2180" w:type="dxa"/>
          </w:tcPr>
          <w:p w:rsidR="00FD027D" w:rsidRPr="001D6905" w:rsidRDefault="00FD027D" w:rsidP="000C5108">
            <w:pPr>
              <w:pStyle w:val="Tabletext"/>
            </w:pPr>
            <w:r w:rsidRPr="001D6905">
              <w:t>f/200</w:t>
            </w:r>
          </w:p>
        </w:tc>
      </w:tr>
      <w:tr w:rsidR="00FD027D" w:rsidRPr="001D6905" w:rsidTr="000C5108">
        <w:trPr>
          <w:cnfStyle w:val="000000010000" w:firstRow="0" w:lastRow="0" w:firstColumn="0" w:lastColumn="0" w:oddVBand="0" w:evenVBand="0" w:oddHBand="0" w:evenHBand="1" w:firstRowFirstColumn="0" w:firstRowLastColumn="0" w:lastRowFirstColumn="0" w:lastRowLastColumn="0"/>
          <w:jc w:val="center"/>
        </w:trPr>
        <w:tc>
          <w:tcPr>
            <w:tcW w:w="2268" w:type="dxa"/>
          </w:tcPr>
          <w:p w:rsidR="00FD027D" w:rsidRPr="001D6905" w:rsidRDefault="00FD027D" w:rsidP="000C5108">
            <w:pPr>
              <w:pStyle w:val="Tabletext"/>
            </w:pPr>
            <w:r w:rsidRPr="001D6905">
              <w:t>2GHz to 300GHz</w:t>
            </w:r>
          </w:p>
        </w:tc>
        <w:tc>
          <w:tcPr>
            <w:tcW w:w="2245" w:type="dxa"/>
          </w:tcPr>
          <w:p w:rsidR="00FD027D" w:rsidRPr="001D6905" w:rsidRDefault="00FD027D" w:rsidP="000C5108">
            <w:pPr>
              <w:pStyle w:val="Tabletext"/>
            </w:pPr>
            <w:r w:rsidRPr="001D6905">
              <w:t>61</w:t>
            </w:r>
          </w:p>
        </w:tc>
        <w:tc>
          <w:tcPr>
            <w:tcW w:w="2405" w:type="dxa"/>
          </w:tcPr>
          <w:p w:rsidR="00FD027D" w:rsidRPr="001D6905" w:rsidRDefault="00FD027D" w:rsidP="000C5108">
            <w:pPr>
              <w:pStyle w:val="Tabletext"/>
            </w:pPr>
            <w:r w:rsidRPr="001D6905">
              <w:t>0.16</w:t>
            </w:r>
          </w:p>
        </w:tc>
        <w:tc>
          <w:tcPr>
            <w:tcW w:w="2180" w:type="dxa"/>
          </w:tcPr>
          <w:p w:rsidR="00FD027D" w:rsidRPr="001D6905" w:rsidRDefault="00FD027D" w:rsidP="000C5108">
            <w:pPr>
              <w:pStyle w:val="Tabletext"/>
            </w:pPr>
            <w:r w:rsidRPr="001D6905">
              <w:t>10</w:t>
            </w:r>
          </w:p>
        </w:tc>
      </w:tr>
    </w:tbl>
    <w:p w:rsidR="00FD027D" w:rsidRPr="001D6905" w:rsidRDefault="00FD027D" w:rsidP="00FD027D">
      <w:pPr>
        <w:pStyle w:val="Tablesource"/>
      </w:pPr>
      <w:r w:rsidRPr="001D6905">
        <w:t>(f = frequency in MHz)</w:t>
      </w:r>
    </w:p>
    <w:p w:rsidR="00FD027D" w:rsidRPr="001D6905" w:rsidRDefault="00FD027D" w:rsidP="00FD027D">
      <w:pPr>
        <w:tabs>
          <w:tab w:val="left" w:pos="-4962"/>
        </w:tabs>
        <w:rPr>
          <w:rFonts w:eastAsia="Calibri" w:cs="Arial"/>
          <w:szCs w:val="19"/>
        </w:rPr>
      </w:pPr>
      <w:r w:rsidRPr="00061F17">
        <w:rPr>
          <w:rFonts w:cs="Arial"/>
          <w:szCs w:val="19"/>
          <w:lang w:val="en-US"/>
        </w:rPr>
        <w:t>2.3</w:t>
      </w:r>
      <w:r w:rsidRPr="00061F17">
        <w:rPr>
          <w:rFonts w:cs="Arial"/>
          <w:szCs w:val="19"/>
          <w:lang w:val="en-US"/>
        </w:rPr>
        <w:tab/>
      </w:r>
      <w:r w:rsidRPr="00061F17">
        <w:rPr>
          <w:rFonts w:eastAsia="MS Mincho" w:cs="Arial"/>
          <w:szCs w:val="19"/>
          <w:lang w:val="en-US"/>
        </w:rPr>
        <w:t>Department of Telecommunications (DoT), Government of India further issued instructions on 8</w:t>
      </w:r>
      <w:r w:rsidRPr="00061F17">
        <w:rPr>
          <w:rFonts w:eastAsia="MS Mincho" w:cs="Arial"/>
          <w:szCs w:val="19"/>
          <w:vertAlign w:val="superscript"/>
          <w:lang w:val="en-US"/>
        </w:rPr>
        <w:t>th</w:t>
      </w:r>
      <w:r w:rsidRPr="00061F17">
        <w:rPr>
          <w:rFonts w:eastAsia="MS Mincho" w:cs="Arial"/>
          <w:szCs w:val="19"/>
          <w:lang w:val="en-US"/>
        </w:rPr>
        <w:t xml:space="preserve"> April, 2010 to all the mobile operators regarding implementation of radiation norms on Electro Magnetic Field (EMF) exposure by Base Transceiver Stations (BTSs) by submitting the self certification for each and every BTS. </w:t>
      </w:r>
      <w:r w:rsidRPr="001D6905">
        <w:rPr>
          <w:rFonts w:eastAsia="MS Mincho" w:cs="Arial"/>
          <w:szCs w:val="19"/>
        </w:rPr>
        <w:t xml:space="preserve">The instructions, </w:t>
      </w:r>
      <w:r w:rsidRPr="001D6905">
        <w:rPr>
          <w:rFonts w:eastAsia="Calibri" w:cs="Arial"/>
          <w:szCs w:val="19"/>
        </w:rPr>
        <w:t>inter-alia, include the following:</w:t>
      </w:r>
    </w:p>
    <w:p w:rsidR="00FD027D" w:rsidRPr="00061F17" w:rsidRDefault="00FD027D" w:rsidP="00FD027D">
      <w:pPr>
        <w:numPr>
          <w:ilvl w:val="0"/>
          <w:numId w:val="14"/>
        </w:numPr>
        <w:spacing w:after="120"/>
        <w:ind w:left="567" w:hanging="567"/>
        <w:jc w:val="left"/>
        <w:rPr>
          <w:rFonts w:eastAsia="Calibri" w:cs="Arial"/>
          <w:szCs w:val="19"/>
          <w:lang w:val="en-US"/>
        </w:rPr>
      </w:pPr>
      <w:r w:rsidRPr="00061F17">
        <w:rPr>
          <w:rFonts w:eastAsia="Calibri" w:cs="Arial"/>
          <w:szCs w:val="19"/>
          <w:lang w:val="en-US"/>
        </w:rPr>
        <w:t>All Base Station Transceivers (BTSs) must be self certified as meeting the radiation norms.  Self certification is submitted to respective Telecom Enforcement Resource &amp; Monitoring (TERM) Cells of DoT by the telecom service providers.</w:t>
      </w:r>
    </w:p>
    <w:p w:rsidR="00FD027D" w:rsidRPr="00061F17" w:rsidRDefault="00FD027D" w:rsidP="00FD027D">
      <w:pPr>
        <w:numPr>
          <w:ilvl w:val="0"/>
          <w:numId w:val="14"/>
        </w:numPr>
        <w:tabs>
          <w:tab w:val="left" w:pos="-5103"/>
        </w:tabs>
        <w:spacing w:after="120"/>
        <w:ind w:left="567" w:hanging="567"/>
        <w:jc w:val="left"/>
        <w:rPr>
          <w:rFonts w:eastAsia="Calibri" w:cs="Arial"/>
          <w:szCs w:val="19"/>
          <w:lang w:val="en-US"/>
        </w:rPr>
      </w:pPr>
      <w:r w:rsidRPr="00061F17">
        <w:rPr>
          <w:rFonts w:eastAsia="Calibri" w:cs="Arial"/>
          <w:szCs w:val="19"/>
          <w:lang w:val="en-US"/>
        </w:rPr>
        <w:t>All new BTS sites start radiating only after self certificate has been submitted to relevant TERM Cells.</w:t>
      </w:r>
    </w:p>
    <w:p w:rsidR="00FD027D" w:rsidRPr="00061F17" w:rsidRDefault="00FD027D" w:rsidP="00FD027D">
      <w:pPr>
        <w:numPr>
          <w:ilvl w:val="0"/>
          <w:numId w:val="14"/>
        </w:numPr>
        <w:spacing w:after="120"/>
        <w:ind w:left="567" w:hanging="567"/>
        <w:jc w:val="left"/>
        <w:rPr>
          <w:rFonts w:eastAsia="Calibri" w:cs="Arial"/>
          <w:szCs w:val="19"/>
          <w:lang w:val="en-US"/>
        </w:rPr>
      </w:pPr>
      <w:r w:rsidRPr="00061F17">
        <w:rPr>
          <w:rFonts w:eastAsia="Calibri" w:cs="Arial"/>
          <w:szCs w:val="19"/>
          <w:lang w:val="en-US"/>
        </w:rPr>
        <w:t>The TERM Cell tests upto 10 per cent of BTS sites randomly at its discretion.  Additionally, BTS sites against which there are public complaints are also be tested by TERM Cell.</w:t>
      </w:r>
    </w:p>
    <w:p w:rsidR="00FD027D" w:rsidRPr="00061F17" w:rsidRDefault="00FD027D" w:rsidP="00FD027D">
      <w:pPr>
        <w:numPr>
          <w:ilvl w:val="0"/>
          <w:numId w:val="14"/>
        </w:numPr>
        <w:spacing w:after="120"/>
        <w:ind w:left="567" w:hanging="567"/>
        <w:jc w:val="left"/>
        <w:rPr>
          <w:rFonts w:eastAsia="Calibri" w:cs="Arial"/>
          <w:szCs w:val="19"/>
          <w:lang w:val="en-US"/>
        </w:rPr>
      </w:pPr>
      <w:r w:rsidRPr="00061F17">
        <w:rPr>
          <w:rFonts w:eastAsia="Calibri" w:cs="Arial"/>
          <w:szCs w:val="19"/>
          <w:lang w:val="en-US"/>
        </w:rPr>
        <w:t>If a site fails to meet the Electro Magnetic Radiation criterion, there is a provision of penalty of Rs.5 lakh (about US$10,000) per BTS per service provider. Service providers must meet the criterion within one month of the report of TERM Cell in such cases, after which site will be shut down.</w:t>
      </w:r>
    </w:p>
    <w:p w:rsidR="00FD027D" w:rsidRDefault="00FD027D" w:rsidP="00FD027D">
      <w:pPr>
        <w:rPr>
          <w:rFonts w:cs="Arial"/>
          <w:szCs w:val="19"/>
          <w:lang w:val="en-US"/>
        </w:rPr>
      </w:pPr>
      <w:r w:rsidRPr="00061F17">
        <w:rPr>
          <w:rFonts w:cs="Arial"/>
          <w:szCs w:val="19"/>
          <w:lang w:val="en-US"/>
        </w:rPr>
        <w:t>2.4</w:t>
      </w:r>
      <w:r w:rsidRPr="00061F17">
        <w:rPr>
          <w:rFonts w:cs="Arial"/>
          <w:szCs w:val="19"/>
          <w:lang w:val="en-US"/>
        </w:rPr>
        <w:tab/>
        <w:t>In year 2008, Department of Telecommunications had adopted International Commission on Non-Ionizing Radiation Protection (ICNIRP) guidelines for mobile handsets also. ICNIRP prescribed the following values for Specific Absorption Rate (SAR) for mobile handset:</w:t>
      </w:r>
    </w:p>
    <w:p w:rsidR="00FD027D" w:rsidRPr="00061F17" w:rsidRDefault="00FD027D" w:rsidP="00FD027D">
      <w:pPr>
        <w:rPr>
          <w:rFonts w:cs="Arial"/>
          <w:szCs w:val="19"/>
          <w:lang w:val="en-US"/>
        </w:rPr>
      </w:pPr>
    </w:p>
    <w:tbl>
      <w:tblPr>
        <w:tblStyle w:val="Style1"/>
        <w:tblW w:w="4913" w:type="pct"/>
        <w:jc w:val="center"/>
        <w:tblInd w:w="162" w:type="dxa"/>
        <w:tblLook w:val="04A0" w:firstRow="1" w:lastRow="0" w:firstColumn="1" w:lastColumn="0" w:noHBand="0" w:noVBand="1"/>
      </w:tblPr>
      <w:tblGrid>
        <w:gridCol w:w="2156"/>
        <w:gridCol w:w="2269"/>
        <w:gridCol w:w="2350"/>
        <w:gridCol w:w="2350"/>
      </w:tblGrid>
      <w:tr w:rsidR="00FD027D" w:rsidRPr="00C84343" w:rsidTr="000C5108">
        <w:trPr>
          <w:cnfStyle w:val="100000000000" w:firstRow="1" w:lastRow="0" w:firstColumn="0" w:lastColumn="0" w:oddVBand="0" w:evenVBand="0" w:oddHBand="0" w:evenHBand="0" w:firstRowFirstColumn="0" w:firstRowLastColumn="0" w:lastRowFirstColumn="0" w:lastRowLastColumn="0"/>
          <w:jc w:val="center"/>
        </w:trPr>
        <w:tc>
          <w:tcPr>
            <w:tcW w:w="2156" w:type="dxa"/>
          </w:tcPr>
          <w:p w:rsidR="00FD027D" w:rsidRPr="00061F17" w:rsidRDefault="00FD027D" w:rsidP="000C5108">
            <w:pPr>
              <w:pStyle w:val="Tablehead"/>
            </w:pPr>
            <w:r w:rsidRPr="00061F17">
              <w:t xml:space="preserve">For Frequency Range </w:t>
            </w:r>
            <w:r>
              <w:br/>
            </w:r>
            <w:r w:rsidRPr="00061F17">
              <w:t>10 MHz to 10 GHz</w:t>
            </w:r>
          </w:p>
        </w:tc>
        <w:tc>
          <w:tcPr>
            <w:tcW w:w="2269" w:type="dxa"/>
          </w:tcPr>
          <w:p w:rsidR="00FD027D" w:rsidRPr="00061F17" w:rsidRDefault="00FD027D" w:rsidP="000C5108">
            <w:pPr>
              <w:pStyle w:val="Tablehead"/>
            </w:pPr>
            <w:r w:rsidRPr="00061F17">
              <w:t>Whole body average SAR (W/Kg)</w:t>
            </w:r>
          </w:p>
        </w:tc>
        <w:tc>
          <w:tcPr>
            <w:tcW w:w="2350" w:type="dxa"/>
          </w:tcPr>
          <w:p w:rsidR="00FD027D" w:rsidRPr="00061F17" w:rsidRDefault="00FD027D" w:rsidP="000C5108">
            <w:pPr>
              <w:pStyle w:val="Tablehead"/>
            </w:pPr>
            <w:r w:rsidRPr="00061F17">
              <w:t>Localised SAR head &amp; trunk (W/Kg)</w:t>
            </w:r>
          </w:p>
        </w:tc>
        <w:tc>
          <w:tcPr>
            <w:tcW w:w="2350" w:type="dxa"/>
          </w:tcPr>
          <w:p w:rsidR="00FD027D" w:rsidRPr="00061F17" w:rsidRDefault="00FD027D" w:rsidP="000C5108">
            <w:pPr>
              <w:pStyle w:val="Tablehead"/>
            </w:pPr>
            <w:r w:rsidRPr="00061F17">
              <w:t>Localised SAR limbs (W/Kg)</w:t>
            </w:r>
          </w:p>
        </w:tc>
      </w:tr>
      <w:tr w:rsidR="00FD027D" w:rsidRPr="001D6905" w:rsidTr="000C5108">
        <w:trPr>
          <w:cnfStyle w:val="000000100000" w:firstRow="0" w:lastRow="0" w:firstColumn="0" w:lastColumn="0" w:oddVBand="0" w:evenVBand="0" w:oddHBand="1" w:evenHBand="0" w:firstRowFirstColumn="0" w:firstRowLastColumn="0" w:lastRowFirstColumn="0" w:lastRowLastColumn="0"/>
          <w:jc w:val="center"/>
        </w:trPr>
        <w:tc>
          <w:tcPr>
            <w:tcW w:w="2156" w:type="dxa"/>
          </w:tcPr>
          <w:p w:rsidR="00FD027D" w:rsidRPr="001D6905" w:rsidRDefault="00FD027D" w:rsidP="000C5108">
            <w:pPr>
              <w:pStyle w:val="Tabletext"/>
            </w:pPr>
            <w:r w:rsidRPr="001D6905">
              <w:t>General Public Exposure</w:t>
            </w:r>
          </w:p>
        </w:tc>
        <w:tc>
          <w:tcPr>
            <w:tcW w:w="2269" w:type="dxa"/>
          </w:tcPr>
          <w:p w:rsidR="00FD027D" w:rsidRPr="001D6905" w:rsidRDefault="00FD027D" w:rsidP="000C5108">
            <w:pPr>
              <w:pStyle w:val="Tabletext"/>
            </w:pPr>
            <w:r w:rsidRPr="001D6905">
              <w:t>0.08</w:t>
            </w:r>
          </w:p>
        </w:tc>
        <w:tc>
          <w:tcPr>
            <w:tcW w:w="2350" w:type="dxa"/>
          </w:tcPr>
          <w:p w:rsidR="00FD027D" w:rsidRPr="001D6905" w:rsidRDefault="00FD027D" w:rsidP="000C5108">
            <w:pPr>
              <w:pStyle w:val="Tabletext"/>
            </w:pPr>
            <w:r w:rsidRPr="001D6905">
              <w:t>2</w:t>
            </w:r>
          </w:p>
        </w:tc>
        <w:tc>
          <w:tcPr>
            <w:tcW w:w="2350" w:type="dxa"/>
          </w:tcPr>
          <w:p w:rsidR="00FD027D" w:rsidRPr="001D6905" w:rsidRDefault="00FD027D" w:rsidP="000C5108">
            <w:pPr>
              <w:pStyle w:val="Tabletext"/>
            </w:pPr>
            <w:r w:rsidRPr="001D6905">
              <w:t>4</w:t>
            </w:r>
          </w:p>
        </w:tc>
      </w:tr>
    </w:tbl>
    <w:p w:rsidR="00FD027D" w:rsidRDefault="00FD027D" w:rsidP="00FD027D">
      <w:pPr>
        <w:rPr>
          <w:rFonts w:cs="Arial"/>
          <w:szCs w:val="19"/>
          <w:lang w:val="en-US"/>
        </w:rPr>
      </w:pPr>
    </w:p>
    <w:p w:rsidR="00FD027D" w:rsidRPr="00061F17" w:rsidRDefault="00FD027D" w:rsidP="00FD027D">
      <w:pPr>
        <w:rPr>
          <w:rFonts w:eastAsia="Calibri" w:cs="Arial"/>
          <w:szCs w:val="19"/>
          <w:lang w:val="en-US"/>
        </w:rPr>
      </w:pPr>
      <w:r w:rsidRPr="00061F17">
        <w:rPr>
          <w:rFonts w:cs="Arial"/>
          <w:szCs w:val="19"/>
          <w:lang w:val="en-US"/>
        </w:rPr>
        <w:t>2.5</w:t>
      </w:r>
      <w:r w:rsidRPr="00061F17">
        <w:rPr>
          <w:rFonts w:cs="Arial"/>
          <w:szCs w:val="19"/>
          <w:lang w:val="en-US"/>
        </w:rPr>
        <w:tab/>
      </w:r>
      <w:r w:rsidRPr="00061F17">
        <w:rPr>
          <w:rFonts w:eastAsia="Calibri" w:cs="Arial"/>
          <w:szCs w:val="19"/>
          <w:lang w:val="en-US"/>
        </w:rPr>
        <w:t xml:space="preserve">For the mobile handsets, DoT, in the year 2008, had issued instructions to the indigenous manufacturers to conform to ICNIRP prescribed Specific Absorption Rate (SAR) limit of 2 W/kg (averaged over 10 gm tissue) in the frequency range of 10 MHz to 10 GHz. </w:t>
      </w:r>
    </w:p>
    <w:p w:rsidR="00FD027D" w:rsidRPr="00061F17" w:rsidRDefault="00FD027D" w:rsidP="00FD027D">
      <w:pPr>
        <w:rPr>
          <w:rFonts w:cs="Arial"/>
          <w:b/>
          <w:bCs/>
          <w:szCs w:val="19"/>
          <w:lang w:val="en-US"/>
        </w:rPr>
      </w:pPr>
      <w:r w:rsidRPr="00061F17">
        <w:rPr>
          <w:rFonts w:cs="Arial"/>
          <w:b/>
          <w:szCs w:val="19"/>
          <w:lang w:val="en-US"/>
        </w:rPr>
        <w:t>3.</w:t>
      </w:r>
      <w:r w:rsidRPr="00061F17">
        <w:rPr>
          <w:rFonts w:cs="Arial"/>
          <w:b/>
          <w:szCs w:val="19"/>
          <w:lang w:val="en-US"/>
        </w:rPr>
        <w:tab/>
        <w:t>Inter-Ministerial Committee</w:t>
      </w:r>
    </w:p>
    <w:p w:rsidR="00FD027D" w:rsidRPr="00061F17" w:rsidRDefault="00FD027D" w:rsidP="00FD027D">
      <w:pPr>
        <w:rPr>
          <w:rFonts w:cs="Arial"/>
          <w:bCs/>
          <w:szCs w:val="19"/>
          <w:lang w:val="en-US"/>
        </w:rPr>
      </w:pPr>
      <w:r w:rsidRPr="00061F17">
        <w:rPr>
          <w:rFonts w:cs="Arial"/>
          <w:szCs w:val="19"/>
          <w:lang w:val="en-US"/>
        </w:rPr>
        <w:t>3.1</w:t>
      </w:r>
      <w:r w:rsidRPr="00061F17">
        <w:rPr>
          <w:rFonts w:cs="Arial"/>
          <w:szCs w:val="19"/>
          <w:lang w:val="en-US"/>
        </w:rPr>
        <w:tab/>
        <w:t xml:space="preserve">Subsequently, based on public concern and media reports, Government of India set up an Inter-Ministerial Committee (IMC) on 24.08.2010 consisting of representatives from DoT, Indian Council of Medical Research (Ministry of Health), Department of Biotechnology and Ministry of Environment and Forest to examine the effect of EMF Radiation from mobile base stations and mobile phones. </w:t>
      </w:r>
    </w:p>
    <w:p w:rsidR="00FD027D" w:rsidRPr="00061F17" w:rsidRDefault="00FD027D" w:rsidP="00FD027D">
      <w:pPr>
        <w:autoSpaceDE w:val="0"/>
        <w:autoSpaceDN w:val="0"/>
        <w:rPr>
          <w:rFonts w:cs="Arial"/>
          <w:szCs w:val="19"/>
          <w:lang w:val="en-US"/>
        </w:rPr>
      </w:pPr>
      <w:r w:rsidRPr="00061F17">
        <w:rPr>
          <w:rFonts w:cs="Arial"/>
          <w:szCs w:val="19"/>
          <w:lang w:val="en-US"/>
        </w:rPr>
        <w:t>3.2</w:t>
      </w:r>
      <w:r w:rsidRPr="00061F17">
        <w:rPr>
          <w:rFonts w:cs="Arial"/>
          <w:szCs w:val="19"/>
          <w:lang w:val="en-US"/>
        </w:rPr>
        <w:tab/>
        <w:t>Inter-Ministerial Committee (IMC) in its report submitted in the year 2011 examined the environmental and health related concerns and indicated that most of the laboratory studies were unable to find a direct link between exposure to radio frequency radiation and health; and the scientific studies as yet have not been able to confirm a cause and effect relationship between radio frequency radiation and health. The effect of emission from cell phone towers is not known yet with certainty. The inter-ministerial committee (IMC) examined 90 international and national studies/reference papers, related with the EMF radiation, before finalizing its recommendations.</w:t>
      </w:r>
    </w:p>
    <w:p w:rsidR="00FD027D" w:rsidRPr="00061F17" w:rsidRDefault="00FD027D" w:rsidP="00FD027D">
      <w:pPr>
        <w:rPr>
          <w:rFonts w:cs="Arial"/>
          <w:bCs/>
          <w:szCs w:val="19"/>
          <w:lang w:val="en-US"/>
        </w:rPr>
      </w:pPr>
      <w:r w:rsidRPr="00061F17">
        <w:rPr>
          <w:rFonts w:cs="Arial"/>
          <w:szCs w:val="19"/>
          <w:lang w:val="en-US"/>
        </w:rPr>
        <w:lastRenderedPageBreak/>
        <w:t>3.3</w:t>
      </w:r>
      <w:r w:rsidRPr="00061F17">
        <w:rPr>
          <w:rFonts w:cs="Arial"/>
          <w:szCs w:val="19"/>
          <w:lang w:val="en-US"/>
        </w:rPr>
        <w:tab/>
        <w:t>However, as a precautionary measure, IMC recommended for lowering of the BTS RF exposure limits to 1/10</w:t>
      </w:r>
      <w:r w:rsidRPr="00061F17">
        <w:rPr>
          <w:rFonts w:cs="Arial"/>
          <w:szCs w:val="19"/>
          <w:vertAlign w:val="superscript"/>
          <w:lang w:val="en-US"/>
        </w:rPr>
        <w:t>th</w:t>
      </w:r>
      <w:r w:rsidRPr="00061F17">
        <w:rPr>
          <w:rFonts w:cs="Arial"/>
          <w:szCs w:val="19"/>
          <w:lang w:val="en-US"/>
        </w:rPr>
        <w:t xml:space="preserve"> of the ICNIRP limit and adoption of Specific Absorption Rate (SAR) level for mobile handsets limits to 1.6 Watt/Kg (averaged over 1 gm of tissue) in place 2.0 Watt/Kg in India.</w:t>
      </w:r>
    </w:p>
    <w:p w:rsidR="00FD027D" w:rsidRDefault="00FD027D" w:rsidP="00FD027D">
      <w:pPr>
        <w:rPr>
          <w:rFonts w:cs="Arial"/>
          <w:szCs w:val="19"/>
          <w:lang w:val="en-US"/>
        </w:rPr>
      </w:pPr>
      <w:r w:rsidRPr="00061F17">
        <w:rPr>
          <w:rFonts w:cs="Arial"/>
          <w:szCs w:val="19"/>
          <w:lang w:val="en-US"/>
        </w:rPr>
        <w:t>3.4</w:t>
      </w:r>
      <w:r w:rsidRPr="00061F17">
        <w:rPr>
          <w:rFonts w:cs="Arial"/>
          <w:szCs w:val="19"/>
          <w:lang w:val="en-US"/>
        </w:rPr>
        <w:tab/>
        <w:t>The recommendations of the Inter Ministerial Committee were accepted by the Government of India. Accordingly, in respect of BTS, norms for exposure limit for the Radio Frequency Field (Base Station Emissions) were reduced to 1/10</w:t>
      </w:r>
      <w:r w:rsidRPr="00061F17">
        <w:rPr>
          <w:rFonts w:cs="Arial"/>
          <w:szCs w:val="19"/>
          <w:vertAlign w:val="superscript"/>
          <w:lang w:val="en-US"/>
        </w:rPr>
        <w:t>th</w:t>
      </w:r>
      <w:r w:rsidRPr="00061F17">
        <w:rPr>
          <w:rFonts w:cs="Arial"/>
          <w:szCs w:val="19"/>
          <w:lang w:val="en-US"/>
        </w:rPr>
        <w:t xml:space="preserve"> of the limits prescribed by ICNIRP with effect from 1</w:t>
      </w:r>
      <w:r w:rsidRPr="00061F17">
        <w:rPr>
          <w:rFonts w:cs="Arial"/>
          <w:szCs w:val="19"/>
          <w:vertAlign w:val="superscript"/>
          <w:lang w:val="en-US"/>
        </w:rPr>
        <w:t>st</w:t>
      </w:r>
      <w:r w:rsidRPr="00061F17">
        <w:rPr>
          <w:rFonts w:cs="Arial"/>
          <w:szCs w:val="19"/>
          <w:lang w:val="en-US"/>
        </w:rPr>
        <w:t xml:space="preserve"> September 2012. The revised limits/levels for India for BTS Emission is as below:</w:t>
      </w:r>
    </w:p>
    <w:p w:rsidR="00FD027D" w:rsidRPr="00061F17" w:rsidRDefault="00FD027D" w:rsidP="00FD027D">
      <w:pPr>
        <w:rPr>
          <w:rFonts w:cs="Arial"/>
          <w:bCs/>
          <w:szCs w:val="19"/>
          <w:lang w:val="en-US"/>
        </w:rPr>
      </w:pPr>
    </w:p>
    <w:tbl>
      <w:tblPr>
        <w:tblStyle w:val="Style1"/>
        <w:tblW w:w="4913" w:type="pct"/>
        <w:jc w:val="center"/>
        <w:tblInd w:w="162" w:type="dxa"/>
        <w:tblLook w:val="01E0" w:firstRow="1" w:lastRow="1" w:firstColumn="1" w:lastColumn="1" w:noHBand="0" w:noVBand="0"/>
      </w:tblPr>
      <w:tblGrid>
        <w:gridCol w:w="2157"/>
        <w:gridCol w:w="2161"/>
        <w:gridCol w:w="2659"/>
        <w:gridCol w:w="2148"/>
      </w:tblGrid>
      <w:tr w:rsidR="00FD027D" w:rsidRPr="00C84343" w:rsidTr="000C5108">
        <w:trPr>
          <w:cnfStyle w:val="100000000000" w:firstRow="1" w:lastRow="0" w:firstColumn="0" w:lastColumn="0" w:oddVBand="0" w:evenVBand="0" w:oddHBand="0" w:evenHBand="0" w:firstRowFirstColumn="0" w:firstRowLastColumn="0" w:lastRowFirstColumn="0" w:lastRowLastColumn="0"/>
          <w:jc w:val="center"/>
        </w:trPr>
        <w:tc>
          <w:tcPr>
            <w:tcW w:w="2157" w:type="dxa"/>
          </w:tcPr>
          <w:p w:rsidR="00FD027D" w:rsidRPr="001D6905" w:rsidRDefault="00FD027D" w:rsidP="000C5108">
            <w:pPr>
              <w:pStyle w:val="Tablehead"/>
            </w:pPr>
            <w:r w:rsidRPr="001D6905">
              <w:t>Frequency Range</w:t>
            </w:r>
          </w:p>
        </w:tc>
        <w:tc>
          <w:tcPr>
            <w:tcW w:w="2161" w:type="dxa"/>
          </w:tcPr>
          <w:p w:rsidR="00FD027D" w:rsidRPr="00061F17" w:rsidRDefault="00FD027D" w:rsidP="000C5108">
            <w:pPr>
              <w:pStyle w:val="Tablehead"/>
              <w:rPr>
                <w:lang w:val="de-CH"/>
              </w:rPr>
            </w:pPr>
            <w:r w:rsidRPr="00061F17">
              <w:rPr>
                <w:lang w:val="de-CH"/>
              </w:rPr>
              <w:t>E-Field Strength ( Volt/Meter (V/m))</w:t>
            </w:r>
          </w:p>
        </w:tc>
        <w:tc>
          <w:tcPr>
            <w:tcW w:w="2659" w:type="dxa"/>
          </w:tcPr>
          <w:p w:rsidR="00FD027D" w:rsidRPr="00061F17" w:rsidRDefault="00FD027D" w:rsidP="000C5108">
            <w:pPr>
              <w:pStyle w:val="Tablehead"/>
            </w:pPr>
            <w:r w:rsidRPr="00061F17">
              <w:t>H-Field Strength (Amp/Meter (A/m))</w:t>
            </w:r>
          </w:p>
        </w:tc>
        <w:tc>
          <w:tcPr>
            <w:tcW w:w="2148" w:type="dxa"/>
          </w:tcPr>
          <w:p w:rsidR="00FD027D" w:rsidRPr="00061F17" w:rsidRDefault="00FD027D" w:rsidP="000C5108">
            <w:pPr>
              <w:pStyle w:val="Tablehead"/>
            </w:pPr>
            <w:r w:rsidRPr="00061F17">
              <w:t>Power Density (Watt/Sq.Meter (W/Sq.m))</w:t>
            </w:r>
          </w:p>
        </w:tc>
      </w:tr>
      <w:tr w:rsidR="00FD027D" w:rsidRPr="001D6905" w:rsidTr="000C5108">
        <w:trPr>
          <w:cnfStyle w:val="000000100000" w:firstRow="0" w:lastRow="0" w:firstColumn="0" w:lastColumn="0" w:oddVBand="0" w:evenVBand="0" w:oddHBand="1" w:evenHBand="0" w:firstRowFirstColumn="0" w:firstRowLastColumn="0" w:lastRowFirstColumn="0" w:lastRowLastColumn="0"/>
          <w:jc w:val="center"/>
        </w:trPr>
        <w:tc>
          <w:tcPr>
            <w:tcW w:w="2157" w:type="dxa"/>
          </w:tcPr>
          <w:p w:rsidR="00FD027D" w:rsidRPr="001D6905" w:rsidRDefault="00FD027D" w:rsidP="000C5108">
            <w:pPr>
              <w:pStyle w:val="Tabletext"/>
            </w:pPr>
            <w:r w:rsidRPr="001D6905">
              <w:t>400MHz to 2000MHz</w:t>
            </w:r>
          </w:p>
        </w:tc>
        <w:tc>
          <w:tcPr>
            <w:tcW w:w="2161" w:type="dxa"/>
          </w:tcPr>
          <w:p w:rsidR="00FD027D" w:rsidRPr="001D6905" w:rsidRDefault="00FD027D" w:rsidP="000C5108">
            <w:pPr>
              <w:pStyle w:val="Tabletext"/>
            </w:pPr>
            <w:r w:rsidRPr="001D6905">
              <w:t xml:space="preserve">0.434f </w:t>
            </w:r>
            <w:r w:rsidRPr="001D6905">
              <w:rPr>
                <w:vertAlign w:val="superscript"/>
              </w:rPr>
              <w:t>½</w:t>
            </w:r>
          </w:p>
        </w:tc>
        <w:tc>
          <w:tcPr>
            <w:tcW w:w="2659" w:type="dxa"/>
          </w:tcPr>
          <w:p w:rsidR="00FD027D" w:rsidRPr="001D6905" w:rsidRDefault="00FD027D" w:rsidP="000C5108">
            <w:pPr>
              <w:pStyle w:val="Tabletext"/>
            </w:pPr>
            <w:r w:rsidRPr="001D6905">
              <w:t xml:space="preserve">0.0011f </w:t>
            </w:r>
            <w:r w:rsidRPr="001D6905">
              <w:rPr>
                <w:vertAlign w:val="superscript"/>
              </w:rPr>
              <w:t>½</w:t>
            </w:r>
          </w:p>
        </w:tc>
        <w:tc>
          <w:tcPr>
            <w:tcW w:w="2148" w:type="dxa"/>
          </w:tcPr>
          <w:p w:rsidR="00FD027D" w:rsidRPr="001D6905" w:rsidRDefault="00FD027D" w:rsidP="000C5108">
            <w:pPr>
              <w:pStyle w:val="Tabletext"/>
            </w:pPr>
            <w:r w:rsidRPr="001D6905">
              <w:t>f/2000</w:t>
            </w:r>
          </w:p>
        </w:tc>
      </w:tr>
      <w:tr w:rsidR="00FD027D" w:rsidRPr="001D6905" w:rsidTr="000C5108">
        <w:trPr>
          <w:cnfStyle w:val="000000010000" w:firstRow="0" w:lastRow="0" w:firstColumn="0" w:lastColumn="0" w:oddVBand="0" w:evenVBand="0" w:oddHBand="0" w:evenHBand="1" w:firstRowFirstColumn="0" w:firstRowLastColumn="0" w:lastRowFirstColumn="0" w:lastRowLastColumn="0"/>
          <w:jc w:val="center"/>
        </w:trPr>
        <w:tc>
          <w:tcPr>
            <w:tcW w:w="2157" w:type="dxa"/>
          </w:tcPr>
          <w:p w:rsidR="00FD027D" w:rsidRPr="001D6905" w:rsidRDefault="00FD027D" w:rsidP="000C5108">
            <w:pPr>
              <w:pStyle w:val="Tabletext"/>
            </w:pPr>
            <w:r w:rsidRPr="001D6905">
              <w:t>2GHz to 300GHz</w:t>
            </w:r>
          </w:p>
        </w:tc>
        <w:tc>
          <w:tcPr>
            <w:tcW w:w="2161" w:type="dxa"/>
          </w:tcPr>
          <w:p w:rsidR="00FD027D" w:rsidRPr="001D6905" w:rsidRDefault="00FD027D" w:rsidP="000C5108">
            <w:pPr>
              <w:pStyle w:val="Tabletext"/>
            </w:pPr>
            <w:r w:rsidRPr="001D6905">
              <w:t>19.29</w:t>
            </w:r>
          </w:p>
        </w:tc>
        <w:tc>
          <w:tcPr>
            <w:tcW w:w="2659" w:type="dxa"/>
          </w:tcPr>
          <w:p w:rsidR="00FD027D" w:rsidRPr="001D6905" w:rsidRDefault="00FD027D" w:rsidP="000C5108">
            <w:pPr>
              <w:pStyle w:val="Tabletext"/>
            </w:pPr>
            <w:r w:rsidRPr="001D6905">
              <w:t>0.05</w:t>
            </w:r>
          </w:p>
        </w:tc>
        <w:tc>
          <w:tcPr>
            <w:tcW w:w="2148" w:type="dxa"/>
          </w:tcPr>
          <w:p w:rsidR="00FD027D" w:rsidRPr="001D6905" w:rsidRDefault="00FD027D" w:rsidP="000C5108">
            <w:pPr>
              <w:pStyle w:val="Tabletext"/>
            </w:pPr>
            <w:r w:rsidRPr="001D6905">
              <w:t>1</w:t>
            </w:r>
          </w:p>
        </w:tc>
      </w:tr>
    </w:tbl>
    <w:p w:rsidR="00FD027D" w:rsidRPr="001D6905" w:rsidRDefault="00FD027D" w:rsidP="00FD027D">
      <w:pPr>
        <w:pStyle w:val="Tablesource"/>
      </w:pPr>
      <w:r w:rsidRPr="001D6905">
        <w:t>(f = frequency in MHz)</w:t>
      </w:r>
    </w:p>
    <w:p w:rsidR="00FD027D" w:rsidRPr="00061F17" w:rsidRDefault="00FD027D" w:rsidP="00FD027D">
      <w:pPr>
        <w:rPr>
          <w:rFonts w:cs="Arial"/>
          <w:szCs w:val="19"/>
          <w:lang w:val="en-US"/>
        </w:rPr>
      </w:pPr>
      <w:r w:rsidRPr="00061F17">
        <w:rPr>
          <w:rFonts w:cs="Arial"/>
          <w:szCs w:val="19"/>
          <w:lang w:val="en-US"/>
        </w:rPr>
        <w:t>3.5</w:t>
      </w:r>
      <w:r w:rsidRPr="00061F17">
        <w:rPr>
          <w:rFonts w:cs="Arial"/>
          <w:szCs w:val="19"/>
          <w:lang w:val="en-US"/>
        </w:rPr>
        <w:tab/>
        <w:t>In respect of Mobile Handsets, the following directions were issued regarding Specific Absorption Rate (SAR) level:</w:t>
      </w:r>
    </w:p>
    <w:p w:rsidR="00FD027D" w:rsidRPr="00E86592" w:rsidRDefault="00FD027D" w:rsidP="00FD027D">
      <w:pPr>
        <w:pStyle w:val="Enumlevel1"/>
      </w:pPr>
      <w:r w:rsidRPr="001D6905">
        <w:t>(i)</w:t>
      </w:r>
      <w:r w:rsidRPr="001D6905">
        <w:tab/>
        <w:t>SAR leve</w:t>
      </w:r>
      <w:r w:rsidRPr="00E86592">
        <w:t>l for mobile handsets shall be limited to 1.6 Watt/Kg, average over a mass of 1 gram of human tissue.</w:t>
      </w:r>
    </w:p>
    <w:p w:rsidR="00FD027D" w:rsidRPr="001D6905" w:rsidRDefault="00FD027D" w:rsidP="00FD027D">
      <w:pPr>
        <w:pStyle w:val="Enumlevel1"/>
      </w:pPr>
      <w:r w:rsidRPr="00E86592">
        <w:t>(ii)</w:t>
      </w:r>
      <w:r w:rsidRPr="00E86592">
        <w:tab/>
        <w:t>All the ne</w:t>
      </w:r>
      <w:r w:rsidRPr="001D6905">
        <w:t>w design of mobile handsets shall comply with the SAR level of 1.6 Watt/Kg averaged over a mass of 1 gram tissue with effect from 1</w:t>
      </w:r>
      <w:r w:rsidRPr="001D6905">
        <w:rPr>
          <w:vertAlign w:val="superscript"/>
        </w:rPr>
        <w:t>st</w:t>
      </w:r>
      <w:r w:rsidRPr="001D6905">
        <w:t xml:space="preserve"> September, 2012. However, the mobile handsets with existing designs, which are compliant with 2.0 Watt/Kg averaged over a mass of 10 gram tissue, may continue to co-exist up</w:t>
      </w:r>
      <w:r>
        <w:t xml:space="preserve"> </w:t>
      </w:r>
      <w:r w:rsidRPr="001D6905">
        <w:t>to 31</w:t>
      </w:r>
      <w:r w:rsidRPr="001D6905">
        <w:rPr>
          <w:vertAlign w:val="superscript"/>
        </w:rPr>
        <w:t>st</w:t>
      </w:r>
      <w:r w:rsidRPr="001D6905">
        <w:t xml:space="preserve"> August 2013.</w:t>
      </w:r>
    </w:p>
    <w:p w:rsidR="00FD027D" w:rsidRPr="001D6905" w:rsidRDefault="00FD027D" w:rsidP="00FD027D">
      <w:pPr>
        <w:pStyle w:val="Enumlevel1"/>
      </w:pPr>
      <w:r w:rsidRPr="001D6905">
        <w:t>(iii)</w:t>
      </w:r>
      <w:r w:rsidRPr="001D6905">
        <w:tab/>
        <w:t>From 1</w:t>
      </w:r>
      <w:r w:rsidRPr="001D6905">
        <w:rPr>
          <w:vertAlign w:val="superscript"/>
        </w:rPr>
        <w:t>st</w:t>
      </w:r>
      <w:r w:rsidRPr="001D6905">
        <w:t xml:space="preserve"> September 2013, only the mobile handsets with revised SAR value of 1.6 Watt/Kg are permitted to be manufactured or imported in India for domestic market.</w:t>
      </w:r>
    </w:p>
    <w:p w:rsidR="00FD027D" w:rsidRPr="007A19CC" w:rsidRDefault="00FD027D" w:rsidP="00FD027D">
      <w:pPr>
        <w:rPr>
          <w:lang w:val="en-US"/>
        </w:rPr>
      </w:pPr>
      <w:r w:rsidRPr="007A19CC">
        <w:rPr>
          <w:lang w:val="en-US"/>
        </w:rPr>
        <w:t>3.6</w:t>
      </w:r>
      <w:r w:rsidRPr="007A19CC">
        <w:rPr>
          <w:lang w:val="en-US"/>
        </w:rPr>
        <w:tab/>
        <w:t>DoT has also set-up a laboratory in the Telecommunication Engineering Centre (TEC), for testing of SAR value of mobile handsets imported/manufactured in India.</w:t>
      </w:r>
    </w:p>
    <w:p w:rsidR="00FD027D" w:rsidRPr="00061F17" w:rsidRDefault="00FD027D" w:rsidP="00FD027D">
      <w:pPr>
        <w:keepNext/>
        <w:autoSpaceDE w:val="0"/>
        <w:autoSpaceDN w:val="0"/>
        <w:rPr>
          <w:rFonts w:eastAsia="Calibri" w:cs="Arial"/>
          <w:szCs w:val="19"/>
          <w:lang w:val="en-US"/>
        </w:rPr>
      </w:pPr>
      <w:r w:rsidRPr="00061F17">
        <w:rPr>
          <w:rFonts w:eastAsia="Calibri" w:cs="Arial"/>
          <w:szCs w:val="19"/>
          <w:lang w:val="en-US"/>
        </w:rPr>
        <w:t>4.</w:t>
      </w:r>
      <w:r w:rsidRPr="00061F17">
        <w:rPr>
          <w:rFonts w:eastAsia="Calibri" w:cs="Arial"/>
          <w:szCs w:val="19"/>
          <w:lang w:val="en-US"/>
        </w:rPr>
        <w:tab/>
        <w:t>Further, following steps have also been taken by Department of Telecommunications for the awareness of the general public in respect of EMF Radiation:</w:t>
      </w:r>
    </w:p>
    <w:p w:rsidR="00FD027D" w:rsidRPr="00061F17" w:rsidRDefault="00FD027D" w:rsidP="00FD027D">
      <w:pPr>
        <w:rPr>
          <w:rFonts w:cs="Arial"/>
          <w:szCs w:val="19"/>
          <w:lang w:val="en-US"/>
        </w:rPr>
      </w:pPr>
      <w:r w:rsidRPr="00061F17">
        <w:rPr>
          <w:rFonts w:cs="Arial"/>
          <w:szCs w:val="19"/>
          <w:lang w:val="en-US"/>
        </w:rPr>
        <w:t>4.1</w:t>
      </w:r>
      <w:r w:rsidRPr="00061F17">
        <w:rPr>
          <w:rFonts w:cs="Arial"/>
          <w:szCs w:val="19"/>
          <w:lang w:val="en-US"/>
        </w:rPr>
        <w:tab/>
        <w:t xml:space="preserve">General awareness programmes / seminars regarding the steps taken for safety of public health from mobile tower radiation are being conducted by the Associations of Mobile Service Providers in various major cities. </w:t>
      </w:r>
    </w:p>
    <w:p w:rsidR="00FD027D" w:rsidRPr="00061F17" w:rsidRDefault="00FD027D" w:rsidP="00FD027D">
      <w:pPr>
        <w:rPr>
          <w:rFonts w:cs="Arial"/>
          <w:szCs w:val="19"/>
          <w:lang w:val="en-US"/>
        </w:rPr>
      </w:pPr>
      <w:r w:rsidRPr="00061F17">
        <w:rPr>
          <w:rFonts w:cs="Arial"/>
          <w:szCs w:val="19"/>
          <w:lang w:val="en-US"/>
        </w:rPr>
        <w:t>4.2</w:t>
      </w:r>
      <w:r w:rsidRPr="00061F17">
        <w:rPr>
          <w:rFonts w:cs="Arial"/>
          <w:szCs w:val="19"/>
          <w:lang w:val="en-US"/>
        </w:rPr>
        <w:tab/>
        <w:t>A ‘Precautionary Guidelines for Mobile User’ advising to take certain precautions while using/purchasing the mobile handsets has been placed on DoT website.</w:t>
      </w:r>
    </w:p>
    <w:p w:rsidR="00FD027D" w:rsidRPr="00061F17" w:rsidRDefault="00FD027D" w:rsidP="00FD027D">
      <w:pPr>
        <w:rPr>
          <w:rFonts w:cs="Arial"/>
          <w:szCs w:val="19"/>
          <w:lang w:val="en-US"/>
        </w:rPr>
      </w:pPr>
      <w:r w:rsidRPr="00061F17">
        <w:rPr>
          <w:rFonts w:cs="Arial"/>
          <w:szCs w:val="19"/>
          <w:lang w:val="en-US"/>
        </w:rPr>
        <w:t>4.3</w:t>
      </w:r>
      <w:r w:rsidRPr="00061F17">
        <w:rPr>
          <w:rFonts w:cs="Arial"/>
          <w:szCs w:val="19"/>
          <w:lang w:val="en-US"/>
        </w:rPr>
        <w:tab/>
        <w:t>An informative guide on ‘Mobile Communications-Radio Waves and Safety’ has been issued and the same is also available on DoT website. The document covers a basic introduction to radio waves, various terminologies, Do’s &amp; Don’ts related to mobile phone usage, clarification of various myths regarding deployment, use of Radio waves / Safety Standards and frequently asked questions relating to Mobile phones &amp; Human health. The document shall help in facilitating the right inputs and creating an environment where everyone can use the radio wave safely.</w:t>
      </w:r>
    </w:p>
    <w:p w:rsidR="00FD027D" w:rsidRPr="00061F17" w:rsidRDefault="00FD027D" w:rsidP="00FD027D">
      <w:pPr>
        <w:rPr>
          <w:rFonts w:cs="Arial"/>
          <w:szCs w:val="19"/>
          <w:lang w:val="en-US"/>
        </w:rPr>
      </w:pPr>
      <w:r w:rsidRPr="00061F17">
        <w:rPr>
          <w:rFonts w:cs="Arial"/>
          <w:szCs w:val="19"/>
          <w:lang w:val="en-US"/>
        </w:rPr>
        <w:t>4.4</w:t>
      </w:r>
      <w:r w:rsidRPr="00061F17">
        <w:rPr>
          <w:rFonts w:cs="Arial"/>
          <w:szCs w:val="19"/>
          <w:lang w:val="en-US"/>
        </w:rPr>
        <w:tab/>
      </w:r>
      <w:hyperlink r:id="rId29" w:history="1">
        <w:r w:rsidRPr="00061F17">
          <w:rPr>
            <w:rStyle w:val="Hyperlink"/>
            <w:rFonts w:cs="Arial"/>
            <w:szCs w:val="19"/>
            <w:lang w:val="en-US"/>
          </w:rPr>
          <w:t>Advertisements</w:t>
        </w:r>
      </w:hyperlink>
      <w:r w:rsidRPr="00061F17">
        <w:rPr>
          <w:rFonts w:cs="Arial"/>
          <w:szCs w:val="19"/>
          <w:lang w:val="en-US"/>
        </w:rPr>
        <w:t xml:space="preserve"> for ensuring safety from radiations of Mobile Towers &amp; handsets has been issued by DoT which has been published in National &amp;</w:t>
      </w:r>
      <w:r>
        <w:rPr>
          <w:rFonts w:cs="Arial"/>
          <w:szCs w:val="19"/>
          <w:lang w:val="en-US"/>
        </w:rPr>
        <w:t xml:space="preserve"> </w:t>
      </w:r>
      <w:hyperlink r:id="rId30" w:history="1">
        <w:r w:rsidRPr="00061F17">
          <w:rPr>
            <w:rStyle w:val="Hyperlink"/>
            <w:rFonts w:cs="Arial"/>
            <w:szCs w:val="19"/>
            <w:lang w:val="en-US"/>
          </w:rPr>
          <w:t>Regional</w:t>
        </w:r>
      </w:hyperlink>
      <w:r>
        <w:rPr>
          <w:rStyle w:val="Hyperlink"/>
          <w:rFonts w:cs="Arial"/>
          <w:szCs w:val="19"/>
          <w:lang w:val="en-US"/>
        </w:rPr>
        <w:t xml:space="preserve"> </w:t>
      </w:r>
      <w:hyperlink r:id="rId31" w:history="1"/>
      <w:r w:rsidRPr="00061F17">
        <w:rPr>
          <w:rFonts w:cs="Arial"/>
          <w:szCs w:val="19"/>
          <w:lang w:val="en-US"/>
        </w:rPr>
        <w:t>Newspapers.</w:t>
      </w:r>
    </w:p>
    <w:p w:rsidR="00FD027D" w:rsidRPr="00061F17" w:rsidRDefault="00FD027D" w:rsidP="00976B7A">
      <w:pPr>
        <w:autoSpaceDE w:val="0"/>
        <w:autoSpaceDN w:val="0"/>
        <w:rPr>
          <w:rFonts w:cs="Arial"/>
          <w:szCs w:val="19"/>
          <w:lang w:val="en-US"/>
        </w:rPr>
      </w:pPr>
      <w:r w:rsidRPr="00061F17">
        <w:rPr>
          <w:rFonts w:eastAsia="Calibri" w:cs="Arial"/>
          <w:szCs w:val="19"/>
          <w:lang w:val="en-US"/>
        </w:rPr>
        <w:t>4.5</w:t>
      </w:r>
      <w:r w:rsidRPr="00061F17">
        <w:rPr>
          <w:rFonts w:eastAsia="Calibri" w:cs="Arial"/>
          <w:szCs w:val="19"/>
          <w:lang w:val="en-US"/>
        </w:rPr>
        <w:tab/>
        <w:t>A</w:t>
      </w:r>
      <w:r w:rsidRPr="00061F17">
        <w:rPr>
          <w:rFonts w:cs="Arial"/>
          <w:szCs w:val="19"/>
          <w:lang w:val="en-US"/>
        </w:rPr>
        <w:t xml:space="preserve"> Complaint Handling System for Electro Magnetic Field (EMF) Radiation from Mobile Towers has also been launched by DoT in October 2012 in Mumbai. The online facility is available on DoT website </w:t>
      </w:r>
      <w:hyperlink r:id="rId32" w:history="1">
        <w:r w:rsidR="00976B7A" w:rsidRPr="008F1427">
          <w:rPr>
            <w:rStyle w:val="Hyperlink"/>
            <w:rFonts w:cs="Arial"/>
            <w:szCs w:val="19"/>
            <w:lang w:val="en-US"/>
          </w:rPr>
          <w:t>www.dot.gov.in/</w:t>
        </w:r>
      </w:hyperlink>
      <w:r>
        <w:rPr>
          <w:rStyle w:val="Hyperlink"/>
          <w:rFonts w:cs="Arial"/>
          <w:szCs w:val="19"/>
          <w:lang w:val="en-US"/>
        </w:rPr>
        <w:t xml:space="preserve"> </w:t>
      </w:r>
      <w:r w:rsidRPr="00061F17">
        <w:rPr>
          <w:rFonts w:cs="Arial"/>
          <w:szCs w:val="19"/>
          <w:lang w:val="en-US"/>
        </w:rPr>
        <w:t>through a link “Public Grievance – EMF Radiation”.</w:t>
      </w:r>
    </w:p>
    <w:p w:rsidR="00FD027D" w:rsidRDefault="00FD027D" w:rsidP="00FD027D">
      <w:pPr>
        <w:autoSpaceDE w:val="0"/>
        <w:autoSpaceDN w:val="0"/>
        <w:rPr>
          <w:rFonts w:cs="Arial"/>
          <w:szCs w:val="19"/>
          <w:lang w:val="en-US"/>
        </w:rPr>
      </w:pPr>
      <w:r>
        <w:rPr>
          <w:rFonts w:cs="Arial"/>
          <w:szCs w:val="19"/>
          <w:lang w:val="en-US"/>
        </w:rPr>
        <w:br w:type="page"/>
      </w:r>
    </w:p>
    <w:p w:rsidR="00FD027D" w:rsidRPr="00061F17" w:rsidRDefault="00FD027D" w:rsidP="00FD027D">
      <w:pPr>
        <w:autoSpaceDE w:val="0"/>
        <w:autoSpaceDN w:val="0"/>
        <w:rPr>
          <w:rFonts w:cs="Arial"/>
          <w:szCs w:val="19"/>
          <w:lang w:val="en-US"/>
        </w:rPr>
      </w:pPr>
      <w:r w:rsidRPr="00061F17">
        <w:rPr>
          <w:rFonts w:cs="Arial"/>
          <w:szCs w:val="19"/>
          <w:lang w:val="en-US"/>
        </w:rPr>
        <w:lastRenderedPageBreak/>
        <w:t>4.6</w:t>
      </w:r>
      <w:r w:rsidRPr="00061F17">
        <w:rPr>
          <w:rFonts w:cs="Arial"/>
          <w:szCs w:val="19"/>
          <w:lang w:val="en-US"/>
        </w:rPr>
        <w:tab/>
        <w:t>Guidelines for State Government / Local Bodies for issue of clearance for installation of mobile towers at various locations in the licensed service area are under finalization. Similarly, various parameters to be checked by TERM Cell units to monitor the Radiation levels are also under finalization.</w:t>
      </w:r>
    </w:p>
    <w:p w:rsidR="00FD027D" w:rsidRPr="00061F17" w:rsidRDefault="00FD027D" w:rsidP="00976B7A">
      <w:pPr>
        <w:autoSpaceDE w:val="0"/>
        <w:autoSpaceDN w:val="0"/>
        <w:rPr>
          <w:rFonts w:cs="Arial"/>
          <w:szCs w:val="19"/>
          <w:lang w:val="en-US"/>
        </w:rPr>
      </w:pPr>
      <w:r w:rsidRPr="00061F17">
        <w:rPr>
          <w:rFonts w:cs="Arial"/>
          <w:szCs w:val="19"/>
          <w:lang w:val="en-US"/>
        </w:rPr>
        <w:t>4.7</w:t>
      </w:r>
      <w:r w:rsidRPr="00061F17">
        <w:rPr>
          <w:rFonts w:cs="Arial"/>
          <w:szCs w:val="19"/>
          <w:lang w:val="en-US"/>
        </w:rPr>
        <w:tab/>
        <w:t xml:space="preserve">Various steps being taken by the Government of India regarding EMF related issues are available on DoT website </w:t>
      </w:r>
      <w:hyperlink r:id="rId33" w:history="1">
        <w:r w:rsidR="0060618E" w:rsidRPr="008F1427">
          <w:rPr>
            <w:rStyle w:val="Hyperlink"/>
            <w:rFonts w:cs="Arial"/>
            <w:szCs w:val="19"/>
            <w:lang w:val="en-US"/>
          </w:rPr>
          <w:t>www.dot.gov.in</w:t>
        </w:r>
      </w:hyperlink>
      <w:r w:rsidRPr="00061F17">
        <w:rPr>
          <w:rFonts w:cs="Arial"/>
          <w:szCs w:val="19"/>
          <w:lang w:val="en-US"/>
        </w:rPr>
        <w:t xml:space="preserve"> under the caption “Journey to EMF”.</w:t>
      </w:r>
    </w:p>
    <w:p w:rsidR="00FD027D" w:rsidRPr="00061F17" w:rsidRDefault="00FD027D" w:rsidP="00FD027D">
      <w:pPr>
        <w:rPr>
          <w:rFonts w:cs="Arial"/>
          <w:szCs w:val="19"/>
          <w:lang w:val="en-US"/>
        </w:rPr>
      </w:pPr>
      <w:r w:rsidRPr="00061F17">
        <w:rPr>
          <w:rFonts w:cs="Arial"/>
          <w:szCs w:val="19"/>
          <w:lang w:val="en-US"/>
        </w:rPr>
        <w:t>4.8</w:t>
      </w:r>
      <w:r w:rsidRPr="00061F17">
        <w:rPr>
          <w:rFonts w:cs="Arial"/>
          <w:szCs w:val="19"/>
          <w:lang w:val="en-US"/>
        </w:rPr>
        <w:tab/>
        <w:t>Surprise test checks of BTS sites are also carried out by DoT to verify the compliance to revised norms. During surprise check by DoT’s TERM Cell Unit more than 100 BTS sites in many parts of the country including Mumbai were found radiating at much higher level than prescribed between the period September 2012 to March 2013.</w:t>
      </w:r>
    </w:p>
    <w:p w:rsidR="00FD027D" w:rsidRPr="00061F17" w:rsidRDefault="00FD027D" w:rsidP="00FD027D">
      <w:pPr>
        <w:tabs>
          <w:tab w:val="left" w:pos="-5670"/>
          <w:tab w:val="left" w:pos="-4962"/>
        </w:tabs>
        <w:rPr>
          <w:rFonts w:eastAsia="Calibri" w:cs="Arial"/>
          <w:b/>
          <w:szCs w:val="19"/>
          <w:lang w:val="en-US"/>
        </w:rPr>
      </w:pPr>
      <w:r w:rsidRPr="00061F17">
        <w:rPr>
          <w:rFonts w:eastAsia="Calibri" w:cs="Arial"/>
          <w:b/>
          <w:szCs w:val="19"/>
          <w:lang w:val="en-US"/>
        </w:rPr>
        <w:t>5.</w:t>
      </w:r>
      <w:r w:rsidRPr="00061F17">
        <w:rPr>
          <w:rFonts w:eastAsia="Calibri" w:cs="Arial"/>
          <w:b/>
          <w:szCs w:val="19"/>
          <w:lang w:val="en-US"/>
        </w:rPr>
        <w:tab/>
        <w:t>Further Indian Initiatives on Scientific Assessment</w:t>
      </w:r>
    </w:p>
    <w:p w:rsidR="00FD027D" w:rsidRPr="00061F17" w:rsidRDefault="00FD027D" w:rsidP="00FD027D">
      <w:pPr>
        <w:tabs>
          <w:tab w:val="left" w:pos="-5670"/>
          <w:tab w:val="left" w:pos="-4962"/>
        </w:tabs>
        <w:rPr>
          <w:rFonts w:eastAsia="Calibri" w:cs="Arial"/>
          <w:szCs w:val="19"/>
          <w:lang w:val="en-US"/>
        </w:rPr>
      </w:pPr>
      <w:r w:rsidRPr="00061F17">
        <w:rPr>
          <w:rFonts w:eastAsia="Calibri" w:cs="Arial"/>
          <w:szCs w:val="19"/>
          <w:lang w:val="en-US"/>
        </w:rPr>
        <w:t>5.1</w:t>
      </w:r>
      <w:r w:rsidRPr="00061F17">
        <w:rPr>
          <w:rFonts w:eastAsia="Calibri" w:cs="Arial"/>
          <w:szCs w:val="19"/>
          <w:lang w:val="en-US"/>
        </w:rPr>
        <w:tab/>
        <w:t xml:space="preserve">Government of India, Department of Science &amp; Technology (DST) has constituted a committee on 01.10.2012 under the Chairmanship of Former Director General of Indian Council for Medical Research (ICMR), having members from Indian Institute of Technology (IIT) Chennai, Indian Institute of Toxicology Research, Lucknow, Department of Telecom, Ministry of Environment &amp; Forest, ICMR and Department of Science &amp; Technology to examine the possible harmful effects from Cell towers on the population living in the vicinity and for developing the frame of reference for calling out Request For Proposals (RFP) for scientific assessment of health hazards and adverse impact on ecology. </w:t>
      </w:r>
    </w:p>
    <w:p w:rsidR="00FD027D" w:rsidRPr="00061F17" w:rsidRDefault="00FD027D" w:rsidP="00FD027D">
      <w:pPr>
        <w:tabs>
          <w:tab w:val="left" w:pos="-5670"/>
          <w:tab w:val="left" w:pos="-4962"/>
        </w:tabs>
        <w:rPr>
          <w:rFonts w:eastAsia="Calibri" w:cs="Arial"/>
          <w:szCs w:val="19"/>
          <w:lang w:val="en-US"/>
        </w:rPr>
      </w:pPr>
      <w:r w:rsidRPr="00061F17">
        <w:rPr>
          <w:rFonts w:eastAsia="Calibri" w:cs="Arial"/>
          <w:szCs w:val="19"/>
          <w:lang w:val="en-US"/>
        </w:rPr>
        <w:t>5.2</w:t>
      </w:r>
      <w:r w:rsidRPr="00061F17">
        <w:rPr>
          <w:rFonts w:eastAsia="Calibri" w:cs="Arial"/>
          <w:szCs w:val="19"/>
          <w:lang w:val="en-US"/>
        </w:rPr>
        <w:tab/>
        <w:t>The Committee has invited R&amp;D proposals in June 2013 on the possible impact of EMF radiation exposure from mobile towers and handsets on life (humans, living organism, flora &amp; fauna and environment) and related initiatives. Eligible Scientist / Organizations – public or private, individually or in collaboration have been requested for submission of their proposal on or before 14</w:t>
      </w:r>
      <w:r w:rsidRPr="00061F17">
        <w:rPr>
          <w:rFonts w:eastAsia="Calibri" w:cs="Arial"/>
          <w:szCs w:val="19"/>
          <w:vertAlign w:val="superscript"/>
          <w:lang w:val="en-US"/>
        </w:rPr>
        <w:t>th</w:t>
      </w:r>
      <w:r w:rsidRPr="00061F17">
        <w:rPr>
          <w:rFonts w:eastAsia="Calibri" w:cs="Arial"/>
          <w:szCs w:val="19"/>
          <w:lang w:val="en-US"/>
        </w:rPr>
        <w:t xml:space="preserve"> August 2013.</w:t>
      </w:r>
    </w:p>
    <w:p w:rsidR="00FD027D" w:rsidRPr="00061F17" w:rsidRDefault="00FD027D" w:rsidP="00FD027D">
      <w:pPr>
        <w:tabs>
          <w:tab w:val="left" w:pos="-5670"/>
          <w:tab w:val="left" w:pos="-4962"/>
        </w:tabs>
        <w:rPr>
          <w:rFonts w:eastAsia="Calibri" w:cs="Arial"/>
          <w:b/>
          <w:bCs/>
          <w:szCs w:val="19"/>
          <w:lang w:val="en-US"/>
        </w:rPr>
      </w:pPr>
      <w:r w:rsidRPr="00061F17">
        <w:rPr>
          <w:rFonts w:eastAsia="Calibri" w:cs="Arial"/>
          <w:b/>
          <w:szCs w:val="19"/>
          <w:lang w:val="en-US"/>
        </w:rPr>
        <w:t>6.</w:t>
      </w:r>
      <w:r w:rsidRPr="00061F17">
        <w:rPr>
          <w:rFonts w:eastAsia="Calibri" w:cs="Arial"/>
          <w:b/>
          <w:szCs w:val="19"/>
          <w:lang w:val="en-US"/>
        </w:rPr>
        <w:tab/>
        <w:t>Submissions</w:t>
      </w:r>
    </w:p>
    <w:p w:rsidR="00FD027D" w:rsidRPr="00061F17" w:rsidRDefault="00FD027D" w:rsidP="00FD027D">
      <w:pPr>
        <w:tabs>
          <w:tab w:val="left" w:pos="-5670"/>
          <w:tab w:val="left" w:pos="-4962"/>
        </w:tabs>
        <w:rPr>
          <w:rFonts w:eastAsia="Calibri" w:cs="Arial"/>
          <w:szCs w:val="19"/>
          <w:lang w:val="en-US"/>
        </w:rPr>
      </w:pPr>
      <w:r w:rsidRPr="00061F17">
        <w:rPr>
          <w:rFonts w:eastAsia="Calibri" w:cs="Arial"/>
          <w:szCs w:val="19"/>
          <w:lang w:val="en-US"/>
        </w:rPr>
        <w:t>6.1</w:t>
      </w:r>
      <w:r w:rsidRPr="00061F17">
        <w:rPr>
          <w:rFonts w:eastAsia="Calibri" w:cs="Arial"/>
          <w:szCs w:val="19"/>
          <w:lang w:val="en-US"/>
        </w:rPr>
        <w:tab/>
        <w:t>In a latest development, an Indian Delegation from DoT, Government of India had visited Geneva from 19 to 22 Feb. 2013 to discuss EMF Radiation related health issues with WHO Secretariat and Technical standards with ITU.</w:t>
      </w:r>
    </w:p>
    <w:p w:rsidR="00FD027D" w:rsidRPr="00061F17" w:rsidRDefault="00FD027D" w:rsidP="00FD027D">
      <w:pPr>
        <w:tabs>
          <w:tab w:val="left" w:pos="-5670"/>
          <w:tab w:val="left" w:pos="-4962"/>
        </w:tabs>
        <w:rPr>
          <w:rFonts w:eastAsia="Calibri" w:cs="Arial"/>
          <w:szCs w:val="19"/>
          <w:lang w:val="en-US"/>
        </w:rPr>
      </w:pPr>
      <w:r w:rsidRPr="00061F17">
        <w:rPr>
          <w:rFonts w:eastAsia="Calibri" w:cs="Arial"/>
          <w:szCs w:val="19"/>
          <w:lang w:val="en-US"/>
        </w:rPr>
        <w:t>6.2</w:t>
      </w:r>
      <w:r w:rsidRPr="00061F17">
        <w:rPr>
          <w:rFonts w:eastAsia="Calibri" w:cs="Arial"/>
          <w:szCs w:val="19"/>
          <w:lang w:val="en-US"/>
        </w:rPr>
        <w:tab/>
        <w:t xml:space="preserve">WHO officials suggested that lowering of the EMF radiation limit alone may not be adequate to achieve the desired results, though a strong regulation on siting of BTS Tower antennae could be more important. Few countries have imposed restrictions specifying the horizontal distance in regards to the installation of base station Antenna from sensitive locations in the urban planning itself. </w:t>
      </w:r>
    </w:p>
    <w:p w:rsidR="00FD027D" w:rsidRPr="00061F17" w:rsidRDefault="00FD027D" w:rsidP="00FD027D">
      <w:pPr>
        <w:tabs>
          <w:tab w:val="left" w:pos="-5670"/>
          <w:tab w:val="left" w:pos="-4962"/>
        </w:tabs>
        <w:rPr>
          <w:rFonts w:eastAsia="Calibri" w:cs="Arial"/>
          <w:szCs w:val="19"/>
          <w:lang w:val="en-US"/>
        </w:rPr>
      </w:pPr>
      <w:r w:rsidRPr="00061F17">
        <w:rPr>
          <w:rFonts w:eastAsia="Calibri" w:cs="Arial"/>
          <w:szCs w:val="19"/>
          <w:lang w:val="en-US"/>
        </w:rPr>
        <w:t>6.3</w:t>
      </w:r>
      <w:r w:rsidRPr="00061F17">
        <w:rPr>
          <w:rFonts w:eastAsia="Calibri" w:cs="Arial"/>
          <w:szCs w:val="19"/>
          <w:lang w:val="en-US"/>
        </w:rPr>
        <w:tab/>
        <w:t>Indian scenario with more than 10 mobile operators in each service area along with high population density is quite different from Europe</w:t>
      </w:r>
    </w:p>
    <w:p w:rsidR="00FD027D" w:rsidRPr="00061F17" w:rsidRDefault="00FD027D" w:rsidP="00FD027D">
      <w:pPr>
        <w:tabs>
          <w:tab w:val="left" w:pos="-5670"/>
          <w:tab w:val="left" w:pos="-4962"/>
        </w:tabs>
        <w:rPr>
          <w:rFonts w:eastAsia="Calibri" w:cs="Arial"/>
          <w:bCs/>
          <w:szCs w:val="19"/>
          <w:lang w:val="en-US"/>
        </w:rPr>
      </w:pPr>
      <w:r w:rsidRPr="00061F17">
        <w:rPr>
          <w:rFonts w:eastAsia="Calibri" w:cs="Arial"/>
          <w:szCs w:val="19"/>
          <w:lang w:val="en-US"/>
        </w:rPr>
        <w:t>6.4</w:t>
      </w:r>
      <w:r w:rsidRPr="00061F17">
        <w:rPr>
          <w:rFonts w:eastAsia="Calibri" w:cs="Arial"/>
          <w:szCs w:val="19"/>
          <w:lang w:val="en-US"/>
        </w:rPr>
        <w:tab/>
        <w:t xml:space="preserve">Officials from International Agency on Cancer Research (IARC) at Lyon, France indicated that in Europe Mobile Towers are not considered as a threat as Antennas are at higher levels /heights and fairly distant apart. </w:t>
      </w:r>
    </w:p>
    <w:p w:rsidR="00FD027D" w:rsidRPr="00061F17" w:rsidRDefault="00FD027D" w:rsidP="00FD027D">
      <w:pPr>
        <w:tabs>
          <w:tab w:val="left" w:pos="-5670"/>
          <w:tab w:val="left" w:pos="-4962"/>
        </w:tabs>
        <w:contextualSpacing/>
        <w:rPr>
          <w:rFonts w:eastAsia="Calibri" w:cs="Arial"/>
          <w:bCs/>
          <w:szCs w:val="19"/>
          <w:lang w:val="en-US"/>
        </w:rPr>
      </w:pPr>
      <w:r w:rsidRPr="00061F17">
        <w:rPr>
          <w:rFonts w:eastAsia="Calibri" w:cs="Arial"/>
          <w:szCs w:val="19"/>
          <w:lang w:val="en-US"/>
        </w:rPr>
        <w:t xml:space="preserve">6.5 </w:t>
      </w:r>
      <w:r w:rsidRPr="00061F17">
        <w:rPr>
          <w:rFonts w:eastAsia="Calibri" w:cs="Arial"/>
          <w:szCs w:val="19"/>
          <w:lang w:val="en-US"/>
        </w:rPr>
        <w:tab/>
        <w:t>However, the conditions in India and other developing countries are totally different from those in Europe in terms of:</w:t>
      </w:r>
    </w:p>
    <w:p w:rsidR="00FD027D" w:rsidRPr="00061F17" w:rsidRDefault="00FD027D" w:rsidP="00FD027D">
      <w:pPr>
        <w:pStyle w:val="Enumlevel1"/>
        <w:rPr>
          <w:bCs/>
        </w:rPr>
      </w:pPr>
      <w:r>
        <w:t>‒</w:t>
      </w:r>
      <w:r w:rsidRPr="00061F17">
        <w:tab/>
        <w:t xml:space="preserve">mobile phone usages, </w:t>
      </w:r>
    </w:p>
    <w:p w:rsidR="00FD027D" w:rsidRPr="00061F17" w:rsidRDefault="00FD027D" w:rsidP="00FD027D">
      <w:pPr>
        <w:pStyle w:val="Enumlevel1"/>
        <w:rPr>
          <w:bCs/>
        </w:rPr>
      </w:pPr>
      <w:r>
        <w:t>‒</w:t>
      </w:r>
      <w:r w:rsidRPr="00061F17">
        <w:tab/>
        <w:t xml:space="preserve">number of operators, </w:t>
      </w:r>
    </w:p>
    <w:p w:rsidR="00FD027D" w:rsidRPr="00061F17" w:rsidRDefault="00FD027D" w:rsidP="00FD027D">
      <w:pPr>
        <w:pStyle w:val="Enumlevel1"/>
        <w:rPr>
          <w:bCs/>
        </w:rPr>
      </w:pPr>
      <w:r>
        <w:rPr>
          <w:rFonts w:eastAsia="Calibri"/>
        </w:rPr>
        <w:t>‒</w:t>
      </w:r>
      <w:r w:rsidRPr="00061F17">
        <w:rPr>
          <w:rFonts w:eastAsia="Calibri"/>
        </w:rPr>
        <w:tab/>
      </w:r>
      <w:r w:rsidRPr="00061F17">
        <w:t xml:space="preserve">higher levels of population density, </w:t>
      </w:r>
    </w:p>
    <w:p w:rsidR="00FD027D" w:rsidRPr="00061F17" w:rsidRDefault="00FD027D" w:rsidP="00FD027D">
      <w:pPr>
        <w:pStyle w:val="Enumlevel1"/>
        <w:rPr>
          <w:bCs/>
        </w:rPr>
      </w:pPr>
      <w:r>
        <w:t>‒</w:t>
      </w:r>
      <w:r w:rsidRPr="00061F17">
        <w:tab/>
        <w:t xml:space="preserve">in-organic growth in urban areas, </w:t>
      </w:r>
    </w:p>
    <w:p w:rsidR="00FD027D" w:rsidRPr="00061F17" w:rsidRDefault="00FD027D" w:rsidP="00FD027D">
      <w:pPr>
        <w:pStyle w:val="Enumlevel1"/>
        <w:rPr>
          <w:bCs/>
        </w:rPr>
      </w:pPr>
      <w:r>
        <w:t>‒</w:t>
      </w:r>
      <w:r w:rsidRPr="00061F17">
        <w:tab/>
        <w:t xml:space="preserve">narrow lanes separating buildings, </w:t>
      </w:r>
    </w:p>
    <w:p w:rsidR="00FD027D" w:rsidRPr="00061F17" w:rsidRDefault="00FD027D" w:rsidP="00FD027D">
      <w:pPr>
        <w:pStyle w:val="Enumlevel1"/>
        <w:rPr>
          <w:bCs/>
        </w:rPr>
      </w:pPr>
      <w:r>
        <w:t>‒</w:t>
      </w:r>
      <w:r w:rsidRPr="00061F17">
        <w:tab/>
        <w:t xml:space="preserve">lower body mass index, </w:t>
      </w:r>
    </w:p>
    <w:p w:rsidR="00FD027D" w:rsidRPr="00061F17" w:rsidRDefault="00FD027D" w:rsidP="00FD027D">
      <w:pPr>
        <w:pStyle w:val="Enumlevel1"/>
        <w:rPr>
          <w:bCs/>
        </w:rPr>
      </w:pPr>
      <w:r>
        <w:t>‒</w:t>
      </w:r>
      <w:r w:rsidRPr="00061F17">
        <w:tab/>
        <w:t xml:space="preserve">lower fat content, </w:t>
      </w:r>
    </w:p>
    <w:p w:rsidR="00FD027D" w:rsidRDefault="00FD027D" w:rsidP="00FD027D">
      <w:pPr>
        <w:pStyle w:val="Enumlevel1"/>
      </w:pPr>
      <w:r>
        <w:br w:type="page"/>
      </w:r>
    </w:p>
    <w:p w:rsidR="00FD027D" w:rsidRPr="00061F17" w:rsidRDefault="00FD027D" w:rsidP="00FD027D">
      <w:pPr>
        <w:pStyle w:val="Enumlevel1"/>
        <w:rPr>
          <w:bCs/>
        </w:rPr>
      </w:pPr>
      <w:r>
        <w:lastRenderedPageBreak/>
        <w:t>‒</w:t>
      </w:r>
      <w:r w:rsidRPr="00061F17">
        <w:tab/>
        <w:t>lesser spectrum per operator,</w:t>
      </w:r>
    </w:p>
    <w:p w:rsidR="00FD027D" w:rsidRPr="00061F17" w:rsidRDefault="00FD027D" w:rsidP="00FD027D">
      <w:pPr>
        <w:pStyle w:val="Enumlevel1"/>
        <w:rPr>
          <w:bCs/>
        </w:rPr>
      </w:pPr>
      <w:r>
        <w:t>‒</w:t>
      </w:r>
      <w:r w:rsidRPr="00061F17">
        <w:tab/>
        <w:t xml:space="preserve">radiated power being 20 Watt per sector, </w:t>
      </w:r>
    </w:p>
    <w:p w:rsidR="00FD027D" w:rsidRPr="00061F17" w:rsidRDefault="00FD027D" w:rsidP="00FD027D">
      <w:pPr>
        <w:pStyle w:val="Enumlevel1"/>
        <w:rPr>
          <w:bCs/>
        </w:rPr>
      </w:pPr>
      <w:r>
        <w:t>‒</w:t>
      </w:r>
      <w:r w:rsidRPr="00061F17">
        <w:tab/>
        <w:t xml:space="preserve">higher levels of RF exposure on account of multiple operators having BTSs on same tower, and </w:t>
      </w:r>
    </w:p>
    <w:p w:rsidR="00FD027D" w:rsidRPr="00061F17" w:rsidRDefault="00FD027D" w:rsidP="00FD027D">
      <w:pPr>
        <w:pStyle w:val="Enumlevel1"/>
        <w:rPr>
          <w:bCs/>
        </w:rPr>
      </w:pPr>
      <w:r>
        <w:t>‒</w:t>
      </w:r>
      <w:r w:rsidRPr="00061F17">
        <w:tab/>
        <w:t>Antennas mounted at lower heights etc.</w:t>
      </w:r>
    </w:p>
    <w:p w:rsidR="00FD027D" w:rsidRPr="00061F17" w:rsidRDefault="00FD027D" w:rsidP="00FD027D">
      <w:pPr>
        <w:pStyle w:val="Enumlevel1"/>
        <w:rPr>
          <w:bCs/>
        </w:rPr>
      </w:pPr>
      <w:r>
        <w:t>‒</w:t>
      </w:r>
      <w:r w:rsidRPr="00061F17">
        <w:tab/>
        <w:t>Poor coverage conditions also lead handsets to operate at higher levels of power</w:t>
      </w:r>
    </w:p>
    <w:p w:rsidR="00FD027D" w:rsidRPr="00061F17" w:rsidRDefault="00FD027D" w:rsidP="00FD027D">
      <w:pPr>
        <w:pStyle w:val="Enumlevel1"/>
        <w:rPr>
          <w:bCs/>
        </w:rPr>
      </w:pPr>
      <w:r>
        <w:t>‒</w:t>
      </w:r>
      <w:r w:rsidRPr="00061F17">
        <w:tab/>
        <w:t>Outsourcing of infrastructure installation &amp; maintenance to third parties by operators</w:t>
      </w:r>
    </w:p>
    <w:p w:rsidR="00FD027D" w:rsidRPr="00061F17" w:rsidRDefault="00FD027D" w:rsidP="00FD027D">
      <w:pPr>
        <w:pStyle w:val="Enumlevel1"/>
      </w:pPr>
      <w:r>
        <w:t>‒</w:t>
      </w:r>
      <w:r w:rsidRPr="00061F17">
        <w:tab/>
        <w:t>Inadequate technical expertise at field level and local authorities to understand exclusion zone calculations based on ITU K series recommendations.  This also needs to be seen in the background of monitoring requirements extending to 0.747 million BTSs as in Annexure II.</w:t>
      </w:r>
    </w:p>
    <w:p w:rsidR="00FD027D" w:rsidRPr="00061F17" w:rsidRDefault="00FD027D" w:rsidP="00FD027D">
      <w:pPr>
        <w:tabs>
          <w:tab w:val="left" w:pos="-5670"/>
          <w:tab w:val="left" w:pos="-4962"/>
        </w:tabs>
        <w:rPr>
          <w:rFonts w:cs="Arial"/>
          <w:b/>
          <w:bCs/>
          <w:szCs w:val="19"/>
          <w:lang w:val="en-US"/>
        </w:rPr>
      </w:pPr>
      <w:r w:rsidRPr="00061F17">
        <w:rPr>
          <w:rFonts w:cs="Arial"/>
          <w:szCs w:val="19"/>
          <w:lang w:val="en-US"/>
        </w:rPr>
        <w:t xml:space="preserve">Some of the typical Wall mounted BTS installation photographs are enclosed in the </w:t>
      </w:r>
      <w:r w:rsidRPr="00061F17">
        <w:rPr>
          <w:rFonts w:cs="Arial"/>
          <w:b/>
          <w:szCs w:val="19"/>
          <w:lang w:val="en-US"/>
        </w:rPr>
        <w:t xml:space="preserve">Annex </w:t>
      </w:r>
      <w:r w:rsidRPr="00061F17">
        <w:rPr>
          <w:rFonts w:cs="Arial"/>
          <w:szCs w:val="19"/>
          <w:lang w:val="en-US"/>
        </w:rPr>
        <w:t>from city of Mumbai, India</w:t>
      </w:r>
      <w:r w:rsidRPr="00061F17">
        <w:rPr>
          <w:rFonts w:cs="Arial"/>
          <w:b/>
          <w:szCs w:val="19"/>
          <w:lang w:val="en-US"/>
        </w:rPr>
        <w:t>.</w:t>
      </w:r>
    </w:p>
    <w:p w:rsidR="00FD027D" w:rsidRPr="00061F17" w:rsidRDefault="00FD027D" w:rsidP="00FD027D">
      <w:pPr>
        <w:tabs>
          <w:tab w:val="left" w:pos="-5670"/>
          <w:tab w:val="left" w:pos="-4962"/>
        </w:tabs>
        <w:rPr>
          <w:rFonts w:eastAsia="Calibri" w:cs="Arial"/>
          <w:szCs w:val="19"/>
          <w:lang w:val="en-US"/>
        </w:rPr>
      </w:pPr>
      <w:r w:rsidRPr="00061F17">
        <w:rPr>
          <w:rFonts w:eastAsia="Calibri" w:cs="Arial"/>
          <w:szCs w:val="19"/>
          <w:lang w:val="en-US"/>
        </w:rPr>
        <w:t>6.6</w:t>
      </w:r>
      <w:r w:rsidRPr="00061F17">
        <w:rPr>
          <w:rFonts w:eastAsia="Calibri" w:cs="Arial"/>
          <w:szCs w:val="19"/>
          <w:lang w:val="en-US"/>
        </w:rPr>
        <w:tab/>
        <w:t xml:space="preserve">During discussions on Indian scenario, IARC felt that their present research that is addressing only Mobile Handsets may have to be reassessed to include Mobile Towers also.  </w:t>
      </w:r>
    </w:p>
    <w:p w:rsidR="00FD027D" w:rsidRPr="00061F17" w:rsidRDefault="00FD027D" w:rsidP="00FD027D">
      <w:pPr>
        <w:tabs>
          <w:tab w:val="left" w:pos="-5670"/>
          <w:tab w:val="left" w:pos="-4962"/>
        </w:tabs>
        <w:rPr>
          <w:rFonts w:eastAsia="Calibri" w:cs="Arial"/>
          <w:szCs w:val="19"/>
          <w:lang w:val="en-US"/>
        </w:rPr>
      </w:pPr>
      <w:r w:rsidRPr="00061F17">
        <w:rPr>
          <w:rFonts w:eastAsia="Calibri" w:cs="Arial"/>
          <w:szCs w:val="19"/>
          <w:lang w:val="en-US"/>
        </w:rPr>
        <w:t>6.7</w:t>
      </w:r>
      <w:r w:rsidRPr="00061F17">
        <w:rPr>
          <w:rFonts w:eastAsia="Calibri" w:cs="Arial"/>
          <w:szCs w:val="19"/>
          <w:lang w:val="en-US"/>
        </w:rPr>
        <w:tab/>
        <w:t>A research project focusing on measurements of exposure levels from base stations in densely populated areas and areas covered by many base stations, level of usage, and measurements of emissions from regular and counterfeit mobile phones, was considered to be of great scientific interest by IARC. Based on the suggestions from IARC, Mobile Handset usage study was taken up by licensor in India.</w:t>
      </w:r>
    </w:p>
    <w:p w:rsidR="00FD027D" w:rsidRPr="00061F17" w:rsidRDefault="00FD027D" w:rsidP="00FD027D">
      <w:pPr>
        <w:tabs>
          <w:tab w:val="left" w:pos="-5670"/>
          <w:tab w:val="left" w:pos="-4962"/>
        </w:tabs>
        <w:rPr>
          <w:rFonts w:eastAsia="Calibri" w:cs="Arial"/>
          <w:szCs w:val="19"/>
          <w:lang w:val="en-US"/>
        </w:rPr>
      </w:pPr>
      <w:r w:rsidRPr="00061F17">
        <w:rPr>
          <w:rFonts w:eastAsia="Calibri" w:cs="Arial"/>
          <w:szCs w:val="19"/>
          <w:lang w:val="en-US"/>
        </w:rPr>
        <w:t>6.8</w:t>
      </w:r>
      <w:r w:rsidRPr="00061F17">
        <w:rPr>
          <w:rFonts w:eastAsia="Calibri" w:cs="Arial"/>
          <w:szCs w:val="19"/>
          <w:lang w:val="en-US"/>
        </w:rPr>
        <w:tab/>
        <w:t>DoT obtained the latest version of ITU’s EMF estimator Software and organized an ITU Workshop on 21</w:t>
      </w:r>
      <w:r w:rsidRPr="00061F17">
        <w:rPr>
          <w:rFonts w:eastAsia="Calibri" w:cs="Arial"/>
          <w:szCs w:val="19"/>
          <w:vertAlign w:val="superscript"/>
          <w:lang w:val="en-US"/>
        </w:rPr>
        <w:t xml:space="preserve">st </w:t>
      </w:r>
      <w:r w:rsidRPr="00061F17">
        <w:rPr>
          <w:rFonts w:eastAsia="Calibri" w:cs="Arial"/>
          <w:szCs w:val="19"/>
          <w:lang w:val="en-US"/>
        </w:rPr>
        <w:t>&amp; 22</w:t>
      </w:r>
      <w:r w:rsidRPr="00061F17">
        <w:rPr>
          <w:rFonts w:eastAsia="Calibri" w:cs="Arial"/>
          <w:szCs w:val="19"/>
          <w:vertAlign w:val="superscript"/>
          <w:lang w:val="en-US"/>
        </w:rPr>
        <w:t>nd</w:t>
      </w:r>
      <w:r w:rsidRPr="00061F17">
        <w:rPr>
          <w:rFonts w:eastAsia="Calibri" w:cs="Arial"/>
          <w:szCs w:val="19"/>
          <w:lang w:val="en-US"/>
        </w:rPr>
        <w:t xml:space="preserve"> May 2013 at Delhi. The Workshop has facilitated Indian Telecom Service Providers for better evaluation on the human exposure to electromagnetic field from multiple sources of communication installation, and for taking steps to reduce the radiation levels in the areas around transmitting stations. </w:t>
      </w:r>
    </w:p>
    <w:p w:rsidR="00FD027D" w:rsidRPr="00061F17" w:rsidRDefault="00FD027D" w:rsidP="00FD027D">
      <w:pPr>
        <w:tabs>
          <w:tab w:val="left" w:pos="-5670"/>
          <w:tab w:val="left" w:pos="-4962"/>
        </w:tabs>
        <w:rPr>
          <w:rFonts w:eastAsia="Calibri" w:cs="Arial"/>
          <w:szCs w:val="19"/>
          <w:lang w:val="en-US"/>
        </w:rPr>
      </w:pPr>
      <w:r w:rsidRPr="00061F17">
        <w:rPr>
          <w:rFonts w:eastAsia="Calibri" w:cs="Arial"/>
          <w:szCs w:val="19"/>
          <w:lang w:val="en-US"/>
        </w:rPr>
        <w:t>6.9</w:t>
      </w:r>
      <w:r w:rsidRPr="00061F17">
        <w:rPr>
          <w:rFonts w:eastAsia="Calibri" w:cs="Arial"/>
          <w:szCs w:val="19"/>
          <w:lang w:val="en-US"/>
        </w:rPr>
        <w:tab/>
        <w:t xml:space="preserve">Minutes of Usage/ Hours of Mobile Hand Usage by Indian Service Providers has been collected from Indian Mobile Operators across various Licensing Service Areas, based on IARC suggestion as in Para 6.7 above. The detailed data is enclosed as </w:t>
      </w:r>
      <w:r w:rsidRPr="00061F17">
        <w:rPr>
          <w:rFonts w:eastAsia="Calibri" w:cs="Arial"/>
          <w:b/>
          <w:szCs w:val="19"/>
          <w:lang w:val="en-US"/>
        </w:rPr>
        <w:t>Annex 10C</w:t>
      </w:r>
      <w:r w:rsidRPr="00061F17">
        <w:rPr>
          <w:rFonts w:eastAsia="Calibri" w:cs="Arial"/>
          <w:szCs w:val="19"/>
          <w:lang w:val="en-US"/>
        </w:rPr>
        <w:t xml:space="preserve">. There are 22 Licensed Service Areas and on an average, there are 10 Mobile Operators in each Licensed Area. </w:t>
      </w:r>
    </w:p>
    <w:p w:rsidR="00FD027D" w:rsidRPr="00061F17" w:rsidRDefault="00FD027D" w:rsidP="00FD027D">
      <w:pPr>
        <w:tabs>
          <w:tab w:val="left" w:pos="-5670"/>
          <w:tab w:val="left" w:pos="-4962"/>
        </w:tabs>
        <w:rPr>
          <w:rFonts w:eastAsia="Calibri" w:cs="Arial"/>
          <w:bCs/>
          <w:szCs w:val="19"/>
          <w:lang w:val="en-US"/>
        </w:rPr>
      </w:pPr>
      <w:r w:rsidRPr="00061F17">
        <w:rPr>
          <w:rFonts w:eastAsia="Calibri" w:cs="Arial"/>
          <w:szCs w:val="19"/>
          <w:lang w:val="en-US"/>
        </w:rPr>
        <w:t>6.10</w:t>
      </w:r>
      <w:r w:rsidRPr="00061F17">
        <w:rPr>
          <w:rFonts w:eastAsia="Calibri" w:cs="Arial"/>
          <w:szCs w:val="19"/>
          <w:lang w:val="en-US"/>
        </w:rPr>
        <w:tab/>
        <w:t xml:space="preserve">Typical Results show that on an average more than 100,000 Mobile users of one operator in one licensed service area have about 2 hours of mobile usage per day. Taking on an average 10 operators in all the 22 service area in India, at least 20 million mobile users have mobile usage of 2 or more hours per day. </w:t>
      </w:r>
    </w:p>
    <w:p w:rsidR="00FD027D" w:rsidRPr="00061F17" w:rsidRDefault="00FD027D" w:rsidP="00FD027D">
      <w:pPr>
        <w:tabs>
          <w:tab w:val="left" w:pos="-5670"/>
          <w:tab w:val="left" w:pos="-4962"/>
        </w:tabs>
        <w:rPr>
          <w:rFonts w:eastAsia="Calibri" w:cs="Arial"/>
          <w:bCs/>
          <w:szCs w:val="19"/>
          <w:lang w:val="en-US"/>
        </w:rPr>
      </w:pPr>
      <w:r w:rsidRPr="00061F17">
        <w:rPr>
          <w:rFonts w:eastAsia="Calibri" w:cs="Arial"/>
          <w:szCs w:val="19"/>
          <w:lang w:val="en-US"/>
        </w:rPr>
        <w:t>6.11</w:t>
      </w:r>
      <w:r w:rsidRPr="00061F17">
        <w:rPr>
          <w:rFonts w:eastAsia="Calibri" w:cs="Arial"/>
          <w:szCs w:val="19"/>
          <w:lang w:val="en-US"/>
        </w:rPr>
        <w:tab/>
        <w:t>In Europe, the tariff for mobile service is higher than fixed telephone service and the Tele-density for both Mobile &amp; Fixed Lines phones is comparable to the level of 100+ in Europe and that explains lower levels of usage of mobile.</w:t>
      </w:r>
    </w:p>
    <w:p w:rsidR="00FD027D" w:rsidRPr="00061F17" w:rsidRDefault="00FD027D" w:rsidP="00FD027D">
      <w:pPr>
        <w:tabs>
          <w:tab w:val="left" w:pos="-5670"/>
          <w:tab w:val="left" w:pos="-4962"/>
        </w:tabs>
        <w:rPr>
          <w:rFonts w:eastAsia="Calibri" w:cs="Arial"/>
          <w:szCs w:val="19"/>
          <w:lang w:val="en-US"/>
        </w:rPr>
      </w:pPr>
      <w:r w:rsidRPr="00061F17">
        <w:rPr>
          <w:rFonts w:eastAsia="Calibri" w:cs="Arial"/>
          <w:szCs w:val="19"/>
          <w:lang w:val="en-US"/>
        </w:rPr>
        <w:t>6.12</w:t>
      </w:r>
      <w:r w:rsidRPr="00061F17">
        <w:rPr>
          <w:rFonts w:eastAsia="Calibri" w:cs="Arial"/>
          <w:szCs w:val="19"/>
          <w:lang w:val="en-US"/>
        </w:rPr>
        <w:tab/>
        <w:t xml:space="preserve">Whereas, in developing countries the tariff for Mobile &amp; Fixed telephone is almost same and tele-density for mobile telephones are generally above 90% whereas it is less than 10% for Fixed telephones. </w:t>
      </w:r>
    </w:p>
    <w:p w:rsidR="00FD027D" w:rsidRPr="00061F17" w:rsidRDefault="00FD027D" w:rsidP="00FD027D">
      <w:pPr>
        <w:tabs>
          <w:tab w:val="left" w:pos="-5670"/>
          <w:tab w:val="left" w:pos="-4962"/>
        </w:tabs>
        <w:rPr>
          <w:rFonts w:eastAsia="Calibri" w:cs="Arial"/>
          <w:szCs w:val="19"/>
          <w:lang w:val="en-US"/>
        </w:rPr>
      </w:pPr>
      <w:r w:rsidRPr="00061F17">
        <w:rPr>
          <w:rFonts w:eastAsia="Calibri" w:cs="Arial"/>
          <w:szCs w:val="19"/>
          <w:lang w:val="en-US"/>
        </w:rPr>
        <w:t>6.13</w:t>
      </w:r>
      <w:r w:rsidRPr="00061F17">
        <w:rPr>
          <w:rFonts w:eastAsia="Calibri" w:cs="Arial"/>
          <w:szCs w:val="19"/>
          <w:lang w:val="en-US"/>
        </w:rPr>
        <w:tab/>
        <w:t xml:space="preserve">The usage in Indian study is many folds higher than Inter Phone Study inputs that are referenced in IARC’s Monograph 102 on EMF published on 24/4/2013 which on Page 421 (Chapter 6 on Conclusions) states “Radiofrequency Electromagnetic fields are possibly carcinogenic to humans (Group 2B).” </w:t>
      </w:r>
    </w:p>
    <w:p w:rsidR="00FD027D" w:rsidRPr="00061F17" w:rsidRDefault="00FD027D" w:rsidP="00FD027D">
      <w:pPr>
        <w:tabs>
          <w:tab w:val="left" w:pos="-5670"/>
          <w:tab w:val="left" w:pos="-4962"/>
        </w:tabs>
        <w:rPr>
          <w:rFonts w:eastAsia="Calibri" w:cs="Arial"/>
          <w:szCs w:val="19"/>
          <w:lang w:val="en-US"/>
        </w:rPr>
      </w:pPr>
      <w:r w:rsidRPr="00061F17">
        <w:rPr>
          <w:rFonts w:eastAsia="Calibri" w:cs="Arial"/>
          <w:szCs w:val="19"/>
          <w:lang w:val="en-US"/>
        </w:rPr>
        <w:t>6.14</w:t>
      </w:r>
      <w:r w:rsidRPr="00061F17">
        <w:rPr>
          <w:rFonts w:eastAsia="Calibri" w:cs="Arial"/>
          <w:szCs w:val="19"/>
          <w:lang w:val="en-US"/>
        </w:rPr>
        <w:tab/>
        <w:t xml:space="preserve">IARC and WHO need to go further from IARC Monographs’ 102 findings with focus on latest available inputs from developing world outside Europe. Inputs from Indian Case Study as above, is an example. </w:t>
      </w:r>
    </w:p>
    <w:p w:rsidR="00FD027D" w:rsidRPr="00061F17" w:rsidRDefault="00FD027D" w:rsidP="00FD027D">
      <w:pPr>
        <w:tabs>
          <w:tab w:val="left" w:pos="-5670"/>
          <w:tab w:val="left" w:pos="-4962"/>
        </w:tabs>
        <w:rPr>
          <w:rFonts w:eastAsia="Calibri" w:cs="Arial"/>
          <w:szCs w:val="19"/>
          <w:lang w:val="en-US"/>
        </w:rPr>
      </w:pPr>
      <w:r w:rsidRPr="00061F17">
        <w:rPr>
          <w:rFonts w:eastAsia="Calibri" w:cs="Arial"/>
          <w:szCs w:val="19"/>
          <w:lang w:val="en-US"/>
        </w:rPr>
        <w:t>6.15</w:t>
      </w:r>
      <w:r w:rsidRPr="00061F17">
        <w:rPr>
          <w:rFonts w:eastAsia="Calibri" w:cs="Arial"/>
          <w:szCs w:val="19"/>
          <w:lang w:val="en-US"/>
        </w:rPr>
        <w:tab/>
        <w:t>ITU needs to have a relook at all EMF related initiatives through Study Groups. Possibly a new ITU Focus Group on ‘EMF Radiation &amp; Health Issues’ cutting across ITU-T, ITU-R and ITU-D needs to be constituted.</w:t>
      </w:r>
    </w:p>
    <w:p w:rsidR="00FD027D" w:rsidRPr="00061F17" w:rsidRDefault="00FD027D" w:rsidP="00FD027D">
      <w:pPr>
        <w:keepNext/>
        <w:keepLines/>
        <w:tabs>
          <w:tab w:val="left" w:pos="-5670"/>
          <w:tab w:val="left" w:pos="-4962"/>
        </w:tabs>
        <w:rPr>
          <w:rFonts w:eastAsia="Calibri" w:cs="Arial"/>
          <w:bCs/>
          <w:szCs w:val="19"/>
          <w:lang w:val="en-US"/>
        </w:rPr>
      </w:pPr>
      <w:r w:rsidRPr="00061F17">
        <w:rPr>
          <w:rFonts w:eastAsia="Calibri" w:cs="Arial"/>
          <w:szCs w:val="19"/>
          <w:lang w:val="en-US"/>
        </w:rPr>
        <w:lastRenderedPageBreak/>
        <w:t>6.16</w:t>
      </w:r>
      <w:r w:rsidRPr="00061F17">
        <w:rPr>
          <w:rFonts w:eastAsia="Calibri" w:cs="Arial"/>
          <w:szCs w:val="19"/>
          <w:lang w:val="en-US"/>
        </w:rPr>
        <w:tab/>
        <w:t>Though ITU Recommendations on EMF calculations including exclusion zone distance calculations and EMF Estimator Software are available, but further up-gradation of the software is required.  India has already written to Secretary General (ITU) &amp; Director TSB (ITU) with a request to make it more user friendly and a special feature incorporating acceptance of Excel data based BTS data inputs by EMF Estimator software and avoiding manual keying of all the data. Further, linkages with 3D maps have also been requested.</w:t>
      </w:r>
    </w:p>
    <w:p w:rsidR="00FD027D" w:rsidRPr="00061F17" w:rsidRDefault="00FD027D" w:rsidP="00FD027D">
      <w:pPr>
        <w:rPr>
          <w:rFonts w:cs="Arial"/>
          <w:szCs w:val="19"/>
          <w:lang w:val="en-US"/>
        </w:rPr>
      </w:pPr>
      <w:r w:rsidRPr="00061F17">
        <w:rPr>
          <w:rFonts w:eastAsia="Calibri" w:cs="Arial"/>
          <w:szCs w:val="19"/>
          <w:lang w:val="en-US"/>
        </w:rPr>
        <w:t>6.17</w:t>
      </w:r>
      <w:r w:rsidRPr="00061F17">
        <w:rPr>
          <w:rFonts w:eastAsia="Calibri" w:cs="Arial"/>
          <w:szCs w:val="19"/>
          <w:lang w:val="en-US"/>
        </w:rPr>
        <w:tab/>
        <w:t xml:space="preserve">An ITU Handbook on EMF Radiation should also be taken up by ITU-D under Q 23/1 or proposed Focus Group. It can include ITU’s generic guidelines on EMF including safe distances to be maintained for populated location directly falling within the main radiated lobe coverage based on typical shared sites radiating at say 20 Watts/ sector along with other safe usage instructions. The Handbook should also include “How to minimize exposures to EMF Radiations from Mobile Towers and handsets”, Do’s&amp; Don’t related to mobile phone usage, clarifications on various myths regarding </w:t>
      </w:r>
      <w:r w:rsidRPr="00061F17">
        <w:rPr>
          <w:rFonts w:cs="Arial"/>
          <w:szCs w:val="19"/>
          <w:lang w:val="en-US"/>
        </w:rPr>
        <w:t>deployment, use of Radio waves / Safety Standards and frequently asked questions relating to Mobile phones &amp; Human health. The Handbook shall help in facilitating the right inputs for world telecom community and create an environment where everyone can use the radio wave safely.</w:t>
      </w:r>
    </w:p>
    <w:p w:rsidR="00FD027D" w:rsidRPr="00061F17" w:rsidRDefault="00FD027D" w:rsidP="00FD027D">
      <w:pPr>
        <w:spacing w:before="0"/>
        <w:rPr>
          <w:rFonts w:eastAsia="Calibri" w:cs="Arial"/>
          <w:b/>
          <w:szCs w:val="19"/>
          <w:lang w:val="en-US"/>
        </w:rPr>
      </w:pPr>
      <w:r w:rsidRPr="00061F17">
        <w:rPr>
          <w:rFonts w:eastAsia="Calibri" w:cs="Arial"/>
          <w:b/>
          <w:szCs w:val="19"/>
          <w:lang w:val="en-US"/>
        </w:rPr>
        <w:br w:type="page"/>
      </w:r>
    </w:p>
    <w:p w:rsidR="00FD027D" w:rsidRDefault="00FD027D" w:rsidP="00FD027D">
      <w:pPr>
        <w:pStyle w:val="Heading1"/>
        <w:tabs>
          <w:tab w:val="left" w:pos="1418"/>
        </w:tabs>
        <w:ind w:left="1418" w:hanging="1418"/>
        <w:rPr>
          <w:rFonts w:eastAsia="Calibri"/>
        </w:rPr>
      </w:pPr>
      <w:bookmarkStart w:id="170" w:name="_Toc374691852"/>
      <w:bookmarkStart w:id="171" w:name="_Toc377560491"/>
      <w:r w:rsidRPr="00061F17">
        <w:rPr>
          <w:rFonts w:eastAsia="Calibri"/>
        </w:rPr>
        <w:lastRenderedPageBreak/>
        <w:t xml:space="preserve">Annex 10A: </w:t>
      </w:r>
      <w:r>
        <w:rPr>
          <w:rFonts w:eastAsia="Calibri"/>
        </w:rPr>
        <w:tab/>
      </w:r>
      <w:r w:rsidRPr="00061F17">
        <w:rPr>
          <w:rFonts w:eastAsia="Calibri"/>
        </w:rPr>
        <w:t>Wireless</w:t>
      </w:r>
      <w:r>
        <w:rPr>
          <w:rFonts w:eastAsia="Calibri"/>
        </w:rPr>
        <w:t> </w:t>
      </w:r>
      <w:r w:rsidRPr="00061F17">
        <w:rPr>
          <w:rFonts w:eastAsia="Calibri"/>
        </w:rPr>
        <w:t>/</w:t>
      </w:r>
      <w:r>
        <w:rPr>
          <w:rFonts w:eastAsia="Calibri"/>
        </w:rPr>
        <w:t> </w:t>
      </w:r>
      <w:r w:rsidRPr="00061F17">
        <w:rPr>
          <w:rFonts w:eastAsia="Calibri"/>
        </w:rPr>
        <w:t>Landline subscribers as on 31</w:t>
      </w:r>
      <w:r w:rsidRPr="00061F17">
        <w:rPr>
          <w:rFonts w:eastAsia="Calibri"/>
          <w:vertAlign w:val="superscript"/>
        </w:rPr>
        <w:t>st</w:t>
      </w:r>
      <w:r w:rsidRPr="00061F17">
        <w:rPr>
          <w:rFonts w:eastAsia="Calibri"/>
        </w:rPr>
        <w:t xml:space="preserve"> March 2013 service area wise in India</w:t>
      </w:r>
      <w:bookmarkEnd w:id="170"/>
      <w:bookmarkEnd w:id="171"/>
    </w:p>
    <w:p w:rsidR="00FD027D" w:rsidRPr="00C71B8F" w:rsidRDefault="00FD027D" w:rsidP="00FD027D">
      <w:pPr>
        <w:rPr>
          <w:lang w:val="en-US"/>
        </w:rPr>
      </w:pPr>
    </w:p>
    <w:tbl>
      <w:tblPr>
        <w:tblStyle w:val="Style1"/>
        <w:tblW w:w="0" w:type="auto"/>
        <w:tblInd w:w="108" w:type="dxa"/>
        <w:tblLook w:val="04A0" w:firstRow="1" w:lastRow="0" w:firstColumn="1" w:lastColumn="0" w:noHBand="0" w:noVBand="1"/>
      </w:tblPr>
      <w:tblGrid>
        <w:gridCol w:w="720"/>
        <w:gridCol w:w="3060"/>
        <w:gridCol w:w="2610"/>
        <w:gridCol w:w="2682"/>
      </w:tblGrid>
      <w:tr w:rsidR="00FD027D" w:rsidRPr="001D6905" w:rsidTr="000C5108">
        <w:trPr>
          <w:cnfStyle w:val="100000000000" w:firstRow="1" w:lastRow="0" w:firstColumn="0" w:lastColumn="0" w:oddVBand="0" w:evenVBand="0" w:oddHBand="0" w:evenHBand="0" w:firstRowFirstColumn="0" w:firstRowLastColumn="0" w:lastRowFirstColumn="0" w:lastRowLastColumn="0"/>
        </w:trPr>
        <w:tc>
          <w:tcPr>
            <w:tcW w:w="720" w:type="dxa"/>
          </w:tcPr>
          <w:p w:rsidR="00FD027D" w:rsidRPr="00BD3B9A" w:rsidRDefault="00FD027D" w:rsidP="000C5108">
            <w:pPr>
              <w:pStyle w:val="Tablehead"/>
            </w:pPr>
            <w:r w:rsidRPr="00BD3B9A">
              <w:t>Sl No.</w:t>
            </w:r>
          </w:p>
        </w:tc>
        <w:tc>
          <w:tcPr>
            <w:tcW w:w="3060" w:type="dxa"/>
          </w:tcPr>
          <w:p w:rsidR="00FD027D" w:rsidRPr="00BD3B9A" w:rsidRDefault="00FD027D" w:rsidP="000C5108">
            <w:pPr>
              <w:pStyle w:val="Tablehead"/>
            </w:pPr>
            <w:r w:rsidRPr="00BD3B9A">
              <w:t>License Service Area</w:t>
            </w:r>
          </w:p>
        </w:tc>
        <w:tc>
          <w:tcPr>
            <w:tcW w:w="2610" w:type="dxa"/>
          </w:tcPr>
          <w:p w:rsidR="00FD027D" w:rsidRPr="00BD3B9A" w:rsidRDefault="00FD027D" w:rsidP="000C5108">
            <w:pPr>
              <w:pStyle w:val="Tablehead"/>
            </w:pPr>
            <w:r w:rsidRPr="00BD3B9A">
              <w:t>Number of Wireless Subscriber</w:t>
            </w:r>
          </w:p>
        </w:tc>
        <w:tc>
          <w:tcPr>
            <w:tcW w:w="2682" w:type="dxa"/>
          </w:tcPr>
          <w:p w:rsidR="00FD027D" w:rsidRPr="00BD3B9A" w:rsidRDefault="00FD027D" w:rsidP="000C5108">
            <w:pPr>
              <w:pStyle w:val="Tablehead"/>
            </w:pPr>
            <w:r w:rsidRPr="00BD3B9A">
              <w:t>Number of Landline Subscriber</w:t>
            </w:r>
          </w:p>
        </w:tc>
      </w:tr>
      <w:tr w:rsidR="00FD027D" w:rsidRPr="001D6905" w:rsidTr="000C5108">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FD027D" w:rsidRPr="001D6905" w:rsidRDefault="00FD027D" w:rsidP="000C5108">
            <w:pPr>
              <w:pStyle w:val="Tabletext"/>
            </w:pPr>
            <w:r w:rsidRPr="001D6905">
              <w:t>1</w:t>
            </w:r>
          </w:p>
        </w:tc>
        <w:tc>
          <w:tcPr>
            <w:tcW w:w="3060" w:type="dxa"/>
          </w:tcPr>
          <w:p w:rsidR="00FD027D" w:rsidRPr="001D6905" w:rsidRDefault="00FD027D" w:rsidP="000C5108">
            <w:pPr>
              <w:pStyle w:val="Tabletext"/>
              <w:rPr>
                <w:rFonts w:eastAsia="Calibri"/>
              </w:rPr>
            </w:pPr>
            <w:r w:rsidRPr="001D6905">
              <w:t>Andhra Pradesh</w:t>
            </w:r>
          </w:p>
        </w:tc>
        <w:tc>
          <w:tcPr>
            <w:tcW w:w="2610" w:type="dxa"/>
          </w:tcPr>
          <w:p w:rsidR="00FD027D" w:rsidRPr="001D6905" w:rsidRDefault="00FD027D" w:rsidP="000C5108">
            <w:pPr>
              <w:pStyle w:val="Tabletext"/>
              <w:rPr>
                <w:rFonts w:eastAsia="Calibri"/>
              </w:rPr>
            </w:pPr>
            <w:r w:rsidRPr="001D6905">
              <w:t>64363622</w:t>
            </w:r>
          </w:p>
        </w:tc>
        <w:tc>
          <w:tcPr>
            <w:tcW w:w="2682" w:type="dxa"/>
          </w:tcPr>
          <w:p w:rsidR="00FD027D" w:rsidRPr="001D6905" w:rsidRDefault="00FD027D" w:rsidP="000C5108">
            <w:pPr>
              <w:pStyle w:val="Tabletext"/>
              <w:rPr>
                <w:rFonts w:eastAsia="Calibri"/>
                <w:lang w:val="en-GB" w:eastAsia="ar-SA"/>
              </w:rPr>
            </w:pPr>
            <w:r w:rsidRPr="001D6905">
              <w:t>2239363</w:t>
            </w:r>
          </w:p>
        </w:tc>
      </w:tr>
      <w:tr w:rsidR="00FD027D" w:rsidRPr="001D6905" w:rsidTr="000C5108">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FD027D" w:rsidRPr="001D6905" w:rsidRDefault="00FD027D" w:rsidP="000C5108">
            <w:pPr>
              <w:pStyle w:val="Tabletext"/>
            </w:pPr>
            <w:r w:rsidRPr="001D6905">
              <w:t>2</w:t>
            </w:r>
          </w:p>
        </w:tc>
        <w:tc>
          <w:tcPr>
            <w:tcW w:w="3060" w:type="dxa"/>
          </w:tcPr>
          <w:p w:rsidR="00FD027D" w:rsidRPr="001D6905" w:rsidRDefault="00FD027D" w:rsidP="000C5108">
            <w:pPr>
              <w:pStyle w:val="Tabletext"/>
              <w:rPr>
                <w:rFonts w:eastAsia="Calibri"/>
              </w:rPr>
            </w:pPr>
            <w:r w:rsidRPr="001D6905">
              <w:t>Assam</w:t>
            </w:r>
          </w:p>
        </w:tc>
        <w:tc>
          <w:tcPr>
            <w:tcW w:w="2610" w:type="dxa"/>
          </w:tcPr>
          <w:p w:rsidR="00FD027D" w:rsidRPr="001D6905" w:rsidRDefault="00FD027D" w:rsidP="000C5108">
            <w:pPr>
              <w:pStyle w:val="Tabletext"/>
              <w:rPr>
                <w:rFonts w:eastAsia="Calibri"/>
              </w:rPr>
            </w:pPr>
            <w:r w:rsidRPr="001D6905">
              <w:t>14387664</w:t>
            </w:r>
          </w:p>
        </w:tc>
        <w:tc>
          <w:tcPr>
            <w:tcW w:w="2682" w:type="dxa"/>
          </w:tcPr>
          <w:p w:rsidR="00FD027D" w:rsidRPr="001D6905" w:rsidRDefault="00FD027D" w:rsidP="000C5108">
            <w:pPr>
              <w:pStyle w:val="Tabletext"/>
              <w:rPr>
                <w:rFonts w:eastAsia="Calibri"/>
                <w:lang w:val="en-GB" w:eastAsia="ar-SA"/>
              </w:rPr>
            </w:pPr>
            <w:r w:rsidRPr="001D6905">
              <w:t>194395</w:t>
            </w:r>
          </w:p>
        </w:tc>
      </w:tr>
      <w:tr w:rsidR="00FD027D" w:rsidRPr="001D6905" w:rsidTr="000C5108">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FD027D" w:rsidRPr="001D6905" w:rsidRDefault="00FD027D" w:rsidP="000C5108">
            <w:pPr>
              <w:pStyle w:val="Tabletext"/>
            </w:pPr>
            <w:r w:rsidRPr="001D6905">
              <w:t>3</w:t>
            </w:r>
          </w:p>
        </w:tc>
        <w:tc>
          <w:tcPr>
            <w:tcW w:w="3060" w:type="dxa"/>
          </w:tcPr>
          <w:p w:rsidR="00FD027D" w:rsidRPr="001D6905" w:rsidRDefault="00FD027D" w:rsidP="000C5108">
            <w:pPr>
              <w:pStyle w:val="Tabletext"/>
              <w:rPr>
                <w:rFonts w:eastAsia="Calibri"/>
              </w:rPr>
            </w:pPr>
            <w:r w:rsidRPr="001D6905">
              <w:t>Bihar</w:t>
            </w:r>
          </w:p>
        </w:tc>
        <w:tc>
          <w:tcPr>
            <w:tcW w:w="2610" w:type="dxa"/>
          </w:tcPr>
          <w:p w:rsidR="00FD027D" w:rsidRPr="001D6905" w:rsidRDefault="00FD027D" w:rsidP="000C5108">
            <w:pPr>
              <w:pStyle w:val="Tabletext"/>
              <w:rPr>
                <w:rFonts w:eastAsia="Calibri"/>
              </w:rPr>
            </w:pPr>
            <w:r w:rsidRPr="001D6905">
              <w:t>60301859</w:t>
            </w:r>
          </w:p>
        </w:tc>
        <w:tc>
          <w:tcPr>
            <w:tcW w:w="2682" w:type="dxa"/>
          </w:tcPr>
          <w:p w:rsidR="00FD027D" w:rsidRPr="001D6905" w:rsidRDefault="00FD027D" w:rsidP="000C5108">
            <w:pPr>
              <w:pStyle w:val="Tabletext"/>
              <w:rPr>
                <w:rFonts w:eastAsia="Calibri"/>
                <w:lang w:val="en-GB" w:eastAsia="ar-SA"/>
              </w:rPr>
            </w:pPr>
            <w:r w:rsidRPr="001D6905">
              <w:t>394129</w:t>
            </w:r>
          </w:p>
        </w:tc>
      </w:tr>
      <w:tr w:rsidR="00FD027D" w:rsidRPr="001D6905" w:rsidTr="000C5108">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FD027D" w:rsidRPr="001D6905" w:rsidRDefault="00FD027D" w:rsidP="000C5108">
            <w:pPr>
              <w:pStyle w:val="Tabletext"/>
            </w:pPr>
            <w:r w:rsidRPr="001D6905">
              <w:t>4</w:t>
            </w:r>
          </w:p>
        </w:tc>
        <w:tc>
          <w:tcPr>
            <w:tcW w:w="3060" w:type="dxa"/>
          </w:tcPr>
          <w:p w:rsidR="00FD027D" w:rsidRPr="001D6905" w:rsidRDefault="00FD027D" w:rsidP="000C5108">
            <w:pPr>
              <w:pStyle w:val="Tabletext"/>
              <w:rPr>
                <w:rFonts w:eastAsia="Calibri"/>
              </w:rPr>
            </w:pPr>
            <w:r w:rsidRPr="001D6905">
              <w:t>Delhi</w:t>
            </w:r>
          </w:p>
        </w:tc>
        <w:tc>
          <w:tcPr>
            <w:tcW w:w="2610" w:type="dxa"/>
          </w:tcPr>
          <w:p w:rsidR="00FD027D" w:rsidRPr="001D6905" w:rsidRDefault="00FD027D" w:rsidP="000C5108">
            <w:pPr>
              <w:pStyle w:val="Tabletext"/>
              <w:rPr>
                <w:rFonts w:eastAsia="Calibri"/>
              </w:rPr>
            </w:pPr>
            <w:r w:rsidRPr="001D6905">
              <w:t>40426200</w:t>
            </w:r>
          </w:p>
        </w:tc>
        <w:tc>
          <w:tcPr>
            <w:tcW w:w="2682" w:type="dxa"/>
          </w:tcPr>
          <w:p w:rsidR="00FD027D" w:rsidRPr="001D6905" w:rsidRDefault="00FD027D" w:rsidP="000C5108">
            <w:pPr>
              <w:pStyle w:val="Tabletext"/>
              <w:rPr>
                <w:rFonts w:eastAsia="Calibri"/>
                <w:lang w:val="en-GB" w:eastAsia="ar-SA"/>
              </w:rPr>
            </w:pPr>
            <w:r w:rsidRPr="001D6905">
              <w:t>2962600</w:t>
            </w:r>
          </w:p>
        </w:tc>
      </w:tr>
      <w:tr w:rsidR="00FD027D" w:rsidRPr="001D6905" w:rsidTr="000C5108">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FD027D" w:rsidRPr="001D6905" w:rsidRDefault="00FD027D" w:rsidP="000C5108">
            <w:pPr>
              <w:pStyle w:val="Tabletext"/>
            </w:pPr>
            <w:r w:rsidRPr="001D6905">
              <w:t>5</w:t>
            </w:r>
          </w:p>
        </w:tc>
        <w:tc>
          <w:tcPr>
            <w:tcW w:w="3060" w:type="dxa"/>
          </w:tcPr>
          <w:p w:rsidR="00FD027D" w:rsidRPr="001D6905" w:rsidRDefault="00FD027D" w:rsidP="000C5108">
            <w:pPr>
              <w:pStyle w:val="Tabletext"/>
              <w:rPr>
                <w:rFonts w:eastAsia="Calibri"/>
              </w:rPr>
            </w:pPr>
            <w:r w:rsidRPr="001D6905">
              <w:t>Gujarat</w:t>
            </w:r>
          </w:p>
        </w:tc>
        <w:tc>
          <w:tcPr>
            <w:tcW w:w="2610" w:type="dxa"/>
          </w:tcPr>
          <w:p w:rsidR="00FD027D" w:rsidRPr="001D6905" w:rsidRDefault="00FD027D" w:rsidP="000C5108">
            <w:pPr>
              <w:pStyle w:val="Tabletext"/>
              <w:rPr>
                <w:rFonts w:eastAsia="Calibri"/>
              </w:rPr>
            </w:pPr>
            <w:r w:rsidRPr="001D6905">
              <w:t>51693364</w:t>
            </w:r>
          </w:p>
        </w:tc>
        <w:tc>
          <w:tcPr>
            <w:tcW w:w="2682" w:type="dxa"/>
          </w:tcPr>
          <w:p w:rsidR="00FD027D" w:rsidRPr="001D6905" w:rsidRDefault="00FD027D" w:rsidP="000C5108">
            <w:pPr>
              <w:pStyle w:val="Tabletext"/>
              <w:rPr>
                <w:rFonts w:eastAsia="Calibri"/>
                <w:lang w:val="en-GB" w:eastAsia="ar-SA"/>
              </w:rPr>
            </w:pPr>
            <w:r w:rsidRPr="001D6905">
              <w:t>1792030</w:t>
            </w:r>
          </w:p>
        </w:tc>
      </w:tr>
      <w:tr w:rsidR="00FD027D" w:rsidRPr="001D6905" w:rsidTr="000C5108">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FD027D" w:rsidRPr="001D6905" w:rsidRDefault="00FD027D" w:rsidP="000C5108">
            <w:pPr>
              <w:pStyle w:val="Tabletext"/>
            </w:pPr>
            <w:r w:rsidRPr="001D6905">
              <w:t>6</w:t>
            </w:r>
          </w:p>
        </w:tc>
        <w:tc>
          <w:tcPr>
            <w:tcW w:w="3060" w:type="dxa"/>
          </w:tcPr>
          <w:p w:rsidR="00FD027D" w:rsidRPr="001D6905" w:rsidRDefault="00FD027D" w:rsidP="000C5108">
            <w:pPr>
              <w:pStyle w:val="Tabletext"/>
              <w:rPr>
                <w:rFonts w:eastAsia="Calibri"/>
              </w:rPr>
            </w:pPr>
            <w:r w:rsidRPr="001D6905">
              <w:t>Haryana</w:t>
            </w:r>
          </w:p>
        </w:tc>
        <w:tc>
          <w:tcPr>
            <w:tcW w:w="2610" w:type="dxa"/>
          </w:tcPr>
          <w:p w:rsidR="00FD027D" w:rsidRPr="001D6905" w:rsidRDefault="00FD027D" w:rsidP="000C5108">
            <w:pPr>
              <w:pStyle w:val="Tabletext"/>
              <w:rPr>
                <w:rFonts w:eastAsia="Calibri"/>
              </w:rPr>
            </w:pPr>
            <w:r w:rsidRPr="001D6905">
              <w:t>19543589</w:t>
            </w:r>
          </w:p>
        </w:tc>
        <w:tc>
          <w:tcPr>
            <w:tcW w:w="2682" w:type="dxa"/>
          </w:tcPr>
          <w:p w:rsidR="00FD027D" w:rsidRPr="001D6905" w:rsidRDefault="00FD027D" w:rsidP="000C5108">
            <w:pPr>
              <w:pStyle w:val="Tabletext"/>
              <w:rPr>
                <w:rFonts w:eastAsia="Calibri"/>
                <w:lang w:val="en-GB" w:eastAsia="ar-SA"/>
              </w:rPr>
            </w:pPr>
            <w:r w:rsidRPr="001D6905">
              <w:t>560474</w:t>
            </w:r>
          </w:p>
        </w:tc>
      </w:tr>
      <w:tr w:rsidR="00FD027D" w:rsidRPr="001D6905" w:rsidTr="000C5108">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FD027D" w:rsidRPr="001D6905" w:rsidRDefault="00FD027D" w:rsidP="000C5108">
            <w:pPr>
              <w:pStyle w:val="Tabletext"/>
            </w:pPr>
            <w:r w:rsidRPr="001D6905">
              <w:t>7</w:t>
            </w:r>
          </w:p>
        </w:tc>
        <w:tc>
          <w:tcPr>
            <w:tcW w:w="3060" w:type="dxa"/>
          </w:tcPr>
          <w:p w:rsidR="00FD027D" w:rsidRPr="001D6905" w:rsidRDefault="00FD027D" w:rsidP="000C5108">
            <w:pPr>
              <w:pStyle w:val="Tabletext"/>
              <w:rPr>
                <w:rFonts w:eastAsia="Calibri"/>
              </w:rPr>
            </w:pPr>
            <w:r w:rsidRPr="001D6905">
              <w:t>Himachal Pradesh</w:t>
            </w:r>
          </w:p>
        </w:tc>
        <w:tc>
          <w:tcPr>
            <w:tcW w:w="2610" w:type="dxa"/>
          </w:tcPr>
          <w:p w:rsidR="00FD027D" w:rsidRPr="001D6905" w:rsidRDefault="00FD027D" w:rsidP="000C5108">
            <w:pPr>
              <w:pStyle w:val="Tabletext"/>
              <w:rPr>
                <w:rFonts w:eastAsia="Calibri"/>
              </w:rPr>
            </w:pPr>
            <w:r w:rsidRPr="001D6905">
              <w:t>7015343</w:t>
            </w:r>
          </w:p>
        </w:tc>
        <w:tc>
          <w:tcPr>
            <w:tcW w:w="2682" w:type="dxa"/>
          </w:tcPr>
          <w:p w:rsidR="00FD027D" w:rsidRPr="001D6905" w:rsidRDefault="00FD027D" w:rsidP="000C5108">
            <w:pPr>
              <w:pStyle w:val="Tabletext"/>
              <w:rPr>
                <w:rFonts w:eastAsia="Calibri"/>
                <w:lang w:val="en-GB" w:eastAsia="ar-SA"/>
              </w:rPr>
            </w:pPr>
            <w:r w:rsidRPr="001D6905">
              <w:t>280669</w:t>
            </w:r>
          </w:p>
        </w:tc>
      </w:tr>
      <w:tr w:rsidR="00FD027D" w:rsidRPr="001D6905" w:rsidTr="000C5108">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FD027D" w:rsidRPr="001D6905" w:rsidRDefault="00FD027D" w:rsidP="000C5108">
            <w:pPr>
              <w:pStyle w:val="Tabletext"/>
            </w:pPr>
            <w:r w:rsidRPr="001D6905">
              <w:t>8</w:t>
            </w:r>
          </w:p>
        </w:tc>
        <w:tc>
          <w:tcPr>
            <w:tcW w:w="3060" w:type="dxa"/>
          </w:tcPr>
          <w:p w:rsidR="00FD027D" w:rsidRPr="001D6905" w:rsidRDefault="00FD027D" w:rsidP="000C5108">
            <w:pPr>
              <w:pStyle w:val="Tabletext"/>
              <w:rPr>
                <w:rFonts w:eastAsia="Calibri"/>
              </w:rPr>
            </w:pPr>
            <w:r w:rsidRPr="001D6905">
              <w:t>Jammu &amp; Kashmir</w:t>
            </w:r>
          </w:p>
        </w:tc>
        <w:tc>
          <w:tcPr>
            <w:tcW w:w="2610" w:type="dxa"/>
          </w:tcPr>
          <w:p w:rsidR="00FD027D" w:rsidRPr="001D6905" w:rsidRDefault="00FD027D" w:rsidP="000C5108">
            <w:pPr>
              <w:pStyle w:val="Tabletext"/>
              <w:rPr>
                <w:rFonts w:eastAsia="Calibri"/>
              </w:rPr>
            </w:pPr>
            <w:r w:rsidRPr="001D6905">
              <w:t>6844607</w:t>
            </w:r>
          </w:p>
        </w:tc>
        <w:tc>
          <w:tcPr>
            <w:tcW w:w="2682" w:type="dxa"/>
          </w:tcPr>
          <w:p w:rsidR="00FD027D" w:rsidRPr="001D6905" w:rsidRDefault="00FD027D" w:rsidP="000C5108">
            <w:pPr>
              <w:pStyle w:val="Tabletext"/>
              <w:rPr>
                <w:rFonts w:eastAsia="Calibri"/>
                <w:lang w:val="en-GB" w:eastAsia="ar-SA"/>
              </w:rPr>
            </w:pPr>
            <w:r w:rsidRPr="001D6905">
              <w:t>196811</w:t>
            </w:r>
          </w:p>
        </w:tc>
      </w:tr>
      <w:tr w:rsidR="00FD027D" w:rsidRPr="001D6905" w:rsidTr="000C5108">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FD027D" w:rsidRPr="001D6905" w:rsidRDefault="00FD027D" w:rsidP="000C5108">
            <w:pPr>
              <w:pStyle w:val="Tabletext"/>
            </w:pPr>
            <w:r w:rsidRPr="001D6905">
              <w:t>9</w:t>
            </w:r>
          </w:p>
        </w:tc>
        <w:tc>
          <w:tcPr>
            <w:tcW w:w="3060" w:type="dxa"/>
          </w:tcPr>
          <w:p w:rsidR="00FD027D" w:rsidRPr="001D6905" w:rsidRDefault="00FD027D" w:rsidP="000C5108">
            <w:pPr>
              <w:pStyle w:val="Tabletext"/>
              <w:rPr>
                <w:rFonts w:eastAsia="Calibri"/>
              </w:rPr>
            </w:pPr>
            <w:r w:rsidRPr="001D6905">
              <w:t>Karnataka</w:t>
            </w:r>
          </w:p>
        </w:tc>
        <w:tc>
          <w:tcPr>
            <w:tcW w:w="2610" w:type="dxa"/>
          </w:tcPr>
          <w:p w:rsidR="00FD027D" w:rsidRPr="001D6905" w:rsidRDefault="00FD027D" w:rsidP="000C5108">
            <w:pPr>
              <w:pStyle w:val="Tabletext"/>
              <w:rPr>
                <w:rFonts w:eastAsia="Calibri"/>
              </w:rPr>
            </w:pPr>
            <w:r w:rsidRPr="001D6905">
              <w:t>52914789</w:t>
            </w:r>
          </w:p>
        </w:tc>
        <w:tc>
          <w:tcPr>
            <w:tcW w:w="2682" w:type="dxa"/>
          </w:tcPr>
          <w:p w:rsidR="00FD027D" w:rsidRPr="001D6905" w:rsidRDefault="00FD027D" w:rsidP="000C5108">
            <w:pPr>
              <w:pStyle w:val="Tabletext"/>
              <w:rPr>
                <w:rFonts w:eastAsia="Calibri"/>
                <w:lang w:val="en-GB" w:eastAsia="ar-SA"/>
              </w:rPr>
            </w:pPr>
            <w:r w:rsidRPr="001D6905">
              <w:t>2443394</w:t>
            </w:r>
          </w:p>
        </w:tc>
      </w:tr>
      <w:tr w:rsidR="00FD027D" w:rsidRPr="001D6905" w:rsidTr="000C5108">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FD027D" w:rsidRPr="001D6905" w:rsidRDefault="00FD027D" w:rsidP="000C5108">
            <w:pPr>
              <w:pStyle w:val="Tabletext"/>
            </w:pPr>
            <w:r w:rsidRPr="001D6905">
              <w:t>10</w:t>
            </w:r>
          </w:p>
        </w:tc>
        <w:tc>
          <w:tcPr>
            <w:tcW w:w="3060" w:type="dxa"/>
          </w:tcPr>
          <w:p w:rsidR="00FD027D" w:rsidRPr="001D6905" w:rsidRDefault="00FD027D" w:rsidP="000C5108">
            <w:pPr>
              <w:pStyle w:val="Tabletext"/>
              <w:rPr>
                <w:rFonts w:eastAsia="Calibri"/>
              </w:rPr>
            </w:pPr>
            <w:r w:rsidRPr="001D6905">
              <w:t>Kerala</w:t>
            </w:r>
          </w:p>
        </w:tc>
        <w:tc>
          <w:tcPr>
            <w:tcW w:w="2610" w:type="dxa"/>
          </w:tcPr>
          <w:p w:rsidR="00FD027D" w:rsidRPr="001D6905" w:rsidRDefault="00FD027D" w:rsidP="000C5108">
            <w:pPr>
              <w:pStyle w:val="Tabletext"/>
              <w:rPr>
                <w:rFonts w:eastAsia="Calibri"/>
              </w:rPr>
            </w:pPr>
            <w:r w:rsidRPr="001D6905">
              <w:t>30692668</w:t>
            </w:r>
          </w:p>
        </w:tc>
        <w:tc>
          <w:tcPr>
            <w:tcW w:w="2682" w:type="dxa"/>
          </w:tcPr>
          <w:p w:rsidR="00FD027D" w:rsidRPr="001D6905" w:rsidRDefault="00FD027D" w:rsidP="000C5108">
            <w:pPr>
              <w:pStyle w:val="Tabletext"/>
              <w:rPr>
                <w:rFonts w:eastAsia="Calibri"/>
                <w:lang w:val="en-GB" w:eastAsia="ar-SA"/>
              </w:rPr>
            </w:pPr>
            <w:r w:rsidRPr="001D6905">
              <w:t>3064818</w:t>
            </w:r>
          </w:p>
        </w:tc>
      </w:tr>
      <w:tr w:rsidR="00FD027D" w:rsidRPr="001D6905" w:rsidTr="000C5108">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FD027D" w:rsidRPr="001D6905" w:rsidRDefault="00FD027D" w:rsidP="000C5108">
            <w:pPr>
              <w:pStyle w:val="Tabletext"/>
            </w:pPr>
            <w:r w:rsidRPr="001D6905">
              <w:t>11</w:t>
            </w:r>
          </w:p>
        </w:tc>
        <w:tc>
          <w:tcPr>
            <w:tcW w:w="3060" w:type="dxa"/>
          </w:tcPr>
          <w:p w:rsidR="00FD027D" w:rsidRPr="001D6905" w:rsidRDefault="00FD027D" w:rsidP="000C5108">
            <w:pPr>
              <w:pStyle w:val="Tabletext"/>
              <w:rPr>
                <w:rFonts w:eastAsia="Calibri"/>
              </w:rPr>
            </w:pPr>
            <w:r w:rsidRPr="001D6905">
              <w:t>Kolkata</w:t>
            </w:r>
          </w:p>
        </w:tc>
        <w:tc>
          <w:tcPr>
            <w:tcW w:w="2610" w:type="dxa"/>
          </w:tcPr>
          <w:p w:rsidR="00FD027D" w:rsidRPr="001D6905" w:rsidRDefault="00FD027D" w:rsidP="000C5108">
            <w:pPr>
              <w:pStyle w:val="Tabletext"/>
              <w:rPr>
                <w:rFonts w:eastAsia="Calibri"/>
              </w:rPr>
            </w:pPr>
            <w:r w:rsidRPr="001D6905">
              <w:t>21260064</w:t>
            </w:r>
          </w:p>
        </w:tc>
        <w:tc>
          <w:tcPr>
            <w:tcW w:w="2682" w:type="dxa"/>
          </w:tcPr>
          <w:p w:rsidR="00FD027D" w:rsidRPr="001D6905" w:rsidRDefault="00FD027D" w:rsidP="000C5108">
            <w:pPr>
              <w:pStyle w:val="Tabletext"/>
              <w:rPr>
                <w:rFonts w:eastAsia="Calibri"/>
                <w:lang w:val="en-GB" w:eastAsia="ar-SA"/>
              </w:rPr>
            </w:pPr>
            <w:r w:rsidRPr="001D6905">
              <w:t>1144255</w:t>
            </w:r>
          </w:p>
        </w:tc>
      </w:tr>
      <w:tr w:rsidR="00FD027D" w:rsidRPr="001D6905" w:rsidTr="000C5108">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FD027D" w:rsidRPr="001D6905" w:rsidRDefault="00FD027D" w:rsidP="000C5108">
            <w:pPr>
              <w:pStyle w:val="Tabletext"/>
            </w:pPr>
            <w:r w:rsidRPr="001D6905">
              <w:t>12</w:t>
            </w:r>
          </w:p>
        </w:tc>
        <w:tc>
          <w:tcPr>
            <w:tcW w:w="3060" w:type="dxa"/>
          </w:tcPr>
          <w:p w:rsidR="00FD027D" w:rsidRPr="001D6905" w:rsidRDefault="00FD027D" w:rsidP="000C5108">
            <w:pPr>
              <w:pStyle w:val="Tabletext"/>
              <w:rPr>
                <w:rFonts w:eastAsia="Calibri"/>
              </w:rPr>
            </w:pPr>
            <w:r w:rsidRPr="001D6905">
              <w:t>Madhya Pradesh</w:t>
            </w:r>
          </w:p>
        </w:tc>
        <w:tc>
          <w:tcPr>
            <w:tcW w:w="2610" w:type="dxa"/>
          </w:tcPr>
          <w:p w:rsidR="00FD027D" w:rsidRPr="001D6905" w:rsidRDefault="00FD027D" w:rsidP="000C5108">
            <w:pPr>
              <w:pStyle w:val="Tabletext"/>
              <w:rPr>
                <w:rFonts w:eastAsia="Calibri"/>
              </w:rPr>
            </w:pPr>
            <w:r w:rsidRPr="001D6905">
              <w:t>52164292</w:t>
            </w:r>
          </w:p>
        </w:tc>
        <w:tc>
          <w:tcPr>
            <w:tcW w:w="2682" w:type="dxa"/>
          </w:tcPr>
          <w:p w:rsidR="00FD027D" w:rsidRPr="001D6905" w:rsidRDefault="00FD027D" w:rsidP="000C5108">
            <w:pPr>
              <w:pStyle w:val="Tabletext"/>
              <w:rPr>
                <w:rFonts w:eastAsia="Calibri"/>
                <w:lang w:val="en-GB" w:eastAsia="ar-SA"/>
              </w:rPr>
            </w:pPr>
            <w:r w:rsidRPr="001D6905">
              <w:t>1120350</w:t>
            </w:r>
          </w:p>
        </w:tc>
      </w:tr>
      <w:tr w:rsidR="00FD027D" w:rsidRPr="001D6905" w:rsidTr="000C5108">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FD027D" w:rsidRPr="001D6905" w:rsidRDefault="00FD027D" w:rsidP="000C5108">
            <w:pPr>
              <w:pStyle w:val="Tabletext"/>
            </w:pPr>
            <w:r w:rsidRPr="001D6905">
              <w:t>13</w:t>
            </w:r>
          </w:p>
        </w:tc>
        <w:tc>
          <w:tcPr>
            <w:tcW w:w="3060" w:type="dxa"/>
          </w:tcPr>
          <w:p w:rsidR="00FD027D" w:rsidRPr="001D6905" w:rsidRDefault="00FD027D" w:rsidP="000C5108">
            <w:pPr>
              <w:pStyle w:val="Tabletext"/>
              <w:rPr>
                <w:rFonts w:eastAsia="Calibri"/>
              </w:rPr>
            </w:pPr>
            <w:r w:rsidRPr="001D6905">
              <w:t>Maharashtra</w:t>
            </w:r>
          </w:p>
        </w:tc>
        <w:tc>
          <w:tcPr>
            <w:tcW w:w="2610" w:type="dxa"/>
          </w:tcPr>
          <w:p w:rsidR="00FD027D" w:rsidRPr="001D6905" w:rsidRDefault="00FD027D" w:rsidP="000C5108">
            <w:pPr>
              <w:pStyle w:val="Tabletext"/>
              <w:rPr>
                <w:rFonts w:eastAsia="Calibri"/>
              </w:rPr>
            </w:pPr>
            <w:r w:rsidRPr="001D6905">
              <w:t>68400365</w:t>
            </w:r>
          </w:p>
        </w:tc>
        <w:tc>
          <w:tcPr>
            <w:tcW w:w="2682" w:type="dxa"/>
          </w:tcPr>
          <w:p w:rsidR="00FD027D" w:rsidRPr="001D6905" w:rsidRDefault="00FD027D" w:rsidP="000C5108">
            <w:pPr>
              <w:pStyle w:val="Tabletext"/>
              <w:rPr>
                <w:rFonts w:eastAsia="Calibri"/>
                <w:lang w:val="en-GB" w:eastAsia="ar-SA"/>
              </w:rPr>
            </w:pPr>
            <w:r w:rsidRPr="001D6905">
              <w:t>2466496</w:t>
            </w:r>
          </w:p>
        </w:tc>
      </w:tr>
      <w:tr w:rsidR="00FD027D" w:rsidRPr="001D6905" w:rsidTr="000C5108">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FD027D" w:rsidRPr="001D6905" w:rsidRDefault="00FD027D" w:rsidP="000C5108">
            <w:pPr>
              <w:pStyle w:val="Tabletext"/>
            </w:pPr>
            <w:r w:rsidRPr="001D6905">
              <w:t>14</w:t>
            </w:r>
          </w:p>
        </w:tc>
        <w:tc>
          <w:tcPr>
            <w:tcW w:w="3060" w:type="dxa"/>
          </w:tcPr>
          <w:p w:rsidR="00FD027D" w:rsidRPr="001D6905" w:rsidRDefault="00FD027D" w:rsidP="000C5108">
            <w:pPr>
              <w:pStyle w:val="Tabletext"/>
              <w:rPr>
                <w:rFonts w:eastAsia="Calibri"/>
              </w:rPr>
            </w:pPr>
            <w:r w:rsidRPr="001D6905">
              <w:t>Mumbai</w:t>
            </w:r>
          </w:p>
        </w:tc>
        <w:tc>
          <w:tcPr>
            <w:tcW w:w="2610" w:type="dxa"/>
          </w:tcPr>
          <w:p w:rsidR="00FD027D" w:rsidRPr="001D6905" w:rsidRDefault="00FD027D" w:rsidP="000C5108">
            <w:pPr>
              <w:pStyle w:val="Tabletext"/>
              <w:rPr>
                <w:rFonts w:eastAsia="Calibri"/>
              </w:rPr>
            </w:pPr>
            <w:r w:rsidRPr="001D6905">
              <w:t>30372793</w:t>
            </w:r>
          </w:p>
        </w:tc>
        <w:tc>
          <w:tcPr>
            <w:tcW w:w="2682" w:type="dxa"/>
          </w:tcPr>
          <w:p w:rsidR="00FD027D" w:rsidRPr="001D6905" w:rsidRDefault="00FD027D" w:rsidP="000C5108">
            <w:pPr>
              <w:pStyle w:val="Tabletext"/>
              <w:rPr>
                <w:rFonts w:eastAsia="Calibri"/>
                <w:lang w:val="en-GB" w:eastAsia="ar-SA"/>
              </w:rPr>
            </w:pPr>
            <w:r w:rsidRPr="001D6905">
              <w:t>2985057</w:t>
            </w:r>
          </w:p>
        </w:tc>
      </w:tr>
      <w:tr w:rsidR="00FD027D" w:rsidRPr="001D6905" w:rsidTr="000C5108">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FD027D" w:rsidRPr="001D6905" w:rsidRDefault="00FD027D" w:rsidP="000C5108">
            <w:pPr>
              <w:pStyle w:val="Tabletext"/>
            </w:pPr>
            <w:r w:rsidRPr="001D6905">
              <w:t>15</w:t>
            </w:r>
          </w:p>
        </w:tc>
        <w:tc>
          <w:tcPr>
            <w:tcW w:w="3060" w:type="dxa"/>
          </w:tcPr>
          <w:p w:rsidR="00FD027D" w:rsidRPr="001D6905" w:rsidRDefault="00FD027D" w:rsidP="000C5108">
            <w:pPr>
              <w:pStyle w:val="Tabletext"/>
              <w:rPr>
                <w:rFonts w:eastAsia="Calibri"/>
              </w:rPr>
            </w:pPr>
            <w:r w:rsidRPr="001D6905">
              <w:t>North East</w:t>
            </w:r>
          </w:p>
        </w:tc>
        <w:tc>
          <w:tcPr>
            <w:tcW w:w="2610" w:type="dxa"/>
          </w:tcPr>
          <w:p w:rsidR="00FD027D" w:rsidRPr="001D6905" w:rsidRDefault="00FD027D" w:rsidP="000C5108">
            <w:pPr>
              <w:pStyle w:val="Tabletext"/>
              <w:rPr>
                <w:rFonts w:eastAsia="Calibri"/>
              </w:rPr>
            </w:pPr>
            <w:r w:rsidRPr="001D6905">
              <w:t>8960542</w:t>
            </w:r>
          </w:p>
        </w:tc>
        <w:tc>
          <w:tcPr>
            <w:tcW w:w="2682" w:type="dxa"/>
          </w:tcPr>
          <w:p w:rsidR="00FD027D" w:rsidRPr="001D6905" w:rsidRDefault="00FD027D" w:rsidP="000C5108">
            <w:pPr>
              <w:pStyle w:val="Tabletext"/>
              <w:rPr>
                <w:rFonts w:eastAsia="Calibri"/>
                <w:lang w:val="en-GB" w:eastAsia="ar-SA"/>
              </w:rPr>
            </w:pPr>
            <w:r w:rsidRPr="001D6905">
              <w:t>189884</w:t>
            </w:r>
          </w:p>
        </w:tc>
      </w:tr>
      <w:tr w:rsidR="00FD027D" w:rsidRPr="001D6905" w:rsidTr="000C5108">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FD027D" w:rsidRPr="001D6905" w:rsidRDefault="00FD027D" w:rsidP="000C5108">
            <w:pPr>
              <w:pStyle w:val="Tabletext"/>
            </w:pPr>
            <w:r w:rsidRPr="001D6905">
              <w:t>16</w:t>
            </w:r>
          </w:p>
        </w:tc>
        <w:tc>
          <w:tcPr>
            <w:tcW w:w="3060" w:type="dxa"/>
          </w:tcPr>
          <w:p w:rsidR="00FD027D" w:rsidRPr="001D6905" w:rsidRDefault="00FD027D" w:rsidP="000C5108">
            <w:pPr>
              <w:pStyle w:val="Tabletext"/>
              <w:rPr>
                <w:rFonts w:eastAsia="Calibri"/>
              </w:rPr>
            </w:pPr>
            <w:r w:rsidRPr="001D6905">
              <w:t>Orissa</w:t>
            </w:r>
          </w:p>
        </w:tc>
        <w:tc>
          <w:tcPr>
            <w:tcW w:w="2610" w:type="dxa"/>
          </w:tcPr>
          <w:p w:rsidR="00FD027D" w:rsidRPr="001D6905" w:rsidRDefault="00FD027D" w:rsidP="000C5108">
            <w:pPr>
              <w:pStyle w:val="Tabletext"/>
              <w:rPr>
                <w:rFonts w:eastAsia="Calibri"/>
              </w:rPr>
            </w:pPr>
            <w:r w:rsidRPr="001D6905">
              <w:t>24601935</w:t>
            </w:r>
          </w:p>
        </w:tc>
        <w:tc>
          <w:tcPr>
            <w:tcW w:w="2682" w:type="dxa"/>
          </w:tcPr>
          <w:p w:rsidR="00FD027D" w:rsidRPr="001D6905" w:rsidRDefault="00FD027D" w:rsidP="000C5108">
            <w:pPr>
              <w:pStyle w:val="Tabletext"/>
              <w:rPr>
                <w:rFonts w:eastAsia="Calibri"/>
                <w:lang w:val="en-GB" w:eastAsia="ar-SA"/>
              </w:rPr>
            </w:pPr>
            <w:r w:rsidRPr="001D6905">
              <w:t>374427</w:t>
            </w:r>
          </w:p>
        </w:tc>
      </w:tr>
      <w:tr w:rsidR="00FD027D" w:rsidRPr="001D6905" w:rsidTr="000C5108">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FD027D" w:rsidRPr="001D6905" w:rsidRDefault="00FD027D" w:rsidP="000C5108">
            <w:pPr>
              <w:pStyle w:val="Tabletext"/>
            </w:pPr>
            <w:r w:rsidRPr="001D6905">
              <w:t>17</w:t>
            </w:r>
          </w:p>
        </w:tc>
        <w:tc>
          <w:tcPr>
            <w:tcW w:w="3060" w:type="dxa"/>
          </w:tcPr>
          <w:p w:rsidR="00FD027D" w:rsidRPr="001D6905" w:rsidRDefault="00FD027D" w:rsidP="000C5108">
            <w:pPr>
              <w:pStyle w:val="Tabletext"/>
              <w:rPr>
                <w:rFonts w:eastAsia="Calibri"/>
              </w:rPr>
            </w:pPr>
            <w:r w:rsidRPr="001D6905">
              <w:t>Punjab</w:t>
            </w:r>
          </w:p>
        </w:tc>
        <w:tc>
          <w:tcPr>
            <w:tcW w:w="2610" w:type="dxa"/>
          </w:tcPr>
          <w:p w:rsidR="00FD027D" w:rsidRPr="001D6905" w:rsidRDefault="00FD027D" w:rsidP="000C5108">
            <w:pPr>
              <w:pStyle w:val="Tabletext"/>
              <w:rPr>
                <w:rFonts w:eastAsia="Calibri"/>
              </w:rPr>
            </w:pPr>
            <w:r w:rsidRPr="001D6905">
              <w:t>29462871</w:t>
            </w:r>
          </w:p>
        </w:tc>
        <w:tc>
          <w:tcPr>
            <w:tcW w:w="2682" w:type="dxa"/>
          </w:tcPr>
          <w:p w:rsidR="00FD027D" w:rsidRPr="001D6905" w:rsidRDefault="00FD027D" w:rsidP="000C5108">
            <w:pPr>
              <w:pStyle w:val="Tabletext"/>
              <w:rPr>
                <w:rFonts w:eastAsia="Calibri"/>
                <w:lang w:val="en-GB" w:eastAsia="ar-SA"/>
              </w:rPr>
            </w:pPr>
            <w:r w:rsidRPr="001D6905">
              <w:t>1320185</w:t>
            </w:r>
          </w:p>
        </w:tc>
      </w:tr>
      <w:tr w:rsidR="00FD027D" w:rsidRPr="001D6905" w:rsidTr="000C5108">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FD027D" w:rsidRPr="001D6905" w:rsidRDefault="00FD027D" w:rsidP="000C5108">
            <w:pPr>
              <w:pStyle w:val="Tabletext"/>
            </w:pPr>
            <w:r w:rsidRPr="001D6905">
              <w:t>18</w:t>
            </w:r>
          </w:p>
        </w:tc>
        <w:tc>
          <w:tcPr>
            <w:tcW w:w="3060" w:type="dxa"/>
          </w:tcPr>
          <w:p w:rsidR="00FD027D" w:rsidRPr="001D6905" w:rsidRDefault="00FD027D" w:rsidP="000C5108">
            <w:pPr>
              <w:pStyle w:val="Tabletext"/>
              <w:rPr>
                <w:rFonts w:eastAsia="Calibri"/>
              </w:rPr>
            </w:pPr>
            <w:r w:rsidRPr="001D6905">
              <w:t>Rajasthan</w:t>
            </w:r>
          </w:p>
        </w:tc>
        <w:tc>
          <w:tcPr>
            <w:tcW w:w="2610" w:type="dxa"/>
          </w:tcPr>
          <w:p w:rsidR="00FD027D" w:rsidRPr="001D6905" w:rsidRDefault="00FD027D" w:rsidP="000C5108">
            <w:pPr>
              <w:pStyle w:val="Tabletext"/>
              <w:rPr>
                <w:rFonts w:eastAsia="Calibri"/>
              </w:rPr>
            </w:pPr>
            <w:r w:rsidRPr="001D6905">
              <w:t>48601130</w:t>
            </w:r>
          </w:p>
        </w:tc>
        <w:tc>
          <w:tcPr>
            <w:tcW w:w="2682" w:type="dxa"/>
          </w:tcPr>
          <w:p w:rsidR="00FD027D" w:rsidRPr="001D6905" w:rsidRDefault="00FD027D" w:rsidP="000C5108">
            <w:pPr>
              <w:pStyle w:val="Tabletext"/>
              <w:rPr>
                <w:rFonts w:eastAsia="Calibri"/>
                <w:lang w:val="en-GB" w:eastAsia="ar-SA"/>
              </w:rPr>
            </w:pPr>
            <w:r w:rsidRPr="001D6905">
              <w:t>1011041</w:t>
            </w:r>
          </w:p>
        </w:tc>
      </w:tr>
      <w:tr w:rsidR="00FD027D" w:rsidRPr="001D6905" w:rsidTr="000C5108">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FD027D" w:rsidRPr="001D6905" w:rsidRDefault="00FD027D" w:rsidP="000C5108">
            <w:pPr>
              <w:pStyle w:val="Tabletext"/>
            </w:pPr>
            <w:r w:rsidRPr="001D6905">
              <w:t>19</w:t>
            </w:r>
          </w:p>
        </w:tc>
        <w:tc>
          <w:tcPr>
            <w:tcW w:w="3060" w:type="dxa"/>
          </w:tcPr>
          <w:p w:rsidR="00FD027D" w:rsidRPr="001D6905" w:rsidRDefault="00FD027D" w:rsidP="000C5108">
            <w:pPr>
              <w:pStyle w:val="Tabletext"/>
              <w:rPr>
                <w:rFonts w:eastAsia="Calibri"/>
              </w:rPr>
            </w:pPr>
            <w:r w:rsidRPr="001D6905">
              <w:t>Tamil Nadu (incl. Chennai)</w:t>
            </w:r>
          </w:p>
        </w:tc>
        <w:tc>
          <w:tcPr>
            <w:tcW w:w="2610" w:type="dxa"/>
          </w:tcPr>
          <w:p w:rsidR="00FD027D" w:rsidRPr="001D6905" w:rsidRDefault="00FD027D" w:rsidP="000C5108">
            <w:pPr>
              <w:pStyle w:val="Tabletext"/>
              <w:rPr>
                <w:rFonts w:eastAsia="Calibri"/>
              </w:rPr>
            </w:pPr>
            <w:r w:rsidRPr="001D6905">
              <w:t>72412392</w:t>
            </w:r>
          </w:p>
        </w:tc>
        <w:tc>
          <w:tcPr>
            <w:tcW w:w="2682" w:type="dxa"/>
          </w:tcPr>
          <w:p w:rsidR="00FD027D" w:rsidRPr="001D6905" w:rsidRDefault="00FD027D" w:rsidP="000C5108">
            <w:pPr>
              <w:pStyle w:val="Tabletext"/>
              <w:rPr>
                <w:rFonts w:eastAsia="Calibri"/>
                <w:lang w:val="en-GB" w:eastAsia="ar-SA"/>
              </w:rPr>
            </w:pPr>
            <w:r w:rsidRPr="001D6905">
              <w:t>3109695</w:t>
            </w:r>
          </w:p>
        </w:tc>
      </w:tr>
      <w:tr w:rsidR="00FD027D" w:rsidRPr="001D6905" w:rsidTr="000C5108">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FD027D" w:rsidRPr="001D6905" w:rsidRDefault="00FD027D" w:rsidP="000C5108">
            <w:pPr>
              <w:pStyle w:val="Tabletext"/>
            </w:pPr>
            <w:r w:rsidRPr="001D6905">
              <w:t>20</w:t>
            </w:r>
          </w:p>
        </w:tc>
        <w:tc>
          <w:tcPr>
            <w:tcW w:w="3060" w:type="dxa"/>
          </w:tcPr>
          <w:p w:rsidR="00FD027D" w:rsidRPr="001D6905" w:rsidRDefault="00FD027D" w:rsidP="000C5108">
            <w:pPr>
              <w:pStyle w:val="Tabletext"/>
              <w:rPr>
                <w:rFonts w:eastAsia="Calibri"/>
              </w:rPr>
            </w:pPr>
            <w:r w:rsidRPr="001D6905">
              <w:rPr>
                <w:color w:val="000000"/>
              </w:rPr>
              <w:t>Uttar Pradesh (East)</w:t>
            </w:r>
          </w:p>
        </w:tc>
        <w:tc>
          <w:tcPr>
            <w:tcW w:w="2610" w:type="dxa"/>
          </w:tcPr>
          <w:p w:rsidR="00FD027D" w:rsidRPr="001D6905" w:rsidRDefault="00FD027D" w:rsidP="000C5108">
            <w:pPr>
              <w:pStyle w:val="Tabletext"/>
              <w:rPr>
                <w:rFonts w:eastAsia="Calibri"/>
              </w:rPr>
            </w:pPr>
            <w:r w:rsidRPr="001D6905">
              <w:t>73824150</w:t>
            </w:r>
          </w:p>
        </w:tc>
        <w:tc>
          <w:tcPr>
            <w:tcW w:w="2682" w:type="dxa"/>
          </w:tcPr>
          <w:p w:rsidR="00FD027D" w:rsidRPr="001D6905" w:rsidRDefault="00FD027D" w:rsidP="000C5108">
            <w:pPr>
              <w:pStyle w:val="Tabletext"/>
              <w:rPr>
                <w:rFonts w:eastAsia="Calibri"/>
                <w:lang w:val="en-GB" w:eastAsia="ar-SA"/>
              </w:rPr>
            </w:pPr>
            <w:r w:rsidRPr="001D6905">
              <w:t>1048303</w:t>
            </w:r>
          </w:p>
        </w:tc>
      </w:tr>
      <w:tr w:rsidR="00FD027D" w:rsidRPr="001D6905" w:rsidTr="000C5108">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FD027D" w:rsidRPr="001D6905" w:rsidRDefault="00FD027D" w:rsidP="000C5108">
            <w:pPr>
              <w:pStyle w:val="Tabletext"/>
            </w:pPr>
            <w:r w:rsidRPr="001D6905">
              <w:t>21</w:t>
            </w:r>
          </w:p>
        </w:tc>
        <w:tc>
          <w:tcPr>
            <w:tcW w:w="3060" w:type="dxa"/>
          </w:tcPr>
          <w:p w:rsidR="00FD027D" w:rsidRPr="001D6905" w:rsidRDefault="00FD027D" w:rsidP="000C5108">
            <w:pPr>
              <w:pStyle w:val="Tabletext"/>
              <w:rPr>
                <w:rFonts w:eastAsia="Calibri"/>
              </w:rPr>
            </w:pPr>
            <w:r w:rsidRPr="001D6905">
              <w:rPr>
                <w:color w:val="000000"/>
              </w:rPr>
              <w:t>Uttar Pradesh (West)</w:t>
            </w:r>
          </w:p>
        </w:tc>
        <w:tc>
          <w:tcPr>
            <w:tcW w:w="2610" w:type="dxa"/>
          </w:tcPr>
          <w:p w:rsidR="00FD027D" w:rsidRPr="001D6905" w:rsidRDefault="00FD027D" w:rsidP="000C5108">
            <w:pPr>
              <w:pStyle w:val="Tabletext"/>
              <w:rPr>
                <w:rFonts w:eastAsia="Calibri"/>
              </w:rPr>
            </w:pPr>
            <w:r w:rsidRPr="001D6905">
              <w:t>48399485</w:t>
            </w:r>
          </w:p>
        </w:tc>
        <w:tc>
          <w:tcPr>
            <w:tcW w:w="2682" w:type="dxa"/>
          </w:tcPr>
          <w:p w:rsidR="00FD027D" w:rsidRPr="001D6905" w:rsidRDefault="00FD027D" w:rsidP="000C5108">
            <w:pPr>
              <w:pStyle w:val="Tabletext"/>
              <w:rPr>
                <w:rFonts w:eastAsia="Calibri"/>
                <w:lang w:val="en-GB" w:eastAsia="ar-SA"/>
              </w:rPr>
            </w:pPr>
            <w:r w:rsidRPr="001D6905">
              <w:t>767118</w:t>
            </w:r>
          </w:p>
        </w:tc>
      </w:tr>
      <w:tr w:rsidR="00FD027D" w:rsidRPr="001D6905" w:rsidTr="000C5108">
        <w:trPr>
          <w:cnfStyle w:val="000000010000" w:firstRow="0" w:lastRow="0" w:firstColumn="0" w:lastColumn="0" w:oddVBand="0" w:evenVBand="0" w:oddHBand="0" w:evenHBand="1" w:firstRowFirstColumn="0" w:firstRowLastColumn="0" w:lastRowFirstColumn="0" w:lastRowLastColumn="0"/>
          <w:trHeight w:val="432"/>
        </w:trPr>
        <w:tc>
          <w:tcPr>
            <w:tcW w:w="720" w:type="dxa"/>
          </w:tcPr>
          <w:p w:rsidR="00FD027D" w:rsidRPr="001D6905" w:rsidRDefault="00FD027D" w:rsidP="000C5108">
            <w:pPr>
              <w:pStyle w:val="Tabletext"/>
            </w:pPr>
            <w:r w:rsidRPr="001D6905">
              <w:t>22</w:t>
            </w:r>
          </w:p>
        </w:tc>
        <w:tc>
          <w:tcPr>
            <w:tcW w:w="3060" w:type="dxa"/>
          </w:tcPr>
          <w:p w:rsidR="00FD027D" w:rsidRPr="001D6905" w:rsidRDefault="00FD027D" w:rsidP="000C5108">
            <w:pPr>
              <w:pStyle w:val="Tabletext"/>
              <w:rPr>
                <w:rFonts w:eastAsia="Calibri"/>
              </w:rPr>
            </w:pPr>
            <w:r w:rsidRPr="001D6905">
              <w:t>West Bengal</w:t>
            </w:r>
          </w:p>
        </w:tc>
        <w:tc>
          <w:tcPr>
            <w:tcW w:w="2610" w:type="dxa"/>
          </w:tcPr>
          <w:p w:rsidR="00FD027D" w:rsidRPr="001D6905" w:rsidRDefault="00FD027D" w:rsidP="000C5108">
            <w:pPr>
              <w:pStyle w:val="Tabletext"/>
              <w:rPr>
                <w:rFonts w:eastAsia="Calibri"/>
              </w:rPr>
            </w:pPr>
            <w:r w:rsidRPr="001D6905">
              <w:t>41159859</w:t>
            </w:r>
          </w:p>
        </w:tc>
        <w:tc>
          <w:tcPr>
            <w:tcW w:w="2682" w:type="dxa"/>
          </w:tcPr>
          <w:p w:rsidR="00FD027D" w:rsidRPr="001D6905" w:rsidRDefault="00FD027D" w:rsidP="000C5108">
            <w:pPr>
              <w:pStyle w:val="Tabletext"/>
              <w:rPr>
                <w:rFonts w:eastAsia="Calibri"/>
                <w:lang w:val="en-GB" w:eastAsia="ar-SA"/>
              </w:rPr>
            </w:pPr>
            <w:r w:rsidRPr="001D6905">
              <w:t>548248</w:t>
            </w:r>
          </w:p>
        </w:tc>
      </w:tr>
      <w:tr w:rsidR="00FD027D" w:rsidRPr="001D6905" w:rsidTr="000C5108">
        <w:trPr>
          <w:cnfStyle w:val="000000100000" w:firstRow="0" w:lastRow="0" w:firstColumn="0" w:lastColumn="0" w:oddVBand="0" w:evenVBand="0" w:oddHBand="1" w:evenHBand="0" w:firstRowFirstColumn="0" w:firstRowLastColumn="0" w:lastRowFirstColumn="0" w:lastRowLastColumn="0"/>
          <w:trHeight w:val="432"/>
        </w:trPr>
        <w:tc>
          <w:tcPr>
            <w:tcW w:w="720" w:type="dxa"/>
          </w:tcPr>
          <w:p w:rsidR="00FD027D" w:rsidRPr="001D6905" w:rsidRDefault="00FD027D" w:rsidP="000C5108">
            <w:pPr>
              <w:pStyle w:val="Tabletext"/>
              <w:rPr>
                <w:rFonts w:eastAsia="Calibri"/>
              </w:rPr>
            </w:pPr>
          </w:p>
        </w:tc>
        <w:tc>
          <w:tcPr>
            <w:tcW w:w="3060" w:type="dxa"/>
          </w:tcPr>
          <w:p w:rsidR="00FD027D" w:rsidRPr="001D6905" w:rsidRDefault="00FD027D" w:rsidP="000C5108">
            <w:pPr>
              <w:pStyle w:val="Tabletext"/>
              <w:rPr>
                <w:rFonts w:eastAsia="Calibri"/>
                <w:b/>
              </w:rPr>
            </w:pPr>
            <w:r w:rsidRPr="001D6905">
              <w:rPr>
                <w:rFonts w:eastAsia="Calibri"/>
                <w:b/>
              </w:rPr>
              <w:t>Total</w:t>
            </w:r>
          </w:p>
        </w:tc>
        <w:tc>
          <w:tcPr>
            <w:tcW w:w="2610" w:type="dxa"/>
          </w:tcPr>
          <w:p w:rsidR="00FD027D" w:rsidRPr="001D6905" w:rsidRDefault="00FD027D" w:rsidP="000C5108">
            <w:pPr>
              <w:pStyle w:val="Tabletext"/>
              <w:rPr>
                <w:rFonts w:eastAsia="Calibri"/>
                <w:b/>
              </w:rPr>
            </w:pPr>
            <w:r w:rsidRPr="001D6905">
              <w:rPr>
                <w:b/>
              </w:rPr>
              <w:t>867803583</w:t>
            </w:r>
          </w:p>
        </w:tc>
        <w:tc>
          <w:tcPr>
            <w:tcW w:w="2682" w:type="dxa"/>
          </w:tcPr>
          <w:p w:rsidR="00FD027D" w:rsidRPr="001D6905" w:rsidRDefault="00FD027D" w:rsidP="000C5108">
            <w:pPr>
              <w:pStyle w:val="Tabletext"/>
              <w:rPr>
                <w:rFonts w:eastAsia="Calibri"/>
                <w:b/>
                <w:lang w:val="en-GB" w:eastAsia="ar-SA"/>
              </w:rPr>
            </w:pPr>
            <w:r w:rsidRPr="001D6905">
              <w:rPr>
                <w:b/>
              </w:rPr>
              <w:t>30213742</w:t>
            </w:r>
          </w:p>
        </w:tc>
      </w:tr>
    </w:tbl>
    <w:p w:rsidR="00FD027D" w:rsidRPr="001D6905" w:rsidRDefault="00FD027D" w:rsidP="00FD027D">
      <w:pPr>
        <w:spacing w:before="240"/>
        <w:rPr>
          <w:rFonts w:eastAsia="Calibri" w:cs="Arial"/>
          <w:szCs w:val="19"/>
        </w:rPr>
      </w:pPr>
      <w:r>
        <w:rPr>
          <w:rFonts w:eastAsia="Calibri" w:cs="Arial"/>
          <w:szCs w:val="19"/>
        </w:rPr>
        <w:t>Total number of subscriber</w:t>
      </w:r>
      <w:r>
        <w:rPr>
          <w:rFonts w:eastAsia="Calibri" w:cs="Arial"/>
          <w:szCs w:val="19"/>
        </w:rPr>
        <w:tab/>
      </w:r>
      <w:r>
        <w:rPr>
          <w:rFonts w:eastAsia="Calibri" w:cs="Arial"/>
          <w:szCs w:val="19"/>
        </w:rPr>
        <w:tab/>
      </w:r>
      <w:r>
        <w:rPr>
          <w:rFonts w:eastAsia="Calibri" w:cs="Arial"/>
          <w:szCs w:val="19"/>
        </w:rPr>
        <w:tab/>
      </w:r>
      <w:r w:rsidRPr="001D6905">
        <w:rPr>
          <w:rFonts w:eastAsia="Calibri" w:cs="Arial"/>
          <w:szCs w:val="19"/>
        </w:rPr>
        <w:t>:</w:t>
      </w:r>
      <w:r w:rsidRPr="001D6905">
        <w:rPr>
          <w:rFonts w:eastAsia="Calibri" w:cs="Arial"/>
          <w:szCs w:val="19"/>
        </w:rPr>
        <w:tab/>
        <w:t>898,017,325</w:t>
      </w:r>
      <w:r w:rsidRPr="001D6905">
        <w:rPr>
          <w:rFonts w:eastAsia="Calibri" w:cs="Arial"/>
          <w:szCs w:val="19"/>
        </w:rPr>
        <w:tab/>
      </w:r>
    </w:p>
    <w:p w:rsidR="00FD027D" w:rsidRPr="00061F17" w:rsidRDefault="00FD027D" w:rsidP="00FD027D">
      <w:pPr>
        <w:rPr>
          <w:rFonts w:eastAsia="Calibri" w:cs="Arial"/>
          <w:szCs w:val="19"/>
          <w:lang w:val="en-US"/>
        </w:rPr>
      </w:pPr>
      <w:r w:rsidRPr="00061F17">
        <w:rPr>
          <w:rFonts w:eastAsia="Calibri" w:cs="Arial"/>
          <w:szCs w:val="19"/>
          <w:lang w:val="en-US"/>
        </w:rPr>
        <w:t>Percentage of Mobile (Wireless) subscriber</w:t>
      </w:r>
      <w:r w:rsidRPr="00061F17">
        <w:rPr>
          <w:rFonts w:eastAsia="Calibri" w:cs="Arial"/>
          <w:szCs w:val="19"/>
          <w:lang w:val="en-US"/>
        </w:rPr>
        <w:tab/>
        <w:t>:</w:t>
      </w:r>
      <w:r w:rsidRPr="00061F17">
        <w:rPr>
          <w:rFonts w:eastAsia="Calibri" w:cs="Arial"/>
          <w:szCs w:val="19"/>
          <w:lang w:val="en-US"/>
        </w:rPr>
        <w:tab/>
        <w:t>96.6 %</w:t>
      </w:r>
    </w:p>
    <w:p w:rsidR="00FD027D" w:rsidRPr="00061F17" w:rsidRDefault="00FD027D" w:rsidP="00FD027D">
      <w:pPr>
        <w:rPr>
          <w:rFonts w:eastAsia="Calibri" w:cs="Arial"/>
          <w:szCs w:val="19"/>
          <w:lang w:val="en-US"/>
        </w:rPr>
      </w:pPr>
      <w:r w:rsidRPr="00061F17">
        <w:rPr>
          <w:rFonts w:eastAsia="Calibri" w:cs="Arial"/>
          <w:szCs w:val="19"/>
          <w:lang w:val="en-US"/>
        </w:rPr>
        <w:t>Percentage of Landline (Wire-line) subscriber</w:t>
      </w:r>
      <w:r w:rsidRPr="00061F17">
        <w:rPr>
          <w:rFonts w:eastAsia="Calibri" w:cs="Arial"/>
          <w:szCs w:val="19"/>
          <w:lang w:val="en-US"/>
        </w:rPr>
        <w:tab/>
        <w:t>:</w:t>
      </w:r>
      <w:r w:rsidRPr="00061F17">
        <w:rPr>
          <w:rFonts w:eastAsia="Calibri" w:cs="Arial"/>
          <w:szCs w:val="19"/>
          <w:lang w:val="en-US"/>
        </w:rPr>
        <w:tab/>
        <w:t>3.4 %</w:t>
      </w:r>
    </w:p>
    <w:p w:rsidR="00FD027D" w:rsidRPr="00061F17" w:rsidRDefault="00FD027D" w:rsidP="00FD027D">
      <w:pPr>
        <w:rPr>
          <w:rFonts w:eastAsia="Calibri" w:cs="Arial"/>
          <w:szCs w:val="19"/>
          <w:lang w:val="en-US"/>
        </w:rPr>
      </w:pPr>
      <w:r w:rsidRPr="00061F17">
        <w:rPr>
          <w:rFonts w:eastAsia="Calibri" w:cs="Arial"/>
          <w:szCs w:val="19"/>
          <w:lang w:val="en-US"/>
        </w:rPr>
        <w:br w:type="page"/>
      </w:r>
    </w:p>
    <w:p w:rsidR="00FD027D" w:rsidRDefault="00FD027D" w:rsidP="00FD027D">
      <w:pPr>
        <w:pStyle w:val="Heading1"/>
        <w:tabs>
          <w:tab w:val="left" w:pos="1418"/>
        </w:tabs>
        <w:ind w:left="1418" w:hanging="1418"/>
        <w:rPr>
          <w:rFonts w:eastAsia="Calibri"/>
        </w:rPr>
      </w:pPr>
      <w:bookmarkStart w:id="172" w:name="_Toc374691853"/>
      <w:bookmarkStart w:id="173" w:name="_Toc377560492"/>
      <w:r w:rsidRPr="00061F17">
        <w:rPr>
          <w:rFonts w:eastAsia="Calibri"/>
        </w:rPr>
        <w:lastRenderedPageBreak/>
        <w:t xml:space="preserve">Annex 10B: </w:t>
      </w:r>
      <w:r>
        <w:rPr>
          <w:rFonts w:eastAsia="Calibri"/>
        </w:rPr>
        <w:tab/>
      </w:r>
      <w:r w:rsidRPr="00061F17">
        <w:rPr>
          <w:rFonts w:eastAsia="Calibri"/>
        </w:rPr>
        <w:t>Number of base stations (service area wise) in India as on 31</w:t>
      </w:r>
      <w:r w:rsidRPr="00061F17">
        <w:rPr>
          <w:rFonts w:eastAsia="Calibri"/>
          <w:vertAlign w:val="superscript"/>
        </w:rPr>
        <w:t>st</w:t>
      </w:r>
      <w:r w:rsidRPr="00061F17">
        <w:rPr>
          <w:rFonts w:eastAsia="Calibri"/>
        </w:rPr>
        <w:t xml:space="preserve"> May 2013</w:t>
      </w:r>
      <w:bookmarkEnd w:id="172"/>
      <w:bookmarkEnd w:id="173"/>
    </w:p>
    <w:p w:rsidR="00FD027D" w:rsidRPr="00C71B8F" w:rsidRDefault="00FD027D" w:rsidP="00FD027D">
      <w:pPr>
        <w:rPr>
          <w:lang w:val="en-US"/>
        </w:rPr>
      </w:pPr>
    </w:p>
    <w:tbl>
      <w:tblPr>
        <w:tblStyle w:val="Style1"/>
        <w:tblW w:w="7920" w:type="dxa"/>
        <w:jc w:val="center"/>
        <w:tblLook w:val="04A0" w:firstRow="1" w:lastRow="0" w:firstColumn="1" w:lastColumn="0" w:noHBand="0" w:noVBand="1"/>
      </w:tblPr>
      <w:tblGrid>
        <w:gridCol w:w="1080"/>
        <w:gridCol w:w="3330"/>
        <w:gridCol w:w="3510"/>
      </w:tblGrid>
      <w:tr w:rsidR="00FD027D" w:rsidRPr="001D6905" w:rsidTr="000C5108">
        <w:trPr>
          <w:cnfStyle w:val="100000000000" w:firstRow="1" w:lastRow="0" w:firstColumn="0" w:lastColumn="0" w:oddVBand="0" w:evenVBand="0" w:oddHBand="0" w:evenHBand="0" w:firstRowFirstColumn="0" w:firstRowLastColumn="0" w:lastRowFirstColumn="0" w:lastRowLastColumn="0"/>
          <w:trHeight w:val="255"/>
          <w:jc w:val="center"/>
        </w:trPr>
        <w:tc>
          <w:tcPr>
            <w:tcW w:w="1080" w:type="dxa"/>
            <w:hideMark/>
          </w:tcPr>
          <w:p w:rsidR="00FD027D" w:rsidRPr="001D6905" w:rsidRDefault="00FD027D" w:rsidP="000C5108">
            <w:pPr>
              <w:pStyle w:val="Tablehead"/>
              <w:rPr>
                <w:lang w:eastAsia="en-US"/>
              </w:rPr>
            </w:pPr>
            <w:r w:rsidRPr="001D6905">
              <w:rPr>
                <w:lang w:eastAsia="en-US"/>
              </w:rPr>
              <w:t>Sl No.</w:t>
            </w:r>
          </w:p>
        </w:tc>
        <w:tc>
          <w:tcPr>
            <w:tcW w:w="3330" w:type="dxa"/>
            <w:hideMark/>
          </w:tcPr>
          <w:p w:rsidR="00FD027D" w:rsidRPr="001D6905" w:rsidRDefault="00FD027D" w:rsidP="000C5108">
            <w:pPr>
              <w:pStyle w:val="Tablehead"/>
              <w:rPr>
                <w:lang w:eastAsia="en-US"/>
              </w:rPr>
            </w:pPr>
            <w:r w:rsidRPr="001D6905">
              <w:rPr>
                <w:lang w:eastAsia="en-US"/>
              </w:rPr>
              <w:t>Service Area</w:t>
            </w:r>
          </w:p>
        </w:tc>
        <w:tc>
          <w:tcPr>
            <w:tcW w:w="3510" w:type="dxa"/>
            <w:hideMark/>
          </w:tcPr>
          <w:p w:rsidR="00FD027D" w:rsidRPr="001D6905" w:rsidRDefault="00FD027D" w:rsidP="000C5108">
            <w:pPr>
              <w:pStyle w:val="Tablehead"/>
              <w:rPr>
                <w:lang w:eastAsia="en-US"/>
              </w:rPr>
            </w:pPr>
            <w:r w:rsidRPr="001D6905">
              <w:rPr>
                <w:lang w:eastAsia="en-US"/>
              </w:rPr>
              <w:t>Number of BTS</w:t>
            </w:r>
          </w:p>
        </w:tc>
      </w:tr>
      <w:tr w:rsidR="00FD027D" w:rsidRPr="001D6905" w:rsidTr="000C5108">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FD027D" w:rsidRPr="001D6905" w:rsidRDefault="00FD027D" w:rsidP="000C5108">
            <w:pPr>
              <w:pStyle w:val="Tabletext"/>
              <w:rPr>
                <w:lang w:eastAsia="en-US"/>
              </w:rPr>
            </w:pPr>
            <w:r w:rsidRPr="001D6905">
              <w:rPr>
                <w:lang w:eastAsia="en-US"/>
              </w:rPr>
              <w:t>1</w:t>
            </w:r>
          </w:p>
        </w:tc>
        <w:tc>
          <w:tcPr>
            <w:tcW w:w="3330" w:type="dxa"/>
            <w:hideMark/>
          </w:tcPr>
          <w:p w:rsidR="00FD027D" w:rsidRPr="001D6905" w:rsidRDefault="00FD027D" w:rsidP="000C5108">
            <w:pPr>
              <w:pStyle w:val="Tabletext"/>
              <w:rPr>
                <w:lang w:eastAsia="en-US"/>
              </w:rPr>
            </w:pPr>
            <w:r w:rsidRPr="001D6905">
              <w:rPr>
                <w:lang w:eastAsia="en-US"/>
              </w:rPr>
              <w:t>Andhra Pradesh</w:t>
            </w:r>
          </w:p>
        </w:tc>
        <w:tc>
          <w:tcPr>
            <w:tcW w:w="3510" w:type="dxa"/>
            <w:hideMark/>
          </w:tcPr>
          <w:p w:rsidR="00FD027D" w:rsidRPr="001D6905" w:rsidRDefault="00FD027D" w:rsidP="000C5108">
            <w:pPr>
              <w:pStyle w:val="Tabletext"/>
              <w:rPr>
                <w:lang w:eastAsia="en-US"/>
              </w:rPr>
            </w:pPr>
            <w:r w:rsidRPr="001D6905">
              <w:rPr>
                <w:lang w:eastAsia="en-US"/>
              </w:rPr>
              <w:t>60285</w:t>
            </w:r>
          </w:p>
        </w:tc>
      </w:tr>
      <w:tr w:rsidR="00FD027D" w:rsidRPr="001D6905" w:rsidTr="000C5108">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FD027D" w:rsidRPr="001D6905" w:rsidRDefault="00FD027D" w:rsidP="000C5108">
            <w:pPr>
              <w:pStyle w:val="Tabletext"/>
              <w:rPr>
                <w:lang w:eastAsia="en-US"/>
              </w:rPr>
            </w:pPr>
            <w:r w:rsidRPr="001D6905">
              <w:rPr>
                <w:lang w:eastAsia="en-US"/>
              </w:rPr>
              <w:t>2</w:t>
            </w:r>
          </w:p>
        </w:tc>
        <w:tc>
          <w:tcPr>
            <w:tcW w:w="3330" w:type="dxa"/>
            <w:hideMark/>
          </w:tcPr>
          <w:p w:rsidR="00FD027D" w:rsidRPr="001D6905" w:rsidRDefault="00FD027D" w:rsidP="000C5108">
            <w:pPr>
              <w:pStyle w:val="Tabletext"/>
              <w:rPr>
                <w:lang w:eastAsia="en-US"/>
              </w:rPr>
            </w:pPr>
            <w:r w:rsidRPr="001D6905">
              <w:rPr>
                <w:lang w:eastAsia="en-US"/>
              </w:rPr>
              <w:t>ASSAM</w:t>
            </w:r>
          </w:p>
        </w:tc>
        <w:tc>
          <w:tcPr>
            <w:tcW w:w="3510" w:type="dxa"/>
            <w:hideMark/>
          </w:tcPr>
          <w:p w:rsidR="00FD027D" w:rsidRPr="001D6905" w:rsidRDefault="00FD027D" w:rsidP="000C5108">
            <w:pPr>
              <w:pStyle w:val="Tabletext"/>
              <w:rPr>
                <w:lang w:eastAsia="en-US"/>
              </w:rPr>
            </w:pPr>
            <w:r w:rsidRPr="001D6905">
              <w:rPr>
                <w:lang w:eastAsia="en-US"/>
              </w:rPr>
              <w:t>14152</w:t>
            </w:r>
          </w:p>
        </w:tc>
      </w:tr>
      <w:tr w:rsidR="00FD027D" w:rsidRPr="001D6905" w:rsidTr="000C5108">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FD027D" w:rsidRPr="001D6905" w:rsidRDefault="00FD027D" w:rsidP="000C5108">
            <w:pPr>
              <w:pStyle w:val="Tabletext"/>
              <w:rPr>
                <w:lang w:eastAsia="en-US"/>
              </w:rPr>
            </w:pPr>
            <w:r w:rsidRPr="001D6905">
              <w:rPr>
                <w:lang w:eastAsia="en-US"/>
              </w:rPr>
              <w:t>3</w:t>
            </w:r>
          </w:p>
        </w:tc>
        <w:tc>
          <w:tcPr>
            <w:tcW w:w="3330" w:type="dxa"/>
            <w:hideMark/>
          </w:tcPr>
          <w:p w:rsidR="00FD027D" w:rsidRPr="001D6905" w:rsidRDefault="00FD027D" w:rsidP="000C5108">
            <w:pPr>
              <w:pStyle w:val="Tabletext"/>
              <w:rPr>
                <w:lang w:eastAsia="en-US"/>
              </w:rPr>
            </w:pPr>
            <w:r w:rsidRPr="001D6905">
              <w:rPr>
                <w:lang w:eastAsia="en-US"/>
              </w:rPr>
              <w:t>Bihar</w:t>
            </w:r>
          </w:p>
        </w:tc>
        <w:tc>
          <w:tcPr>
            <w:tcW w:w="3510" w:type="dxa"/>
            <w:hideMark/>
          </w:tcPr>
          <w:p w:rsidR="00FD027D" w:rsidRPr="001D6905" w:rsidRDefault="00FD027D" w:rsidP="000C5108">
            <w:pPr>
              <w:pStyle w:val="Tabletext"/>
              <w:rPr>
                <w:lang w:eastAsia="en-US"/>
              </w:rPr>
            </w:pPr>
            <w:r w:rsidRPr="001D6905">
              <w:rPr>
                <w:lang w:eastAsia="en-US"/>
              </w:rPr>
              <w:t>44283</w:t>
            </w:r>
          </w:p>
        </w:tc>
      </w:tr>
      <w:tr w:rsidR="00FD027D" w:rsidRPr="001D6905" w:rsidTr="000C5108">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FD027D" w:rsidRPr="001D6905" w:rsidRDefault="00FD027D" w:rsidP="000C5108">
            <w:pPr>
              <w:pStyle w:val="Tabletext"/>
              <w:rPr>
                <w:lang w:eastAsia="en-US"/>
              </w:rPr>
            </w:pPr>
            <w:r w:rsidRPr="001D6905">
              <w:rPr>
                <w:lang w:eastAsia="en-US"/>
              </w:rPr>
              <w:t>4</w:t>
            </w:r>
          </w:p>
        </w:tc>
        <w:tc>
          <w:tcPr>
            <w:tcW w:w="3330" w:type="dxa"/>
            <w:hideMark/>
          </w:tcPr>
          <w:p w:rsidR="00FD027D" w:rsidRPr="001D6905" w:rsidRDefault="00FD027D" w:rsidP="000C5108">
            <w:pPr>
              <w:pStyle w:val="Tabletext"/>
              <w:rPr>
                <w:lang w:eastAsia="en-US"/>
              </w:rPr>
            </w:pPr>
            <w:r w:rsidRPr="001D6905">
              <w:rPr>
                <w:lang w:eastAsia="en-US"/>
              </w:rPr>
              <w:t>Delhi</w:t>
            </w:r>
          </w:p>
        </w:tc>
        <w:tc>
          <w:tcPr>
            <w:tcW w:w="3510" w:type="dxa"/>
            <w:hideMark/>
          </w:tcPr>
          <w:p w:rsidR="00FD027D" w:rsidRPr="001D6905" w:rsidRDefault="00FD027D" w:rsidP="000C5108">
            <w:pPr>
              <w:pStyle w:val="Tabletext"/>
              <w:rPr>
                <w:lang w:eastAsia="en-US"/>
              </w:rPr>
            </w:pPr>
            <w:r w:rsidRPr="001D6905">
              <w:rPr>
                <w:lang w:eastAsia="en-US"/>
              </w:rPr>
              <w:t>30900</w:t>
            </w:r>
          </w:p>
        </w:tc>
      </w:tr>
      <w:tr w:rsidR="00FD027D" w:rsidRPr="001D6905" w:rsidTr="000C5108">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FD027D" w:rsidRPr="001D6905" w:rsidRDefault="00FD027D" w:rsidP="000C5108">
            <w:pPr>
              <w:pStyle w:val="Tabletext"/>
              <w:rPr>
                <w:lang w:eastAsia="en-US"/>
              </w:rPr>
            </w:pPr>
            <w:r w:rsidRPr="001D6905">
              <w:rPr>
                <w:lang w:eastAsia="en-US"/>
              </w:rPr>
              <w:t>5</w:t>
            </w:r>
          </w:p>
        </w:tc>
        <w:tc>
          <w:tcPr>
            <w:tcW w:w="3330" w:type="dxa"/>
            <w:hideMark/>
          </w:tcPr>
          <w:p w:rsidR="00FD027D" w:rsidRPr="001D6905" w:rsidRDefault="00FD027D" w:rsidP="000C5108">
            <w:pPr>
              <w:pStyle w:val="Tabletext"/>
              <w:rPr>
                <w:lang w:eastAsia="en-US"/>
              </w:rPr>
            </w:pPr>
            <w:r w:rsidRPr="001D6905">
              <w:rPr>
                <w:lang w:eastAsia="en-US"/>
              </w:rPr>
              <w:t>Gujarat</w:t>
            </w:r>
          </w:p>
        </w:tc>
        <w:tc>
          <w:tcPr>
            <w:tcW w:w="3510" w:type="dxa"/>
            <w:hideMark/>
          </w:tcPr>
          <w:p w:rsidR="00FD027D" w:rsidRPr="001D6905" w:rsidRDefault="00FD027D" w:rsidP="000C5108">
            <w:pPr>
              <w:pStyle w:val="Tabletext"/>
              <w:rPr>
                <w:lang w:eastAsia="en-US"/>
              </w:rPr>
            </w:pPr>
            <w:r w:rsidRPr="001D6905">
              <w:rPr>
                <w:lang w:eastAsia="en-US"/>
              </w:rPr>
              <w:t>45950</w:t>
            </w:r>
          </w:p>
        </w:tc>
      </w:tr>
      <w:tr w:rsidR="00FD027D" w:rsidRPr="001D6905" w:rsidTr="000C5108">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FD027D" w:rsidRPr="001D6905" w:rsidRDefault="00FD027D" w:rsidP="000C5108">
            <w:pPr>
              <w:pStyle w:val="Tabletext"/>
              <w:rPr>
                <w:lang w:eastAsia="en-US"/>
              </w:rPr>
            </w:pPr>
            <w:r w:rsidRPr="001D6905">
              <w:rPr>
                <w:lang w:eastAsia="en-US"/>
              </w:rPr>
              <w:t>6</w:t>
            </w:r>
          </w:p>
        </w:tc>
        <w:tc>
          <w:tcPr>
            <w:tcW w:w="3330" w:type="dxa"/>
            <w:hideMark/>
          </w:tcPr>
          <w:p w:rsidR="00FD027D" w:rsidRPr="001D6905" w:rsidRDefault="00FD027D" w:rsidP="000C5108">
            <w:pPr>
              <w:pStyle w:val="Tabletext"/>
              <w:rPr>
                <w:lang w:eastAsia="en-US"/>
              </w:rPr>
            </w:pPr>
            <w:r w:rsidRPr="001D6905">
              <w:rPr>
                <w:lang w:eastAsia="en-US"/>
              </w:rPr>
              <w:t>Haryana</w:t>
            </w:r>
          </w:p>
        </w:tc>
        <w:tc>
          <w:tcPr>
            <w:tcW w:w="3510" w:type="dxa"/>
            <w:hideMark/>
          </w:tcPr>
          <w:p w:rsidR="00FD027D" w:rsidRPr="001D6905" w:rsidRDefault="00FD027D" w:rsidP="000C5108">
            <w:pPr>
              <w:pStyle w:val="Tabletext"/>
              <w:rPr>
                <w:lang w:eastAsia="en-US"/>
              </w:rPr>
            </w:pPr>
            <w:r w:rsidRPr="001D6905">
              <w:rPr>
                <w:lang w:eastAsia="en-US"/>
              </w:rPr>
              <w:t>17604</w:t>
            </w:r>
          </w:p>
        </w:tc>
      </w:tr>
      <w:tr w:rsidR="00FD027D" w:rsidRPr="001D6905" w:rsidTr="000C5108">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FD027D" w:rsidRPr="001D6905" w:rsidRDefault="00FD027D" w:rsidP="000C5108">
            <w:pPr>
              <w:pStyle w:val="Tabletext"/>
              <w:rPr>
                <w:lang w:eastAsia="en-US"/>
              </w:rPr>
            </w:pPr>
            <w:r w:rsidRPr="001D6905">
              <w:rPr>
                <w:lang w:eastAsia="en-US"/>
              </w:rPr>
              <w:t>7</w:t>
            </w:r>
          </w:p>
        </w:tc>
        <w:tc>
          <w:tcPr>
            <w:tcW w:w="3330" w:type="dxa"/>
            <w:hideMark/>
          </w:tcPr>
          <w:p w:rsidR="00FD027D" w:rsidRPr="001D6905" w:rsidRDefault="00FD027D" w:rsidP="000C5108">
            <w:pPr>
              <w:pStyle w:val="Tabletext"/>
              <w:rPr>
                <w:lang w:eastAsia="en-US"/>
              </w:rPr>
            </w:pPr>
            <w:r w:rsidRPr="001D6905">
              <w:rPr>
                <w:lang w:eastAsia="en-US"/>
              </w:rPr>
              <w:t>Himachal Pradesh</w:t>
            </w:r>
          </w:p>
        </w:tc>
        <w:tc>
          <w:tcPr>
            <w:tcW w:w="3510" w:type="dxa"/>
            <w:hideMark/>
          </w:tcPr>
          <w:p w:rsidR="00FD027D" w:rsidRPr="001D6905" w:rsidRDefault="00FD027D" w:rsidP="000C5108">
            <w:pPr>
              <w:pStyle w:val="Tabletext"/>
              <w:rPr>
                <w:lang w:eastAsia="en-US"/>
              </w:rPr>
            </w:pPr>
            <w:r w:rsidRPr="001D6905">
              <w:rPr>
                <w:lang w:eastAsia="en-US"/>
              </w:rPr>
              <w:t>7021</w:t>
            </w:r>
          </w:p>
        </w:tc>
      </w:tr>
      <w:tr w:rsidR="00FD027D" w:rsidRPr="001D6905" w:rsidTr="000C5108">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FD027D" w:rsidRPr="001D6905" w:rsidRDefault="00FD027D" w:rsidP="000C5108">
            <w:pPr>
              <w:pStyle w:val="Tabletext"/>
              <w:rPr>
                <w:lang w:eastAsia="en-US"/>
              </w:rPr>
            </w:pPr>
            <w:r w:rsidRPr="001D6905">
              <w:rPr>
                <w:lang w:eastAsia="en-US"/>
              </w:rPr>
              <w:t>8</w:t>
            </w:r>
          </w:p>
        </w:tc>
        <w:tc>
          <w:tcPr>
            <w:tcW w:w="3330" w:type="dxa"/>
            <w:hideMark/>
          </w:tcPr>
          <w:p w:rsidR="00FD027D" w:rsidRPr="001D6905" w:rsidRDefault="00FD027D" w:rsidP="000C5108">
            <w:pPr>
              <w:pStyle w:val="Tabletext"/>
              <w:rPr>
                <w:lang w:eastAsia="en-US"/>
              </w:rPr>
            </w:pPr>
            <w:r w:rsidRPr="001D6905">
              <w:rPr>
                <w:lang w:eastAsia="en-US"/>
              </w:rPr>
              <w:t>Jammu &amp; Kashmir</w:t>
            </w:r>
          </w:p>
        </w:tc>
        <w:tc>
          <w:tcPr>
            <w:tcW w:w="3510" w:type="dxa"/>
            <w:hideMark/>
          </w:tcPr>
          <w:p w:rsidR="00FD027D" w:rsidRPr="001D6905" w:rsidRDefault="00FD027D" w:rsidP="000C5108">
            <w:pPr>
              <w:pStyle w:val="Tabletext"/>
              <w:rPr>
                <w:lang w:eastAsia="en-US"/>
              </w:rPr>
            </w:pPr>
            <w:r w:rsidRPr="001D6905">
              <w:rPr>
                <w:lang w:eastAsia="en-US"/>
              </w:rPr>
              <w:t>11115</w:t>
            </w:r>
          </w:p>
        </w:tc>
      </w:tr>
      <w:tr w:rsidR="00FD027D" w:rsidRPr="001D6905" w:rsidTr="000C5108">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FD027D" w:rsidRPr="001D6905" w:rsidRDefault="00FD027D" w:rsidP="000C5108">
            <w:pPr>
              <w:pStyle w:val="Tabletext"/>
              <w:rPr>
                <w:lang w:eastAsia="en-US"/>
              </w:rPr>
            </w:pPr>
            <w:r w:rsidRPr="001D6905">
              <w:rPr>
                <w:lang w:eastAsia="en-US"/>
              </w:rPr>
              <w:t>9</w:t>
            </w:r>
          </w:p>
        </w:tc>
        <w:tc>
          <w:tcPr>
            <w:tcW w:w="3330" w:type="dxa"/>
            <w:hideMark/>
          </w:tcPr>
          <w:p w:rsidR="00FD027D" w:rsidRPr="001D6905" w:rsidRDefault="00FD027D" w:rsidP="000C5108">
            <w:pPr>
              <w:pStyle w:val="Tabletext"/>
              <w:rPr>
                <w:lang w:eastAsia="en-US"/>
              </w:rPr>
            </w:pPr>
            <w:r w:rsidRPr="001D6905">
              <w:rPr>
                <w:lang w:eastAsia="en-US"/>
              </w:rPr>
              <w:t>Karnataka</w:t>
            </w:r>
          </w:p>
        </w:tc>
        <w:tc>
          <w:tcPr>
            <w:tcW w:w="3510" w:type="dxa"/>
            <w:hideMark/>
          </w:tcPr>
          <w:p w:rsidR="00FD027D" w:rsidRPr="001D6905" w:rsidRDefault="00FD027D" w:rsidP="000C5108">
            <w:pPr>
              <w:pStyle w:val="Tabletext"/>
              <w:rPr>
                <w:lang w:eastAsia="en-US"/>
              </w:rPr>
            </w:pPr>
            <w:r w:rsidRPr="001D6905">
              <w:rPr>
                <w:lang w:eastAsia="en-US"/>
              </w:rPr>
              <w:t>54307</w:t>
            </w:r>
          </w:p>
        </w:tc>
      </w:tr>
      <w:tr w:rsidR="00FD027D" w:rsidRPr="001D6905" w:rsidTr="000C5108">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FD027D" w:rsidRPr="001D6905" w:rsidRDefault="00FD027D" w:rsidP="000C5108">
            <w:pPr>
              <w:pStyle w:val="Tabletext"/>
              <w:rPr>
                <w:lang w:eastAsia="en-US"/>
              </w:rPr>
            </w:pPr>
            <w:r w:rsidRPr="001D6905">
              <w:rPr>
                <w:lang w:eastAsia="en-US"/>
              </w:rPr>
              <w:t>10</w:t>
            </w:r>
          </w:p>
        </w:tc>
        <w:tc>
          <w:tcPr>
            <w:tcW w:w="3330" w:type="dxa"/>
            <w:hideMark/>
          </w:tcPr>
          <w:p w:rsidR="00FD027D" w:rsidRPr="001D6905" w:rsidRDefault="00FD027D" w:rsidP="000C5108">
            <w:pPr>
              <w:pStyle w:val="Tabletext"/>
              <w:rPr>
                <w:lang w:eastAsia="en-US"/>
              </w:rPr>
            </w:pPr>
            <w:r w:rsidRPr="001D6905">
              <w:rPr>
                <w:lang w:eastAsia="en-US"/>
              </w:rPr>
              <w:t>KERALA</w:t>
            </w:r>
          </w:p>
        </w:tc>
        <w:tc>
          <w:tcPr>
            <w:tcW w:w="3510" w:type="dxa"/>
            <w:hideMark/>
          </w:tcPr>
          <w:p w:rsidR="00FD027D" w:rsidRPr="001D6905" w:rsidRDefault="00FD027D" w:rsidP="000C5108">
            <w:pPr>
              <w:pStyle w:val="Tabletext"/>
              <w:rPr>
                <w:lang w:eastAsia="en-US"/>
              </w:rPr>
            </w:pPr>
            <w:r w:rsidRPr="001D6905">
              <w:rPr>
                <w:lang w:eastAsia="en-US"/>
              </w:rPr>
              <w:t>32658</w:t>
            </w:r>
          </w:p>
        </w:tc>
      </w:tr>
      <w:tr w:rsidR="00FD027D" w:rsidRPr="001D6905" w:rsidTr="000C5108">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FD027D" w:rsidRPr="001D6905" w:rsidRDefault="00FD027D" w:rsidP="000C5108">
            <w:pPr>
              <w:pStyle w:val="Tabletext"/>
              <w:rPr>
                <w:lang w:eastAsia="en-US"/>
              </w:rPr>
            </w:pPr>
            <w:r w:rsidRPr="001D6905">
              <w:rPr>
                <w:lang w:eastAsia="en-US"/>
              </w:rPr>
              <w:t>11</w:t>
            </w:r>
          </w:p>
        </w:tc>
        <w:tc>
          <w:tcPr>
            <w:tcW w:w="3330" w:type="dxa"/>
            <w:hideMark/>
          </w:tcPr>
          <w:p w:rsidR="00FD027D" w:rsidRPr="001D6905" w:rsidRDefault="00FD027D" w:rsidP="000C5108">
            <w:pPr>
              <w:pStyle w:val="Tabletext"/>
              <w:rPr>
                <w:lang w:eastAsia="en-US"/>
              </w:rPr>
            </w:pPr>
            <w:r w:rsidRPr="001D6905">
              <w:rPr>
                <w:lang w:eastAsia="en-US"/>
              </w:rPr>
              <w:t>Kolkata</w:t>
            </w:r>
          </w:p>
        </w:tc>
        <w:tc>
          <w:tcPr>
            <w:tcW w:w="3510" w:type="dxa"/>
            <w:hideMark/>
          </w:tcPr>
          <w:p w:rsidR="00FD027D" w:rsidRPr="001D6905" w:rsidRDefault="00FD027D" w:rsidP="000C5108">
            <w:pPr>
              <w:pStyle w:val="Tabletext"/>
              <w:rPr>
                <w:lang w:eastAsia="en-US"/>
              </w:rPr>
            </w:pPr>
            <w:r w:rsidRPr="001D6905">
              <w:rPr>
                <w:lang w:eastAsia="en-US"/>
              </w:rPr>
              <w:t>19609</w:t>
            </w:r>
          </w:p>
        </w:tc>
      </w:tr>
      <w:tr w:rsidR="00FD027D" w:rsidRPr="001D6905" w:rsidTr="000C5108">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FD027D" w:rsidRPr="001D6905" w:rsidRDefault="00FD027D" w:rsidP="000C5108">
            <w:pPr>
              <w:pStyle w:val="Tabletext"/>
              <w:rPr>
                <w:lang w:eastAsia="en-US"/>
              </w:rPr>
            </w:pPr>
            <w:r w:rsidRPr="001D6905">
              <w:rPr>
                <w:lang w:eastAsia="en-US"/>
              </w:rPr>
              <w:t>12</w:t>
            </w:r>
          </w:p>
        </w:tc>
        <w:tc>
          <w:tcPr>
            <w:tcW w:w="3330" w:type="dxa"/>
            <w:hideMark/>
          </w:tcPr>
          <w:p w:rsidR="00FD027D" w:rsidRPr="001D6905" w:rsidRDefault="00FD027D" w:rsidP="000C5108">
            <w:pPr>
              <w:pStyle w:val="Tabletext"/>
              <w:rPr>
                <w:lang w:eastAsia="en-US"/>
              </w:rPr>
            </w:pPr>
            <w:r w:rsidRPr="001D6905">
              <w:rPr>
                <w:lang w:eastAsia="en-US"/>
              </w:rPr>
              <w:t>MAHARASHTRA</w:t>
            </w:r>
          </w:p>
        </w:tc>
        <w:tc>
          <w:tcPr>
            <w:tcW w:w="3510" w:type="dxa"/>
            <w:hideMark/>
          </w:tcPr>
          <w:p w:rsidR="00FD027D" w:rsidRPr="001D6905" w:rsidRDefault="00FD027D" w:rsidP="000C5108">
            <w:pPr>
              <w:pStyle w:val="Tabletext"/>
              <w:rPr>
                <w:lang w:eastAsia="en-US"/>
              </w:rPr>
            </w:pPr>
            <w:r w:rsidRPr="001D6905">
              <w:rPr>
                <w:lang w:eastAsia="en-US"/>
              </w:rPr>
              <w:t>64354</w:t>
            </w:r>
          </w:p>
        </w:tc>
      </w:tr>
      <w:tr w:rsidR="00FD027D" w:rsidRPr="001D6905" w:rsidTr="000C5108">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FD027D" w:rsidRPr="001D6905" w:rsidRDefault="00FD027D" w:rsidP="000C5108">
            <w:pPr>
              <w:pStyle w:val="Tabletext"/>
              <w:rPr>
                <w:lang w:eastAsia="en-US"/>
              </w:rPr>
            </w:pPr>
            <w:r w:rsidRPr="001D6905">
              <w:rPr>
                <w:lang w:eastAsia="en-US"/>
              </w:rPr>
              <w:t>13</w:t>
            </w:r>
          </w:p>
        </w:tc>
        <w:tc>
          <w:tcPr>
            <w:tcW w:w="3330" w:type="dxa"/>
            <w:hideMark/>
          </w:tcPr>
          <w:p w:rsidR="00FD027D" w:rsidRPr="001D6905" w:rsidRDefault="00FD027D" w:rsidP="000C5108">
            <w:pPr>
              <w:pStyle w:val="Tabletext"/>
              <w:rPr>
                <w:lang w:eastAsia="en-US"/>
              </w:rPr>
            </w:pPr>
            <w:r w:rsidRPr="001D6905">
              <w:rPr>
                <w:lang w:eastAsia="en-US"/>
              </w:rPr>
              <w:t>Madhya Pradesh</w:t>
            </w:r>
          </w:p>
        </w:tc>
        <w:tc>
          <w:tcPr>
            <w:tcW w:w="3510" w:type="dxa"/>
            <w:hideMark/>
          </w:tcPr>
          <w:p w:rsidR="00FD027D" w:rsidRPr="001D6905" w:rsidRDefault="00FD027D" w:rsidP="000C5108">
            <w:pPr>
              <w:pStyle w:val="Tabletext"/>
              <w:rPr>
                <w:lang w:eastAsia="en-US"/>
              </w:rPr>
            </w:pPr>
            <w:r w:rsidRPr="001D6905">
              <w:rPr>
                <w:lang w:eastAsia="en-US"/>
              </w:rPr>
              <w:t>46423</w:t>
            </w:r>
          </w:p>
        </w:tc>
      </w:tr>
      <w:tr w:rsidR="00FD027D" w:rsidRPr="001D6905" w:rsidTr="000C5108">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FD027D" w:rsidRPr="001D6905" w:rsidRDefault="00FD027D" w:rsidP="000C5108">
            <w:pPr>
              <w:pStyle w:val="Tabletext"/>
              <w:rPr>
                <w:lang w:eastAsia="en-US"/>
              </w:rPr>
            </w:pPr>
            <w:r w:rsidRPr="001D6905">
              <w:rPr>
                <w:lang w:eastAsia="en-US"/>
              </w:rPr>
              <w:t>14</w:t>
            </w:r>
          </w:p>
        </w:tc>
        <w:tc>
          <w:tcPr>
            <w:tcW w:w="3330" w:type="dxa"/>
            <w:hideMark/>
          </w:tcPr>
          <w:p w:rsidR="00FD027D" w:rsidRPr="001D6905" w:rsidRDefault="00FD027D" w:rsidP="000C5108">
            <w:pPr>
              <w:pStyle w:val="Tabletext"/>
              <w:rPr>
                <w:lang w:eastAsia="en-US"/>
              </w:rPr>
            </w:pPr>
            <w:r w:rsidRPr="001D6905">
              <w:rPr>
                <w:lang w:eastAsia="en-US"/>
              </w:rPr>
              <w:t>MUMBAI</w:t>
            </w:r>
          </w:p>
        </w:tc>
        <w:tc>
          <w:tcPr>
            <w:tcW w:w="3510" w:type="dxa"/>
            <w:hideMark/>
          </w:tcPr>
          <w:p w:rsidR="00FD027D" w:rsidRPr="001D6905" w:rsidRDefault="00FD027D" w:rsidP="000C5108">
            <w:pPr>
              <w:pStyle w:val="Tabletext"/>
              <w:rPr>
                <w:lang w:eastAsia="en-US"/>
              </w:rPr>
            </w:pPr>
            <w:r w:rsidRPr="001D6905">
              <w:rPr>
                <w:lang w:eastAsia="en-US"/>
              </w:rPr>
              <w:t>25535</w:t>
            </w:r>
          </w:p>
        </w:tc>
      </w:tr>
      <w:tr w:rsidR="00FD027D" w:rsidRPr="001D6905" w:rsidTr="000C5108">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FD027D" w:rsidRPr="001D6905" w:rsidRDefault="00FD027D" w:rsidP="000C5108">
            <w:pPr>
              <w:pStyle w:val="Tabletext"/>
              <w:rPr>
                <w:lang w:eastAsia="en-US"/>
              </w:rPr>
            </w:pPr>
            <w:r w:rsidRPr="001D6905">
              <w:rPr>
                <w:lang w:eastAsia="en-US"/>
              </w:rPr>
              <w:t>15</w:t>
            </w:r>
          </w:p>
        </w:tc>
        <w:tc>
          <w:tcPr>
            <w:tcW w:w="3330" w:type="dxa"/>
            <w:hideMark/>
          </w:tcPr>
          <w:p w:rsidR="00FD027D" w:rsidRPr="001D6905" w:rsidRDefault="00FD027D" w:rsidP="000C5108">
            <w:pPr>
              <w:pStyle w:val="Tabletext"/>
              <w:rPr>
                <w:lang w:eastAsia="en-US"/>
              </w:rPr>
            </w:pPr>
            <w:r w:rsidRPr="001D6905">
              <w:rPr>
                <w:lang w:eastAsia="en-US"/>
              </w:rPr>
              <w:t>North East</w:t>
            </w:r>
          </w:p>
        </w:tc>
        <w:tc>
          <w:tcPr>
            <w:tcW w:w="3510" w:type="dxa"/>
            <w:hideMark/>
          </w:tcPr>
          <w:p w:rsidR="00FD027D" w:rsidRPr="001D6905" w:rsidRDefault="00FD027D" w:rsidP="000C5108">
            <w:pPr>
              <w:pStyle w:val="Tabletext"/>
              <w:rPr>
                <w:lang w:eastAsia="en-US"/>
              </w:rPr>
            </w:pPr>
            <w:r w:rsidRPr="001D6905">
              <w:rPr>
                <w:lang w:eastAsia="en-US"/>
              </w:rPr>
              <w:t>8634</w:t>
            </w:r>
          </w:p>
        </w:tc>
      </w:tr>
      <w:tr w:rsidR="00FD027D" w:rsidRPr="001D6905" w:rsidTr="000C5108">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FD027D" w:rsidRPr="001D6905" w:rsidRDefault="00FD027D" w:rsidP="000C5108">
            <w:pPr>
              <w:pStyle w:val="Tabletext"/>
              <w:rPr>
                <w:lang w:eastAsia="en-US"/>
              </w:rPr>
            </w:pPr>
            <w:r w:rsidRPr="001D6905">
              <w:rPr>
                <w:lang w:eastAsia="en-US"/>
              </w:rPr>
              <w:t>16</w:t>
            </w:r>
          </w:p>
        </w:tc>
        <w:tc>
          <w:tcPr>
            <w:tcW w:w="3330" w:type="dxa"/>
            <w:hideMark/>
          </w:tcPr>
          <w:p w:rsidR="00FD027D" w:rsidRPr="001D6905" w:rsidRDefault="00FD027D" w:rsidP="000C5108">
            <w:pPr>
              <w:pStyle w:val="Tabletext"/>
              <w:rPr>
                <w:lang w:eastAsia="en-US"/>
              </w:rPr>
            </w:pPr>
            <w:r w:rsidRPr="001D6905">
              <w:rPr>
                <w:lang w:eastAsia="en-US"/>
              </w:rPr>
              <w:t>Orissa</w:t>
            </w:r>
          </w:p>
        </w:tc>
        <w:tc>
          <w:tcPr>
            <w:tcW w:w="3510" w:type="dxa"/>
            <w:hideMark/>
          </w:tcPr>
          <w:p w:rsidR="00FD027D" w:rsidRPr="001D6905" w:rsidRDefault="00FD027D" w:rsidP="000C5108">
            <w:pPr>
              <w:pStyle w:val="Tabletext"/>
              <w:rPr>
                <w:lang w:eastAsia="en-US"/>
              </w:rPr>
            </w:pPr>
            <w:r w:rsidRPr="001D6905">
              <w:rPr>
                <w:lang w:eastAsia="en-US"/>
              </w:rPr>
              <w:t>20795</w:t>
            </w:r>
          </w:p>
        </w:tc>
      </w:tr>
      <w:tr w:rsidR="00FD027D" w:rsidRPr="001D6905" w:rsidTr="000C5108">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FD027D" w:rsidRPr="001D6905" w:rsidRDefault="00FD027D" w:rsidP="000C5108">
            <w:pPr>
              <w:pStyle w:val="Tabletext"/>
              <w:rPr>
                <w:lang w:eastAsia="en-US"/>
              </w:rPr>
            </w:pPr>
            <w:r w:rsidRPr="001D6905">
              <w:rPr>
                <w:lang w:eastAsia="en-US"/>
              </w:rPr>
              <w:t>17</w:t>
            </w:r>
          </w:p>
        </w:tc>
        <w:tc>
          <w:tcPr>
            <w:tcW w:w="3330" w:type="dxa"/>
            <w:hideMark/>
          </w:tcPr>
          <w:p w:rsidR="00FD027D" w:rsidRPr="001D6905" w:rsidRDefault="00FD027D" w:rsidP="000C5108">
            <w:pPr>
              <w:pStyle w:val="Tabletext"/>
              <w:rPr>
                <w:lang w:eastAsia="en-US"/>
              </w:rPr>
            </w:pPr>
            <w:r w:rsidRPr="001D6905">
              <w:rPr>
                <w:lang w:eastAsia="en-US"/>
              </w:rPr>
              <w:t>Punjab</w:t>
            </w:r>
          </w:p>
        </w:tc>
        <w:tc>
          <w:tcPr>
            <w:tcW w:w="3510" w:type="dxa"/>
            <w:hideMark/>
          </w:tcPr>
          <w:p w:rsidR="00FD027D" w:rsidRPr="001D6905" w:rsidRDefault="00FD027D" w:rsidP="000C5108">
            <w:pPr>
              <w:pStyle w:val="Tabletext"/>
              <w:rPr>
                <w:lang w:eastAsia="en-US"/>
              </w:rPr>
            </w:pPr>
            <w:r w:rsidRPr="001D6905">
              <w:rPr>
                <w:lang w:eastAsia="en-US"/>
              </w:rPr>
              <w:t>26959</w:t>
            </w:r>
          </w:p>
        </w:tc>
      </w:tr>
      <w:tr w:rsidR="00FD027D" w:rsidRPr="001D6905" w:rsidTr="000C5108">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FD027D" w:rsidRPr="001D6905" w:rsidRDefault="00FD027D" w:rsidP="000C5108">
            <w:pPr>
              <w:pStyle w:val="Tabletext"/>
              <w:rPr>
                <w:lang w:eastAsia="en-US"/>
              </w:rPr>
            </w:pPr>
            <w:r w:rsidRPr="001D6905">
              <w:rPr>
                <w:lang w:eastAsia="en-US"/>
              </w:rPr>
              <w:t>18</w:t>
            </w:r>
          </w:p>
        </w:tc>
        <w:tc>
          <w:tcPr>
            <w:tcW w:w="3330" w:type="dxa"/>
            <w:hideMark/>
          </w:tcPr>
          <w:p w:rsidR="00FD027D" w:rsidRPr="001D6905" w:rsidRDefault="00FD027D" w:rsidP="000C5108">
            <w:pPr>
              <w:pStyle w:val="Tabletext"/>
              <w:rPr>
                <w:lang w:eastAsia="en-US"/>
              </w:rPr>
            </w:pPr>
            <w:r w:rsidRPr="001D6905">
              <w:rPr>
                <w:lang w:eastAsia="en-US"/>
              </w:rPr>
              <w:t>RAJASTHAN</w:t>
            </w:r>
          </w:p>
        </w:tc>
        <w:tc>
          <w:tcPr>
            <w:tcW w:w="3510" w:type="dxa"/>
            <w:hideMark/>
          </w:tcPr>
          <w:p w:rsidR="00FD027D" w:rsidRPr="001D6905" w:rsidRDefault="00FD027D" w:rsidP="000C5108">
            <w:pPr>
              <w:pStyle w:val="Tabletext"/>
              <w:rPr>
                <w:lang w:eastAsia="en-US"/>
              </w:rPr>
            </w:pPr>
            <w:r w:rsidRPr="001D6905">
              <w:rPr>
                <w:lang w:eastAsia="en-US"/>
              </w:rPr>
              <w:t>35560</w:t>
            </w:r>
          </w:p>
        </w:tc>
      </w:tr>
      <w:tr w:rsidR="00FD027D" w:rsidRPr="001D6905" w:rsidTr="000C5108">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FD027D" w:rsidRPr="001D6905" w:rsidRDefault="00FD027D" w:rsidP="000C5108">
            <w:pPr>
              <w:pStyle w:val="Tabletext"/>
              <w:rPr>
                <w:lang w:eastAsia="en-US"/>
              </w:rPr>
            </w:pPr>
            <w:r w:rsidRPr="001D6905">
              <w:rPr>
                <w:lang w:eastAsia="en-US"/>
              </w:rPr>
              <w:t>19.1</w:t>
            </w:r>
          </w:p>
        </w:tc>
        <w:tc>
          <w:tcPr>
            <w:tcW w:w="3330" w:type="dxa"/>
            <w:hideMark/>
          </w:tcPr>
          <w:p w:rsidR="00FD027D" w:rsidRPr="001D6905" w:rsidRDefault="00FD027D" w:rsidP="000C5108">
            <w:pPr>
              <w:pStyle w:val="Tabletext"/>
              <w:rPr>
                <w:lang w:eastAsia="en-US"/>
              </w:rPr>
            </w:pPr>
            <w:r w:rsidRPr="001D6905">
              <w:rPr>
                <w:lang w:eastAsia="en-US"/>
              </w:rPr>
              <w:t>Tamil Nadu excluding Chennai</w:t>
            </w:r>
          </w:p>
        </w:tc>
        <w:tc>
          <w:tcPr>
            <w:tcW w:w="3510" w:type="dxa"/>
            <w:hideMark/>
          </w:tcPr>
          <w:p w:rsidR="00FD027D" w:rsidRPr="001D6905" w:rsidRDefault="00FD027D" w:rsidP="000C5108">
            <w:pPr>
              <w:pStyle w:val="Tabletext"/>
              <w:rPr>
                <w:lang w:eastAsia="en-US"/>
              </w:rPr>
            </w:pPr>
            <w:r w:rsidRPr="001D6905">
              <w:rPr>
                <w:lang w:eastAsia="en-US"/>
              </w:rPr>
              <w:t>45484</w:t>
            </w:r>
          </w:p>
        </w:tc>
      </w:tr>
      <w:tr w:rsidR="00FD027D" w:rsidRPr="001D6905" w:rsidTr="000C5108">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FD027D" w:rsidRPr="001D6905" w:rsidRDefault="00FD027D" w:rsidP="000C5108">
            <w:pPr>
              <w:pStyle w:val="Tabletext"/>
              <w:rPr>
                <w:lang w:eastAsia="en-US"/>
              </w:rPr>
            </w:pPr>
            <w:r w:rsidRPr="001D6905">
              <w:rPr>
                <w:lang w:eastAsia="en-US"/>
              </w:rPr>
              <w:t>19.2</w:t>
            </w:r>
          </w:p>
        </w:tc>
        <w:tc>
          <w:tcPr>
            <w:tcW w:w="3330" w:type="dxa"/>
            <w:hideMark/>
          </w:tcPr>
          <w:p w:rsidR="00FD027D" w:rsidRPr="001D6905" w:rsidRDefault="00FD027D" w:rsidP="000C5108">
            <w:pPr>
              <w:pStyle w:val="Tabletext"/>
              <w:rPr>
                <w:lang w:eastAsia="en-US"/>
              </w:rPr>
            </w:pPr>
            <w:r w:rsidRPr="001D6905">
              <w:rPr>
                <w:lang w:eastAsia="en-US"/>
              </w:rPr>
              <w:t>Chennai</w:t>
            </w:r>
          </w:p>
        </w:tc>
        <w:tc>
          <w:tcPr>
            <w:tcW w:w="3510" w:type="dxa"/>
            <w:hideMark/>
          </w:tcPr>
          <w:p w:rsidR="00FD027D" w:rsidRPr="001D6905" w:rsidRDefault="00FD027D" w:rsidP="000C5108">
            <w:pPr>
              <w:pStyle w:val="Tabletext"/>
              <w:rPr>
                <w:lang w:eastAsia="en-US"/>
              </w:rPr>
            </w:pPr>
            <w:r w:rsidRPr="001D6905">
              <w:rPr>
                <w:lang w:eastAsia="en-US"/>
              </w:rPr>
              <w:t>21835</w:t>
            </w:r>
          </w:p>
        </w:tc>
      </w:tr>
      <w:tr w:rsidR="00FD027D" w:rsidRPr="001D6905" w:rsidTr="000C5108">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FD027D" w:rsidRPr="001D6905" w:rsidRDefault="00FD027D" w:rsidP="000C5108">
            <w:pPr>
              <w:pStyle w:val="Tabletext"/>
              <w:rPr>
                <w:lang w:eastAsia="en-US"/>
              </w:rPr>
            </w:pPr>
            <w:r w:rsidRPr="001D6905">
              <w:rPr>
                <w:lang w:eastAsia="en-US"/>
              </w:rPr>
              <w:t>20</w:t>
            </w:r>
          </w:p>
        </w:tc>
        <w:tc>
          <w:tcPr>
            <w:tcW w:w="3330" w:type="dxa"/>
            <w:hideMark/>
          </w:tcPr>
          <w:p w:rsidR="00FD027D" w:rsidRPr="001D6905" w:rsidRDefault="00FD027D" w:rsidP="000C5108">
            <w:pPr>
              <w:pStyle w:val="Tabletext"/>
              <w:rPr>
                <w:lang w:eastAsia="en-US"/>
              </w:rPr>
            </w:pPr>
            <w:r w:rsidRPr="001D6905">
              <w:rPr>
                <w:lang w:eastAsia="en-US"/>
              </w:rPr>
              <w:t>Uttar Pradesh (East)</w:t>
            </w:r>
          </w:p>
        </w:tc>
        <w:tc>
          <w:tcPr>
            <w:tcW w:w="3510" w:type="dxa"/>
            <w:hideMark/>
          </w:tcPr>
          <w:p w:rsidR="00FD027D" w:rsidRPr="001D6905" w:rsidRDefault="00FD027D" w:rsidP="000C5108">
            <w:pPr>
              <w:pStyle w:val="Tabletext"/>
              <w:rPr>
                <w:lang w:eastAsia="en-US"/>
              </w:rPr>
            </w:pPr>
            <w:r w:rsidRPr="001D6905">
              <w:rPr>
                <w:lang w:eastAsia="en-US"/>
              </w:rPr>
              <w:t>45176</w:t>
            </w:r>
          </w:p>
        </w:tc>
      </w:tr>
      <w:tr w:rsidR="00FD027D" w:rsidRPr="001D6905" w:rsidTr="000C5108">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FD027D" w:rsidRPr="001D6905" w:rsidRDefault="00FD027D" w:rsidP="000C5108">
            <w:pPr>
              <w:pStyle w:val="Tabletext"/>
              <w:rPr>
                <w:lang w:eastAsia="en-US"/>
              </w:rPr>
            </w:pPr>
            <w:r w:rsidRPr="001D6905">
              <w:rPr>
                <w:lang w:eastAsia="en-US"/>
              </w:rPr>
              <w:t>21</w:t>
            </w:r>
          </w:p>
        </w:tc>
        <w:tc>
          <w:tcPr>
            <w:tcW w:w="3330" w:type="dxa"/>
            <w:hideMark/>
          </w:tcPr>
          <w:p w:rsidR="00FD027D" w:rsidRPr="001D6905" w:rsidRDefault="00FD027D" w:rsidP="000C5108">
            <w:pPr>
              <w:pStyle w:val="Tabletext"/>
              <w:rPr>
                <w:lang w:eastAsia="en-US"/>
              </w:rPr>
            </w:pPr>
            <w:r w:rsidRPr="001D6905">
              <w:rPr>
                <w:lang w:eastAsia="en-US"/>
              </w:rPr>
              <w:t>Uttar Pradesh (West)</w:t>
            </w:r>
          </w:p>
        </w:tc>
        <w:tc>
          <w:tcPr>
            <w:tcW w:w="3510" w:type="dxa"/>
            <w:hideMark/>
          </w:tcPr>
          <w:p w:rsidR="00FD027D" w:rsidRPr="001D6905" w:rsidRDefault="00FD027D" w:rsidP="000C5108">
            <w:pPr>
              <w:pStyle w:val="Tabletext"/>
              <w:rPr>
                <w:lang w:eastAsia="en-US"/>
              </w:rPr>
            </w:pPr>
            <w:r w:rsidRPr="001D6905">
              <w:rPr>
                <w:lang w:eastAsia="en-US"/>
              </w:rPr>
              <w:t>37883</w:t>
            </w:r>
          </w:p>
        </w:tc>
      </w:tr>
      <w:tr w:rsidR="00FD027D" w:rsidRPr="001D6905" w:rsidTr="000C5108">
        <w:trPr>
          <w:cnfStyle w:val="000000100000" w:firstRow="0" w:lastRow="0" w:firstColumn="0" w:lastColumn="0" w:oddVBand="0" w:evenVBand="0" w:oddHBand="1" w:evenHBand="0" w:firstRowFirstColumn="0" w:firstRowLastColumn="0" w:lastRowFirstColumn="0" w:lastRowLastColumn="0"/>
          <w:trHeight w:val="20"/>
          <w:jc w:val="center"/>
        </w:trPr>
        <w:tc>
          <w:tcPr>
            <w:tcW w:w="1080" w:type="dxa"/>
            <w:hideMark/>
          </w:tcPr>
          <w:p w:rsidR="00FD027D" w:rsidRPr="001D6905" w:rsidRDefault="00FD027D" w:rsidP="000C5108">
            <w:pPr>
              <w:pStyle w:val="Tabletext"/>
              <w:rPr>
                <w:lang w:eastAsia="en-US"/>
              </w:rPr>
            </w:pPr>
            <w:r w:rsidRPr="001D6905">
              <w:rPr>
                <w:lang w:eastAsia="en-US"/>
              </w:rPr>
              <w:t>22</w:t>
            </w:r>
          </w:p>
        </w:tc>
        <w:tc>
          <w:tcPr>
            <w:tcW w:w="3330" w:type="dxa"/>
            <w:hideMark/>
          </w:tcPr>
          <w:p w:rsidR="00FD027D" w:rsidRPr="001D6905" w:rsidRDefault="00FD027D" w:rsidP="000C5108">
            <w:pPr>
              <w:pStyle w:val="Tabletext"/>
              <w:rPr>
                <w:lang w:eastAsia="en-US"/>
              </w:rPr>
            </w:pPr>
            <w:r w:rsidRPr="001D6905">
              <w:rPr>
                <w:lang w:eastAsia="en-US"/>
              </w:rPr>
              <w:t>West Bengal</w:t>
            </w:r>
          </w:p>
        </w:tc>
        <w:tc>
          <w:tcPr>
            <w:tcW w:w="3510" w:type="dxa"/>
            <w:hideMark/>
          </w:tcPr>
          <w:p w:rsidR="00FD027D" w:rsidRPr="001D6905" w:rsidRDefault="00FD027D" w:rsidP="000C5108">
            <w:pPr>
              <w:pStyle w:val="Tabletext"/>
              <w:rPr>
                <w:lang w:eastAsia="en-US"/>
              </w:rPr>
            </w:pPr>
            <w:r w:rsidRPr="001D6905">
              <w:rPr>
                <w:lang w:eastAsia="en-US"/>
              </w:rPr>
              <w:t>30080</w:t>
            </w:r>
          </w:p>
        </w:tc>
      </w:tr>
      <w:tr w:rsidR="00FD027D" w:rsidRPr="001D6905" w:rsidTr="000C5108">
        <w:trPr>
          <w:cnfStyle w:val="000000010000" w:firstRow="0" w:lastRow="0" w:firstColumn="0" w:lastColumn="0" w:oddVBand="0" w:evenVBand="0" w:oddHBand="0" w:evenHBand="1" w:firstRowFirstColumn="0" w:firstRowLastColumn="0" w:lastRowFirstColumn="0" w:lastRowLastColumn="0"/>
          <w:trHeight w:val="20"/>
          <w:jc w:val="center"/>
        </w:trPr>
        <w:tc>
          <w:tcPr>
            <w:tcW w:w="1080" w:type="dxa"/>
            <w:hideMark/>
          </w:tcPr>
          <w:p w:rsidR="00FD027D" w:rsidRPr="001D6905" w:rsidRDefault="00FD027D" w:rsidP="000C5108">
            <w:pPr>
              <w:pStyle w:val="Tabletext"/>
              <w:rPr>
                <w:b/>
                <w:lang w:eastAsia="en-US"/>
              </w:rPr>
            </w:pPr>
            <w:r w:rsidRPr="001D6905">
              <w:rPr>
                <w:b/>
                <w:lang w:eastAsia="en-US"/>
              </w:rPr>
              <w:t> </w:t>
            </w:r>
          </w:p>
        </w:tc>
        <w:tc>
          <w:tcPr>
            <w:tcW w:w="3330" w:type="dxa"/>
            <w:hideMark/>
          </w:tcPr>
          <w:p w:rsidR="00FD027D" w:rsidRPr="001D6905" w:rsidRDefault="00FD027D" w:rsidP="000C5108">
            <w:pPr>
              <w:pStyle w:val="Tabletext"/>
              <w:rPr>
                <w:b/>
                <w:lang w:eastAsia="en-US"/>
              </w:rPr>
            </w:pPr>
            <w:r w:rsidRPr="001D6905">
              <w:rPr>
                <w:b/>
                <w:lang w:eastAsia="en-US"/>
              </w:rPr>
              <w:t>Total</w:t>
            </w:r>
          </w:p>
        </w:tc>
        <w:tc>
          <w:tcPr>
            <w:tcW w:w="3510" w:type="dxa"/>
            <w:hideMark/>
          </w:tcPr>
          <w:p w:rsidR="00FD027D" w:rsidRPr="001D6905" w:rsidRDefault="00FD027D" w:rsidP="000C5108">
            <w:pPr>
              <w:pStyle w:val="Tabletext"/>
              <w:rPr>
                <w:b/>
                <w:lang w:eastAsia="en-US"/>
              </w:rPr>
            </w:pPr>
            <w:r w:rsidRPr="001D6905">
              <w:rPr>
                <w:b/>
                <w:lang w:eastAsia="en-US"/>
              </w:rPr>
              <w:t>746602</w:t>
            </w:r>
          </w:p>
        </w:tc>
      </w:tr>
    </w:tbl>
    <w:p w:rsidR="00FD027D" w:rsidRPr="001D6905" w:rsidRDefault="00FD027D" w:rsidP="00FD027D">
      <w:pPr>
        <w:rPr>
          <w:rFonts w:eastAsia="Calibri" w:cs="Arial"/>
          <w:b/>
          <w:szCs w:val="19"/>
        </w:rPr>
      </w:pPr>
      <w:r w:rsidRPr="001D6905">
        <w:rPr>
          <w:rFonts w:eastAsia="Calibri" w:cs="Arial"/>
          <w:b/>
          <w:szCs w:val="19"/>
        </w:rPr>
        <w:br w:type="page"/>
      </w:r>
    </w:p>
    <w:p w:rsidR="00FD027D" w:rsidRDefault="00FD027D" w:rsidP="00FD027D">
      <w:pPr>
        <w:pStyle w:val="Heading1"/>
        <w:rPr>
          <w:rFonts w:eastAsia="Calibri"/>
        </w:rPr>
      </w:pPr>
      <w:bookmarkStart w:id="174" w:name="_Toc374691854"/>
      <w:bookmarkStart w:id="175" w:name="_Toc377560493"/>
      <w:r>
        <w:rPr>
          <w:rFonts w:eastAsia="Calibri"/>
        </w:rPr>
        <w:lastRenderedPageBreak/>
        <w:t>Annex 10C</w:t>
      </w:r>
      <w:bookmarkEnd w:id="174"/>
      <w:bookmarkEnd w:id="175"/>
    </w:p>
    <w:p w:rsidR="00FD027D" w:rsidRPr="00C71B8F" w:rsidRDefault="00FD027D" w:rsidP="00FD027D">
      <w:pPr>
        <w:rPr>
          <w:lang w:val="en-US"/>
        </w:rPr>
      </w:pPr>
    </w:p>
    <w:p w:rsidR="00FD027D" w:rsidRPr="001D6905" w:rsidRDefault="00FD027D" w:rsidP="00FD027D">
      <w:pPr>
        <w:rPr>
          <w:rFonts w:eastAsia="Calibri" w:cs="Arial"/>
          <w:szCs w:val="19"/>
        </w:rPr>
      </w:pPr>
      <w:r>
        <w:object w:dxaOrig="12337" w:dyaOrig="7610">
          <v:shape id="_x0000_i1026" type="#_x0000_t75" style="width:435pt;height:270pt;mso-position-vertical:absolute" o:ole="" o:allowoverlap="f">
            <v:imagedata r:id="rId34" o:title=""/>
          </v:shape>
          <o:OLEObject Type="Embed" ProgID="Excel.Sheet.12" ShapeID="_x0000_i1026" DrawAspect="Content" ObjectID="_1451481513" r:id="rId35"/>
        </w:object>
      </w:r>
    </w:p>
    <w:p w:rsidR="00FD027D" w:rsidRPr="001D6905" w:rsidRDefault="00FD027D" w:rsidP="00FD027D">
      <w:pPr>
        <w:rPr>
          <w:rFonts w:eastAsia="Calibri" w:cs="Arial"/>
          <w:szCs w:val="19"/>
        </w:rPr>
      </w:pPr>
      <w:r>
        <w:object w:dxaOrig="12047" w:dyaOrig="8192">
          <v:shape id="_x0000_i1027" type="#_x0000_t75" style="width:451.5pt;height:309pt" o:ole="" o:allowoverlap="f">
            <v:imagedata r:id="rId36" o:title=""/>
          </v:shape>
          <o:OLEObject Type="Embed" ProgID="Excel.Sheet.12" ShapeID="_x0000_i1027" DrawAspect="Content" ObjectID="_1451481514" r:id="rId37"/>
        </w:object>
      </w:r>
    </w:p>
    <w:p w:rsidR="00FD027D" w:rsidRPr="001D6905" w:rsidRDefault="00FD027D" w:rsidP="00FD027D">
      <w:pPr>
        <w:rPr>
          <w:rFonts w:eastAsia="Calibri" w:cs="Arial"/>
          <w:szCs w:val="19"/>
        </w:rPr>
      </w:pPr>
    </w:p>
    <w:p w:rsidR="00FD027D" w:rsidRPr="001D6905" w:rsidRDefault="00FD027D" w:rsidP="00FD027D">
      <w:pPr>
        <w:rPr>
          <w:rFonts w:eastAsia="Calibri" w:cs="Arial"/>
          <w:szCs w:val="19"/>
        </w:rPr>
      </w:pPr>
      <w:r>
        <w:object w:dxaOrig="13240" w:dyaOrig="8002">
          <v:shape id="_x0000_i1028" type="#_x0000_t75" style="width:448.5pt;height:296.25pt" o:ole="" o:allowoverlap="f">
            <v:imagedata r:id="rId38" o:title=""/>
          </v:shape>
          <o:OLEObject Type="Embed" ProgID="Excel.Sheet.12" ShapeID="_x0000_i1028" DrawAspect="Content" ObjectID="_1451481515" r:id="rId39"/>
        </w:object>
      </w:r>
    </w:p>
    <w:p w:rsidR="00FD027D" w:rsidRPr="001D6905" w:rsidRDefault="00FD027D" w:rsidP="00FD027D">
      <w:pPr>
        <w:rPr>
          <w:rFonts w:eastAsia="Calibri" w:cs="Arial"/>
          <w:szCs w:val="19"/>
        </w:rPr>
      </w:pPr>
    </w:p>
    <w:bookmarkStart w:id="176" w:name="_MON_1448782912"/>
    <w:bookmarkEnd w:id="176"/>
    <w:p w:rsidR="00FD027D" w:rsidRPr="001D6905" w:rsidRDefault="00FD027D" w:rsidP="00FD027D">
      <w:pPr>
        <w:rPr>
          <w:rFonts w:eastAsia="Calibri" w:cs="Arial"/>
          <w:szCs w:val="19"/>
        </w:rPr>
      </w:pPr>
      <w:r>
        <w:object w:dxaOrig="11822" w:dyaOrig="7165">
          <v:shape id="_x0000_i1029" type="#_x0000_t75" style="width:444pt;height:270pt" o:ole="">
            <v:imagedata r:id="rId40" o:title=""/>
          </v:shape>
          <o:OLEObject Type="Embed" ProgID="Excel.Sheet.12" ShapeID="_x0000_i1029" DrawAspect="Content" ObjectID="_1451481516" r:id="rId41"/>
        </w:object>
      </w:r>
    </w:p>
    <w:p w:rsidR="00FD027D" w:rsidRPr="001D6905" w:rsidRDefault="00FD027D" w:rsidP="00FD027D">
      <w:pPr>
        <w:rPr>
          <w:rFonts w:eastAsia="Calibri" w:cs="Arial"/>
          <w:szCs w:val="19"/>
        </w:rPr>
      </w:pPr>
      <w:r>
        <w:object w:dxaOrig="11853" w:dyaOrig="6438">
          <v:shape id="_x0000_i1030" type="#_x0000_t75" style="width:444pt;height:242.25pt" o:ole="">
            <v:imagedata r:id="rId42" o:title=""/>
          </v:shape>
          <o:OLEObject Type="Embed" ProgID="Excel.Sheet.12" ShapeID="_x0000_i1030" DrawAspect="Content" ObjectID="_1451481517" r:id="rId43"/>
        </w:object>
      </w:r>
    </w:p>
    <w:p w:rsidR="00FD027D" w:rsidRPr="00DD4C39" w:rsidRDefault="00FD027D" w:rsidP="00FD027D">
      <w:pPr>
        <w:pStyle w:val="CEOcontributionStart"/>
        <w:rPr>
          <w:lang w:val="en-US"/>
        </w:rPr>
      </w:pPr>
      <w:r>
        <w:object w:dxaOrig="13336" w:dyaOrig="4555">
          <v:shape id="_x0000_i1031" type="#_x0000_t75" style="width:460.5pt;height:143.25pt" o:ole="" o:allowoverlap="f">
            <v:imagedata r:id="rId44" o:title=""/>
          </v:shape>
          <o:OLEObject Type="Embed" ProgID="Excel.Sheet.12" ShapeID="_x0000_i1031" DrawAspect="Content" ObjectID="_1451481518" r:id="rId45"/>
        </w:object>
      </w:r>
      <w:r w:rsidRPr="00DD4C39">
        <w:rPr>
          <w:lang w:val="en-US"/>
        </w:rPr>
        <w:t>____</w:t>
      </w:r>
    </w:p>
    <w:p w:rsidR="00FD027D" w:rsidRPr="0034630E" w:rsidRDefault="00FD027D" w:rsidP="00FD027D">
      <w:pPr>
        <w:spacing w:before="0"/>
        <w:rPr>
          <w:b/>
          <w:szCs w:val="19"/>
          <w:lang w:val="fr-CH"/>
        </w:rPr>
      </w:pPr>
      <w:r w:rsidRPr="0034630E">
        <w:rPr>
          <w:smallCaps/>
          <w:szCs w:val="19"/>
          <w:lang w:val="fr-CH"/>
        </w:rPr>
        <w:br w:type="page"/>
      </w:r>
    </w:p>
    <w:p w:rsidR="00FD027D" w:rsidRPr="005C67CA" w:rsidRDefault="00FD027D" w:rsidP="00FD027D">
      <w:pPr>
        <w:pStyle w:val="Heading1"/>
        <w:rPr>
          <w:smallCaps/>
          <w:szCs w:val="19"/>
        </w:rPr>
      </w:pPr>
      <w:bookmarkStart w:id="177" w:name="_Toc374691855"/>
      <w:bookmarkStart w:id="178" w:name="_Toc377560494"/>
      <w:r w:rsidRPr="005C67CA">
        <w:rPr>
          <w:szCs w:val="19"/>
        </w:rPr>
        <w:lastRenderedPageBreak/>
        <w:t>II.</w:t>
      </w:r>
      <w:r w:rsidRPr="005C67CA">
        <w:rPr>
          <w:szCs w:val="19"/>
        </w:rPr>
        <w:tab/>
        <w:t>List of Contributions</w:t>
      </w:r>
      <w:bookmarkEnd w:id="167"/>
      <w:bookmarkEnd w:id="177"/>
      <w:bookmarkEnd w:id="178"/>
    </w:p>
    <w:p w:rsidR="00FD027D" w:rsidRPr="007E66A3" w:rsidRDefault="00FD027D" w:rsidP="00FD027D">
      <w:pPr>
        <w:pStyle w:val="ListParagraph"/>
        <w:numPr>
          <w:ilvl w:val="0"/>
          <w:numId w:val="11"/>
        </w:numPr>
        <w:spacing w:before="240" w:after="60"/>
        <w:ind w:left="357" w:hanging="357"/>
        <w:contextualSpacing w:val="0"/>
        <w:rPr>
          <w:rFonts w:asciiTheme="minorHAnsi" w:hAnsiTheme="minorHAnsi"/>
          <w:sz w:val="21"/>
          <w:szCs w:val="21"/>
          <w:lang w:val="fr-CH"/>
        </w:rPr>
      </w:pPr>
      <w:bookmarkStart w:id="179" w:name="_Toc361912453"/>
      <w:r w:rsidRPr="007E66A3">
        <w:rPr>
          <w:rFonts w:asciiTheme="minorHAnsi" w:hAnsiTheme="minorHAnsi"/>
          <w:sz w:val="21"/>
          <w:szCs w:val="21"/>
          <w:lang w:val="fr-CH"/>
        </w:rPr>
        <w:t>Côte d’Ivoire</w:t>
      </w:r>
      <w:bookmarkEnd w:id="179"/>
      <w:r w:rsidRPr="007E66A3">
        <w:rPr>
          <w:rFonts w:asciiTheme="minorHAnsi" w:hAnsiTheme="minorHAnsi"/>
          <w:sz w:val="21"/>
          <w:szCs w:val="21"/>
          <w:lang w:val="fr-CH"/>
        </w:rPr>
        <w:t xml:space="preserve">  </w:t>
      </w:r>
      <w:hyperlink r:id="rId46" w:history="1">
        <w:r w:rsidRPr="007E66A3">
          <w:rPr>
            <w:rStyle w:val="Hyperlink"/>
            <w:rFonts w:asciiTheme="minorHAnsi" w:hAnsiTheme="minorHAnsi"/>
            <w:sz w:val="21"/>
            <w:szCs w:val="21"/>
            <w:lang w:val="fr-CH"/>
          </w:rPr>
          <w:t>http://www.itu.int/md/D10-SG01-INF-0034/</w:t>
        </w:r>
      </w:hyperlink>
      <w:r w:rsidRPr="007E66A3">
        <w:rPr>
          <w:rFonts w:asciiTheme="minorHAnsi" w:hAnsiTheme="minorHAnsi"/>
          <w:sz w:val="21"/>
          <w:szCs w:val="21"/>
          <w:lang w:val="fr-CH"/>
        </w:rPr>
        <w:t xml:space="preserve"> </w:t>
      </w:r>
    </w:p>
    <w:p w:rsidR="00FD027D" w:rsidRPr="007E66A3" w:rsidRDefault="00FD027D" w:rsidP="00FD027D">
      <w:pPr>
        <w:pStyle w:val="ListParagraph"/>
        <w:numPr>
          <w:ilvl w:val="0"/>
          <w:numId w:val="11"/>
        </w:numPr>
        <w:spacing w:before="240" w:after="60"/>
        <w:ind w:left="357" w:hanging="357"/>
        <w:contextualSpacing w:val="0"/>
        <w:rPr>
          <w:rFonts w:asciiTheme="minorHAnsi" w:hAnsiTheme="minorHAnsi"/>
          <w:sz w:val="21"/>
          <w:szCs w:val="21"/>
          <w:lang w:val="es-ES_tradnl"/>
        </w:rPr>
      </w:pPr>
      <w:bookmarkStart w:id="180" w:name="_Toc361912454"/>
      <w:r w:rsidRPr="007E66A3">
        <w:rPr>
          <w:rFonts w:asciiTheme="minorHAnsi" w:hAnsiTheme="minorHAnsi"/>
          <w:sz w:val="21"/>
          <w:szCs w:val="21"/>
          <w:lang w:val="es-ES_tradnl"/>
        </w:rPr>
        <w:t>Brazil</w:t>
      </w:r>
      <w:bookmarkEnd w:id="180"/>
      <w:r w:rsidRPr="007E66A3">
        <w:rPr>
          <w:rFonts w:asciiTheme="minorHAnsi" w:hAnsiTheme="minorHAnsi"/>
          <w:sz w:val="21"/>
          <w:szCs w:val="21"/>
          <w:lang w:val="es-ES_tradnl"/>
        </w:rPr>
        <w:t xml:space="preserve">   </w:t>
      </w:r>
      <w:hyperlink r:id="rId47" w:history="1">
        <w:r w:rsidRPr="007E66A3">
          <w:rPr>
            <w:rStyle w:val="Hyperlink"/>
            <w:rFonts w:asciiTheme="minorHAnsi" w:hAnsiTheme="minorHAnsi"/>
            <w:sz w:val="21"/>
            <w:szCs w:val="21"/>
            <w:lang w:val="es-ES_tradnl"/>
          </w:rPr>
          <w:t>http://www.itu.int/md/D10-SG01-C-0088/</w:t>
        </w:r>
      </w:hyperlink>
      <w:r w:rsidRPr="007E66A3">
        <w:rPr>
          <w:rFonts w:asciiTheme="minorHAnsi" w:hAnsiTheme="minorHAnsi"/>
          <w:sz w:val="21"/>
          <w:szCs w:val="21"/>
          <w:lang w:val="es-ES_tradnl"/>
        </w:rPr>
        <w:t xml:space="preserve"> </w:t>
      </w:r>
    </w:p>
    <w:p w:rsidR="00FD027D" w:rsidRPr="007E66A3" w:rsidRDefault="00FD027D" w:rsidP="00FD027D">
      <w:pPr>
        <w:pStyle w:val="ListParagraph"/>
        <w:numPr>
          <w:ilvl w:val="0"/>
          <w:numId w:val="11"/>
        </w:numPr>
        <w:spacing w:before="240" w:after="60"/>
        <w:ind w:left="357" w:hanging="357"/>
        <w:contextualSpacing w:val="0"/>
        <w:rPr>
          <w:rFonts w:asciiTheme="minorHAnsi" w:hAnsiTheme="minorHAnsi"/>
          <w:sz w:val="21"/>
          <w:szCs w:val="21"/>
        </w:rPr>
      </w:pPr>
      <w:bookmarkStart w:id="181" w:name="_Toc361912455"/>
      <w:r w:rsidRPr="007E66A3">
        <w:rPr>
          <w:rFonts w:asciiTheme="minorHAnsi" w:hAnsiTheme="minorHAnsi"/>
          <w:sz w:val="21"/>
          <w:szCs w:val="21"/>
        </w:rPr>
        <w:t>Republic of Korea</w:t>
      </w:r>
      <w:bookmarkEnd w:id="181"/>
      <w:r w:rsidRPr="007E66A3">
        <w:rPr>
          <w:rFonts w:asciiTheme="minorHAnsi" w:hAnsiTheme="minorHAnsi"/>
          <w:sz w:val="21"/>
          <w:szCs w:val="21"/>
        </w:rPr>
        <w:t xml:space="preserve">   </w:t>
      </w:r>
      <w:hyperlink r:id="rId48" w:history="1">
        <w:r w:rsidRPr="007E66A3">
          <w:rPr>
            <w:rStyle w:val="Hyperlink"/>
            <w:rFonts w:asciiTheme="minorHAnsi" w:hAnsiTheme="minorHAnsi"/>
            <w:sz w:val="21"/>
            <w:szCs w:val="21"/>
          </w:rPr>
          <w:t>http://www.itu.int/md/D10-SG01-C-0181/</w:t>
        </w:r>
      </w:hyperlink>
      <w:r w:rsidRPr="007E66A3">
        <w:rPr>
          <w:rFonts w:asciiTheme="minorHAnsi" w:hAnsiTheme="minorHAnsi"/>
          <w:sz w:val="21"/>
          <w:szCs w:val="21"/>
        </w:rPr>
        <w:t xml:space="preserve"> </w:t>
      </w:r>
    </w:p>
    <w:p w:rsidR="00FD027D" w:rsidRPr="007E66A3" w:rsidRDefault="00FD027D" w:rsidP="00FD027D">
      <w:pPr>
        <w:pStyle w:val="ListParagraph"/>
        <w:numPr>
          <w:ilvl w:val="0"/>
          <w:numId w:val="11"/>
        </w:numPr>
        <w:spacing w:before="240" w:after="60"/>
        <w:ind w:left="357" w:hanging="357"/>
        <w:contextualSpacing w:val="0"/>
        <w:rPr>
          <w:rFonts w:asciiTheme="minorHAnsi" w:hAnsiTheme="minorHAnsi"/>
          <w:sz w:val="21"/>
          <w:szCs w:val="21"/>
          <w:lang w:val="es-ES_tradnl"/>
        </w:rPr>
      </w:pPr>
      <w:bookmarkStart w:id="182" w:name="_Toc361912456"/>
      <w:r w:rsidRPr="007E66A3">
        <w:rPr>
          <w:rFonts w:asciiTheme="minorHAnsi" w:hAnsiTheme="minorHAnsi"/>
          <w:sz w:val="21"/>
          <w:szCs w:val="21"/>
          <w:lang w:val="es-ES_tradnl"/>
        </w:rPr>
        <w:t>Israël</w:t>
      </w:r>
      <w:bookmarkEnd w:id="182"/>
      <w:r w:rsidRPr="007E66A3">
        <w:rPr>
          <w:rFonts w:asciiTheme="minorHAnsi" w:hAnsiTheme="minorHAnsi"/>
          <w:sz w:val="21"/>
          <w:szCs w:val="21"/>
          <w:lang w:val="es-ES_tradnl"/>
        </w:rPr>
        <w:t xml:space="preserve">  </w:t>
      </w:r>
      <w:hyperlink r:id="rId49" w:history="1">
        <w:r w:rsidRPr="007E66A3">
          <w:rPr>
            <w:rStyle w:val="Hyperlink"/>
            <w:rFonts w:asciiTheme="minorHAnsi" w:hAnsiTheme="minorHAnsi"/>
            <w:sz w:val="21"/>
            <w:szCs w:val="21"/>
            <w:lang w:val="es-ES_tradnl"/>
          </w:rPr>
          <w:t>http://www.itu.int/md/D10-SG01-C-0135/</w:t>
        </w:r>
      </w:hyperlink>
      <w:r w:rsidRPr="007E66A3">
        <w:rPr>
          <w:rFonts w:asciiTheme="minorHAnsi" w:hAnsiTheme="minorHAnsi"/>
          <w:sz w:val="21"/>
          <w:szCs w:val="21"/>
          <w:lang w:val="es-ES_tradnl"/>
        </w:rPr>
        <w:t xml:space="preserve"> </w:t>
      </w:r>
    </w:p>
    <w:p w:rsidR="00FD027D" w:rsidRPr="007E66A3" w:rsidRDefault="00FD027D" w:rsidP="00FD027D">
      <w:pPr>
        <w:pStyle w:val="ListParagraph"/>
        <w:numPr>
          <w:ilvl w:val="0"/>
          <w:numId w:val="11"/>
        </w:numPr>
        <w:spacing w:before="240" w:after="60"/>
        <w:ind w:left="357" w:hanging="357"/>
        <w:contextualSpacing w:val="0"/>
        <w:rPr>
          <w:rFonts w:asciiTheme="minorHAnsi" w:hAnsiTheme="minorHAnsi"/>
          <w:sz w:val="21"/>
          <w:szCs w:val="21"/>
          <w:lang w:val="es-ES_tradnl"/>
        </w:rPr>
      </w:pPr>
      <w:bookmarkStart w:id="183" w:name="_Toc361912457"/>
      <w:r w:rsidRPr="007E66A3">
        <w:rPr>
          <w:rFonts w:asciiTheme="minorHAnsi" w:hAnsiTheme="minorHAnsi"/>
          <w:sz w:val="21"/>
          <w:szCs w:val="21"/>
          <w:lang w:val="es-ES_tradnl"/>
        </w:rPr>
        <w:t>Venezuela</w:t>
      </w:r>
      <w:bookmarkEnd w:id="183"/>
      <w:r w:rsidRPr="007E66A3">
        <w:rPr>
          <w:rFonts w:asciiTheme="minorHAnsi" w:hAnsiTheme="minorHAnsi"/>
          <w:sz w:val="21"/>
          <w:szCs w:val="21"/>
          <w:lang w:val="es-ES_tradnl"/>
        </w:rPr>
        <w:t xml:space="preserve">   </w:t>
      </w:r>
      <w:hyperlink r:id="rId50" w:history="1">
        <w:r w:rsidRPr="007E66A3">
          <w:rPr>
            <w:rStyle w:val="Hyperlink"/>
            <w:rFonts w:asciiTheme="minorHAnsi" w:hAnsiTheme="minorHAnsi"/>
            <w:sz w:val="21"/>
            <w:szCs w:val="21"/>
            <w:lang w:val="es-ES_tradnl"/>
          </w:rPr>
          <w:t>http://www.itu.int/md/D10-SG01-C-0082</w:t>
        </w:r>
      </w:hyperlink>
      <w:r w:rsidRPr="007E66A3">
        <w:rPr>
          <w:rFonts w:asciiTheme="minorHAnsi" w:hAnsiTheme="minorHAnsi"/>
          <w:sz w:val="21"/>
          <w:szCs w:val="21"/>
          <w:lang w:val="es-ES_tradnl"/>
        </w:rPr>
        <w:t xml:space="preserve">/ </w:t>
      </w:r>
    </w:p>
    <w:p w:rsidR="00FD027D" w:rsidRPr="007E66A3" w:rsidRDefault="00FD027D" w:rsidP="00FD027D">
      <w:pPr>
        <w:pStyle w:val="ListParagraph"/>
        <w:numPr>
          <w:ilvl w:val="0"/>
          <w:numId w:val="11"/>
        </w:numPr>
        <w:spacing w:before="240" w:after="60"/>
        <w:ind w:left="357" w:hanging="357"/>
        <w:contextualSpacing w:val="0"/>
        <w:rPr>
          <w:rFonts w:asciiTheme="minorHAnsi" w:hAnsiTheme="minorHAnsi"/>
          <w:sz w:val="21"/>
          <w:szCs w:val="21"/>
        </w:rPr>
      </w:pPr>
      <w:bookmarkStart w:id="184" w:name="_Toc361912458"/>
      <w:r w:rsidRPr="007E66A3">
        <w:rPr>
          <w:rFonts w:asciiTheme="minorHAnsi" w:hAnsiTheme="minorHAnsi"/>
          <w:sz w:val="21"/>
          <w:szCs w:val="21"/>
        </w:rPr>
        <w:t>Hungary</w:t>
      </w:r>
      <w:bookmarkEnd w:id="184"/>
      <w:r w:rsidRPr="007E66A3">
        <w:rPr>
          <w:rFonts w:asciiTheme="minorHAnsi" w:hAnsiTheme="minorHAnsi"/>
          <w:sz w:val="21"/>
          <w:szCs w:val="21"/>
        </w:rPr>
        <w:t xml:space="preserve">   </w:t>
      </w:r>
      <w:hyperlink r:id="rId51" w:history="1">
        <w:r w:rsidRPr="007E66A3">
          <w:rPr>
            <w:rStyle w:val="Hyperlink"/>
            <w:rFonts w:asciiTheme="minorHAnsi" w:hAnsiTheme="minorHAnsi"/>
            <w:sz w:val="21"/>
            <w:szCs w:val="21"/>
          </w:rPr>
          <w:t>http://www.itu.int/md/D10-RGQ23.1-C-0015/</w:t>
        </w:r>
      </w:hyperlink>
      <w:r w:rsidRPr="007E66A3">
        <w:rPr>
          <w:rFonts w:asciiTheme="minorHAnsi" w:hAnsiTheme="minorHAnsi"/>
          <w:sz w:val="21"/>
          <w:szCs w:val="21"/>
        </w:rPr>
        <w:t xml:space="preserve"> </w:t>
      </w:r>
    </w:p>
    <w:p w:rsidR="00FD027D" w:rsidRPr="007E66A3" w:rsidRDefault="00FD027D" w:rsidP="00FD027D">
      <w:pPr>
        <w:pStyle w:val="ListParagraph"/>
        <w:numPr>
          <w:ilvl w:val="0"/>
          <w:numId w:val="11"/>
        </w:numPr>
        <w:spacing w:before="240" w:after="60"/>
        <w:ind w:left="357" w:hanging="357"/>
        <w:contextualSpacing w:val="0"/>
        <w:rPr>
          <w:rFonts w:asciiTheme="minorHAnsi" w:hAnsiTheme="minorHAnsi"/>
          <w:sz w:val="21"/>
          <w:szCs w:val="21"/>
          <w:lang w:val="de-CH"/>
        </w:rPr>
      </w:pPr>
      <w:bookmarkStart w:id="185" w:name="_Toc361912459"/>
      <w:r w:rsidRPr="007E66A3">
        <w:rPr>
          <w:rFonts w:asciiTheme="minorHAnsi" w:hAnsiTheme="minorHAnsi"/>
          <w:sz w:val="21"/>
          <w:szCs w:val="21"/>
          <w:lang w:val="de-CH"/>
        </w:rPr>
        <w:t>Uzbekistan</w:t>
      </w:r>
      <w:bookmarkEnd w:id="185"/>
      <w:r w:rsidRPr="007E66A3">
        <w:rPr>
          <w:rFonts w:asciiTheme="minorHAnsi" w:hAnsiTheme="minorHAnsi"/>
          <w:sz w:val="21"/>
          <w:szCs w:val="21"/>
          <w:lang w:val="de-CH"/>
        </w:rPr>
        <w:t xml:space="preserve">  </w:t>
      </w:r>
      <w:hyperlink r:id="rId52" w:history="1">
        <w:r w:rsidRPr="007E66A3">
          <w:rPr>
            <w:rStyle w:val="Hyperlink"/>
            <w:rFonts w:asciiTheme="minorHAnsi" w:hAnsiTheme="minorHAnsi"/>
            <w:sz w:val="21"/>
            <w:szCs w:val="21"/>
            <w:lang w:val="de-CH"/>
          </w:rPr>
          <w:t>http://www.itu.int/md/D10-SG01-INF-0018/</w:t>
        </w:r>
      </w:hyperlink>
      <w:r w:rsidRPr="007E66A3">
        <w:rPr>
          <w:rFonts w:asciiTheme="minorHAnsi" w:hAnsiTheme="minorHAnsi"/>
          <w:sz w:val="21"/>
          <w:szCs w:val="21"/>
          <w:lang w:val="de-CH"/>
        </w:rPr>
        <w:t xml:space="preserve"> </w:t>
      </w:r>
    </w:p>
    <w:p w:rsidR="00FD027D" w:rsidRPr="007E66A3" w:rsidRDefault="00FD027D" w:rsidP="00FD027D">
      <w:pPr>
        <w:pStyle w:val="ListParagraph"/>
        <w:numPr>
          <w:ilvl w:val="0"/>
          <w:numId w:val="11"/>
        </w:numPr>
        <w:spacing w:before="240" w:after="60"/>
        <w:ind w:left="357" w:hanging="357"/>
        <w:contextualSpacing w:val="0"/>
        <w:rPr>
          <w:rStyle w:val="Hyperlink"/>
          <w:rFonts w:asciiTheme="minorHAnsi" w:hAnsiTheme="minorHAnsi"/>
          <w:sz w:val="21"/>
          <w:szCs w:val="21"/>
        </w:rPr>
      </w:pPr>
      <w:bookmarkStart w:id="186" w:name="_Toc361912460"/>
      <w:r w:rsidRPr="007E66A3">
        <w:rPr>
          <w:rFonts w:asciiTheme="minorHAnsi" w:hAnsiTheme="minorHAnsi"/>
          <w:sz w:val="21"/>
          <w:szCs w:val="21"/>
        </w:rPr>
        <w:t>Benin</w:t>
      </w:r>
      <w:bookmarkEnd w:id="186"/>
      <w:r w:rsidRPr="007E66A3">
        <w:rPr>
          <w:rFonts w:asciiTheme="minorHAnsi" w:hAnsiTheme="minorHAnsi"/>
          <w:sz w:val="21"/>
          <w:szCs w:val="21"/>
        </w:rPr>
        <w:t xml:space="preserve">  </w:t>
      </w:r>
      <w:hyperlink r:id="rId53" w:history="1">
        <w:r w:rsidRPr="007E66A3">
          <w:rPr>
            <w:rStyle w:val="Hyperlink"/>
            <w:rFonts w:asciiTheme="minorHAnsi" w:hAnsiTheme="minorHAnsi"/>
            <w:sz w:val="21"/>
            <w:szCs w:val="21"/>
          </w:rPr>
          <w:t>http://www.itu.int/md/D10-SG01-C-0228/</w:t>
        </w:r>
      </w:hyperlink>
      <w:r w:rsidRPr="007E66A3">
        <w:rPr>
          <w:rStyle w:val="Hyperlink"/>
          <w:rFonts w:asciiTheme="minorHAnsi" w:hAnsiTheme="minorHAnsi"/>
          <w:sz w:val="21"/>
          <w:szCs w:val="21"/>
        </w:rPr>
        <w:t xml:space="preserve"> </w:t>
      </w:r>
    </w:p>
    <w:p w:rsidR="00FD027D" w:rsidRPr="007E66A3" w:rsidRDefault="004B76BF" w:rsidP="00FD027D">
      <w:pPr>
        <w:pStyle w:val="ListParagraph"/>
        <w:numPr>
          <w:ilvl w:val="0"/>
          <w:numId w:val="11"/>
        </w:numPr>
        <w:spacing w:before="240" w:after="60"/>
        <w:ind w:left="357" w:hanging="357"/>
        <w:contextualSpacing w:val="0"/>
        <w:rPr>
          <w:rFonts w:asciiTheme="minorHAnsi" w:hAnsiTheme="minorHAnsi"/>
          <w:sz w:val="21"/>
          <w:szCs w:val="21"/>
        </w:rPr>
      </w:pPr>
      <w:r w:rsidRPr="007E66A3">
        <w:rPr>
          <w:rStyle w:val="Hyperlink"/>
          <w:rFonts w:asciiTheme="minorHAnsi" w:hAnsiTheme="minorHAnsi"/>
          <w:color w:val="auto"/>
          <w:sz w:val="21"/>
          <w:szCs w:val="21"/>
          <w:u w:val="none"/>
        </w:rPr>
        <w:t xml:space="preserve">India </w:t>
      </w:r>
      <w:r w:rsidR="00FD027D" w:rsidRPr="007E66A3">
        <w:rPr>
          <w:rStyle w:val="Hyperlink"/>
          <w:rFonts w:asciiTheme="minorHAnsi" w:hAnsiTheme="minorHAnsi"/>
          <w:color w:val="auto"/>
          <w:sz w:val="21"/>
          <w:szCs w:val="21"/>
          <w:u w:val="none"/>
        </w:rPr>
        <w:t xml:space="preserve"> </w:t>
      </w:r>
      <w:hyperlink r:id="rId54" w:history="1">
        <w:r w:rsidR="00FD027D" w:rsidRPr="007E66A3">
          <w:rPr>
            <w:rStyle w:val="Hyperlink"/>
            <w:rFonts w:asciiTheme="minorHAnsi" w:hAnsiTheme="minorHAnsi"/>
            <w:sz w:val="21"/>
            <w:szCs w:val="21"/>
          </w:rPr>
          <w:t>https://www.itu.int/md/D10-SG01-C-0278/</w:t>
        </w:r>
      </w:hyperlink>
      <w:r w:rsidR="00FD027D" w:rsidRPr="007E66A3">
        <w:rPr>
          <w:rStyle w:val="Hyperlink"/>
          <w:rFonts w:asciiTheme="minorHAnsi" w:hAnsiTheme="minorHAnsi"/>
          <w:sz w:val="21"/>
          <w:szCs w:val="21"/>
        </w:rPr>
        <w:t xml:space="preserve"> </w:t>
      </w:r>
    </w:p>
    <w:p w:rsidR="00FD027D" w:rsidRPr="007E66A3" w:rsidRDefault="00FD027D" w:rsidP="00FD027D">
      <w:pPr>
        <w:pStyle w:val="Heading1"/>
        <w:spacing w:before="120" w:after="120"/>
        <w:rPr>
          <w:rFonts w:asciiTheme="minorHAnsi" w:hAnsiTheme="minorHAnsi"/>
          <w:sz w:val="21"/>
          <w:szCs w:val="21"/>
        </w:rPr>
      </w:pPr>
      <w:bookmarkStart w:id="187" w:name="_Toc361912461"/>
    </w:p>
    <w:p w:rsidR="00FD027D" w:rsidRDefault="00FD027D" w:rsidP="00FD027D">
      <w:pPr>
        <w:pStyle w:val="Heading1"/>
        <w:spacing w:before="120" w:after="120"/>
        <w:rPr>
          <w:szCs w:val="19"/>
        </w:rPr>
      </w:pPr>
      <w:r>
        <w:rPr>
          <w:szCs w:val="19"/>
        </w:rPr>
        <w:br w:type="page"/>
      </w:r>
    </w:p>
    <w:p w:rsidR="00FD027D" w:rsidRPr="005C67CA" w:rsidRDefault="00FD027D" w:rsidP="00FD027D">
      <w:pPr>
        <w:pStyle w:val="Heading1"/>
        <w:spacing w:before="120" w:after="120"/>
        <w:rPr>
          <w:smallCaps/>
          <w:szCs w:val="19"/>
        </w:rPr>
      </w:pPr>
      <w:bookmarkStart w:id="188" w:name="_Toc374691856"/>
      <w:bookmarkStart w:id="189" w:name="_Toc377560495"/>
      <w:r w:rsidRPr="005C67CA">
        <w:rPr>
          <w:szCs w:val="19"/>
        </w:rPr>
        <w:lastRenderedPageBreak/>
        <w:t>III.</w:t>
      </w:r>
      <w:r w:rsidRPr="005C67CA">
        <w:rPr>
          <w:szCs w:val="19"/>
        </w:rPr>
        <w:tab/>
        <w:t>References</w:t>
      </w:r>
      <w:bookmarkEnd w:id="187"/>
      <w:bookmarkEnd w:id="188"/>
      <w:bookmarkEnd w:id="189"/>
    </w:p>
    <w:p w:rsidR="00FD027D" w:rsidRPr="00C71B8F" w:rsidRDefault="00FD027D" w:rsidP="0011092A">
      <w:pPr>
        <w:pStyle w:val="HeadingB"/>
      </w:pPr>
      <w:r w:rsidRPr="00C71B8F">
        <w:t>Useful websites</w:t>
      </w:r>
    </w:p>
    <w:p w:rsidR="00FD027D" w:rsidRPr="007E66A3" w:rsidRDefault="007E66A3" w:rsidP="00FD027D">
      <w:pPr>
        <w:spacing w:before="240" w:after="60"/>
        <w:rPr>
          <w:szCs w:val="21"/>
          <w:lang w:val="en-US"/>
        </w:rPr>
      </w:pPr>
      <w:hyperlink r:id="rId55" w:history="1">
        <w:r w:rsidR="00FD027D" w:rsidRPr="007E66A3">
          <w:rPr>
            <w:rStyle w:val="Hyperlink"/>
            <w:szCs w:val="21"/>
            <w:lang w:val="en-US"/>
          </w:rPr>
          <w:t>http://www.icnirp.org</w:t>
        </w:r>
      </w:hyperlink>
      <w:r w:rsidR="00FD027D" w:rsidRPr="007E66A3">
        <w:rPr>
          <w:szCs w:val="21"/>
          <w:lang w:val="en-US"/>
        </w:rPr>
        <w:t xml:space="preserve">; </w:t>
      </w:r>
    </w:p>
    <w:p w:rsidR="00FD027D" w:rsidRPr="007E66A3" w:rsidRDefault="007E66A3" w:rsidP="00FD027D">
      <w:pPr>
        <w:spacing w:before="240" w:after="60"/>
        <w:rPr>
          <w:szCs w:val="21"/>
          <w:lang w:val="en-US"/>
        </w:rPr>
      </w:pPr>
      <w:hyperlink r:id="rId56" w:history="1">
        <w:r w:rsidR="00FD027D" w:rsidRPr="007E66A3">
          <w:rPr>
            <w:rStyle w:val="Hyperlink"/>
            <w:szCs w:val="21"/>
            <w:lang w:val="en-US"/>
          </w:rPr>
          <w:t>http://grouper.ieee.org/groups/scc28</w:t>
        </w:r>
      </w:hyperlink>
      <w:r w:rsidR="00FD027D" w:rsidRPr="007E66A3">
        <w:rPr>
          <w:szCs w:val="21"/>
          <w:lang w:val="en-US"/>
        </w:rPr>
        <w:t xml:space="preserve">; </w:t>
      </w:r>
    </w:p>
    <w:p w:rsidR="00FD027D" w:rsidRPr="007E66A3" w:rsidRDefault="007E66A3" w:rsidP="00FD027D">
      <w:pPr>
        <w:spacing w:before="240" w:after="60"/>
        <w:rPr>
          <w:szCs w:val="21"/>
          <w:lang w:val="en-US"/>
        </w:rPr>
      </w:pPr>
      <w:hyperlink r:id="rId57" w:history="1">
        <w:r w:rsidR="00FD027D" w:rsidRPr="007E66A3">
          <w:rPr>
            <w:rStyle w:val="Hyperlink"/>
            <w:szCs w:val="21"/>
            <w:lang w:val="en-US"/>
          </w:rPr>
          <w:t>http://www.iec.ch/</w:t>
        </w:r>
      </w:hyperlink>
      <w:r w:rsidR="00FD027D" w:rsidRPr="007E66A3">
        <w:rPr>
          <w:szCs w:val="21"/>
          <w:lang w:val="en-US"/>
        </w:rPr>
        <w:t xml:space="preserve">; </w:t>
      </w:r>
    </w:p>
    <w:p w:rsidR="00FD027D" w:rsidRPr="007E66A3" w:rsidRDefault="007E66A3" w:rsidP="00FD027D">
      <w:pPr>
        <w:spacing w:before="240" w:after="60"/>
        <w:rPr>
          <w:szCs w:val="21"/>
          <w:lang w:val="en-US"/>
        </w:rPr>
      </w:pPr>
      <w:hyperlink r:id="rId58" w:history="1">
        <w:r w:rsidR="00FD027D" w:rsidRPr="007E66A3">
          <w:rPr>
            <w:rStyle w:val="Hyperlink"/>
            <w:szCs w:val="21"/>
            <w:lang w:val="en-US"/>
          </w:rPr>
          <w:t>http://www.cenelec.org</w:t>
        </w:r>
      </w:hyperlink>
      <w:r w:rsidR="00FD027D" w:rsidRPr="007E66A3">
        <w:rPr>
          <w:szCs w:val="21"/>
          <w:lang w:val="en-US"/>
        </w:rPr>
        <w:t xml:space="preserve"> ;</w:t>
      </w:r>
    </w:p>
    <w:p w:rsidR="00FD027D" w:rsidRPr="007E66A3" w:rsidRDefault="007E66A3" w:rsidP="00FD027D">
      <w:pPr>
        <w:spacing w:before="240" w:after="60"/>
        <w:rPr>
          <w:szCs w:val="21"/>
          <w:lang w:val="en-US"/>
        </w:rPr>
      </w:pPr>
      <w:hyperlink r:id="rId59" w:history="1">
        <w:r w:rsidR="00FD027D" w:rsidRPr="007E66A3">
          <w:rPr>
            <w:rStyle w:val="Hyperlink"/>
            <w:szCs w:val="21"/>
            <w:lang w:val="en-US"/>
          </w:rPr>
          <w:t>http://www.sviva.gov.il/subjectsEnv/Radiation/Communication_Facilities/cellular/Documents/shidur_selulariim_peilim_1.xls</w:t>
        </w:r>
      </w:hyperlink>
      <w:bookmarkStart w:id="190" w:name="_GoBack"/>
      <w:bookmarkEnd w:id="190"/>
    </w:p>
    <w:p w:rsidR="00FD027D" w:rsidRPr="007A19CC" w:rsidRDefault="00FD027D" w:rsidP="00FD027D">
      <w:pPr>
        <w:rPr>
          <w:b/>
          <w:szCs w:val="19"/>
          <w:lang w:val="en-US"/>
        </w:rPr>
      </w:pPr>
      <w:r w:rsidRPr="007A19CC">
        <w:rPr>
          <w:b/>
          <w:szCs w:val="19"/>
          <w:lang w:val="en-US"/>
        </w:rPr>
        <w:br w:type="page"/>
      </w:r>
    </w:p>
    <w:p w:rsidR="00FD027D" w:rsidRDefault="00BE5333" w:rsidP="0011092A">
      <w:pPr>
        <w:pStyle w:val="HeadingB"/>
      </w:pPr>
      <w:bookmarkStart w:id="191" w:name="_Toc377560496"/>
      <w:bookmarkStart w:id="192" w:name="_Toc374691857"/>
      <w:r w:rsidRPr="005C67CA">
        <w:lastRenderedPageBreak/>
        <w:t>Bibliography</w:t>
      </w:r>
      <w:bookmarkEnd w:id="191"/>
    </w:p>
    <w:bookmarkEnd w:id="192"/>
    <w:p w:rsidR="00FD027D" w:rsidRPr="00C71B8F" w:rsidRDefault="00FD027D" w:rsidP="00FD027D">
      <w:pPr>
        <w:rPr>
          <w:lang w:val="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FD027D" w:rsidRPr="00C84343" w:rsidTr="000C5108">
        <w:trPr>
          <w:cantSplit/>
          <w:trHeight w:val="20"/>
        </w:trPr>
        <w:tc>
          <w:tcPr>
            <w:tcW w:w="9072" w:type="dxa"/>
            <w:hideMark/>
          </w:tcPr>
          <w:p w:rsidR="00FD027D" w:rsidRPr="00FD027D" w:rsidRDefault="00FD027D" w:rsidP="00FD027D">
            <w:pPr>
              <w:pStyle w:val="RegParagraph"/>
              <w:numPr>
                <w:ilvl w:val="0"/>
                <w:numId w:val="10"/>
              </w:numPr>
              <w:spacing w:before="40" w:after="40" w:line="240" w:lineRule="auto"/>
              <w:ind w:left="357" w:hanging="357"/>
              <w:rPr>
                <w:rFonts w:ascii="Calibri" w:hAnsi="Calibri"/>
                <w:lang w:val="en-US" w:eastAsia="zh-CN" w:bidi="ar-SA"/>
              </w:rPr>
            </w:pPr>
            <w:r w:rsidRPr="00FD027D">
              <w:rPr>
                <w:rFonts w:ascii="Calibri" w:hAnsi="Calibri"/>
                <w:lang w:val="en-US" w:eastAsia="zh-CN" w:bidi="ar-SA"/>
              </w:rPr>
              <w:t xml:space="preserve">EN 50385:2002 </w:t>
            </w:r>
            <w:hyperlink r:id="rId60" w:history="1">
              <w:r w:rsidRPr="00FD027D">
                <w:rPr>
                  <w:rStyle w:val="Hyperlink"/>
                  <w:rFonts w:ascii="Calibri" w:hAnsi="Calibri"/>
                  <w:i/>
                  <w:iCs/>
                  <w:lang w:val="en-US" w:eastAsia="zh-CN" w:bidi="ar-SA"/>
                </w:rPr>
                <w:t>Product standard to demonstrate the compliance of radio base stations and fixed terminal stations for wireless telecommunication systems with the basic restrictions or the reference levels related to human exposure to radio frequency electromagnetic fields (110 MHz - 40 GHz) - General public</w:t>
              </w:r>
            </w:hyperlink>
          </w:p>
        </w:tc>
      </w:tr>
      <w:tr w:rsidR="00FD027D" w:rsidRPr="00C84343" w:rsidTr="000C5108">
        <w:trPr>
          <w:cantSplit/>
          <w:trHeight w:val="20"/>
        </w:trPr>
        <w:tc>
          <w:tcPr>
            <w:tcW w:w="9072" w:type="dxa"/>
            <w:hideMark/>
          </w:tcPr>
          <w:p w:rsidR="00FD027D" w:rsidRPr="00C71B8F" w:rsidRDefault="00FD027D" w:rsidP="00FD027D">
            <w:pPr>
              <w:pStyle w:val="Equation"/>
              <w:numPr>
                <w:ilvl w:val="0"/>
                <w:numId w:val="10"/>
              </w:numPr>
              <w:tabs>
                <w:tab w:val="clear" w:pos="794"/>
              </w:tabs>
              <w:spacing w:before="40" w:after="40"/>
              <w:ind w:left="357" w:hanging="357"/>
              <w:jc w:val="left"/>
              <w:rPr>
                <w:rFonts w:ascii="Calibri" w:hAnsi="Calibri"/>
                <w:bCs/>
                <w:snapToGrid w:val="0"/>
                <w:sz w:val="19"/>
                <w:szCs w:val="19"/>
                <w:lang w:val="en-GB" w:eastAsia="zh-CN"/>
              </w:rPr>
            </w:pPr>
            <w:r w:rsidRPr="00C71B8F">
              <w:rPr>
                <w:rFonts w:ascii="Calibri" w:hAnsi="Calibri"/>
                <w:snapToGrid w:val="0"/>
                <w:sz w:val="19"/>
                <w:szCs w:val="19"/>
                <w:lang w:val="en-GB" w:eastAsia="zh-CN"/>
              </w:rPr>
              <w:t xml:space="preserve">EC General Council Recommendation 1999/519/EC  </w:t>
            </w:r>
            <w:hyperlink r:id="rId61" w:history="1">
              <w:r w:rsidRPr="00C71B8F">
                <w:rPr>
                  <w:rStyle w:val="Hyperlink"/>
                  <w:rFonts w:ascii="Calibri" w:hAnsi="Calibri"/>
                  <w:i/>
                  <w:iCs/>
                  <w:snapToGrid w:val="0"/>
                  <w:sz w:val="19"/>
                  <w:szCs w:val="19"/>
                  <w:lang w:val="en-US" w:eastAsia="zh-CN"/>
                </w:rPr>
                <w:t>On the Limitation of Exposure of the General Public to Electromagnetic Fields, 0 Hz to 300 GHz</w:t>
              </w:r>
            </w:hyperlink>
          </w:p>
        </w:tc>
      </w:tr>
      <w:tr w:rsidR="00FD027D" w:rsidRPr="00C84343" w:rsidTr="000C5108">
        <w:trPr>
          <w:cantSplit/>
          <w:trHeight w:val="20"/>
        </w:trPr>
        <w:tc>
          <w:tcPr>
            <w:tcW w:w="9072" w:type="dxa"/>
            <w:hideMark/>
          </w:tcPr>
          <w:p w:rsidR="00FD027D" w:rsidRPr="00C71B8F" w:rsidRDefault="00FD027D" w:rsidP="00FD027D">
            <w:pPr>
              <w:pStyle w:val="Equation"/>
              <w:numPr>
                <w:ilvl w:val="0"/>
                <w:numId w:val="10"/>
              </w:numPr>
              <w:tabs>
                <w:tab w:val="left" w:pos="1191"/>
                <w:tab w:val="left" w:pos="1588"/>
                <w:tab w:val="left" w:pos="1985"/>
              </w:tabs>
              <w:suppressAutoHyphens/>
              <w:spacing w:before="40" w:after="40"/>
              <w:ind w:left="357" w:hanging="357"/>
              <w:jc w:val="left"/>
              <w:textAlignment w:val="baseline"/>
              <w:rPr>
                <w:rFonts w:ascii="Calibri" w:hAnsi="Calibri"/>
                <w:snapToGrid w:val="0"/>
                <w:sz w:val="19"/>
                <w:szCs w:val="19"/>
                <w:lang w:val="en-GB" w:eastAsia="zh-CN"/>
              </w:rPr>
            </w:pPr>
            <w:r w:rsidRPr="00C71B8F">
              <w:rPr>
                <w:rFonts w:ascii="Calibri" w:hAnsi="Calibri"/>
                <w:snapToGrid w:val="0"/>
                <w:sz w:val="19"/>
                <w:szCs w:val="19"/>
                <w:lang w:val="en-GB" w:eastAsia="zh-CN"/>
              </w:rPr>
              <w:t xml:space="preserve">EC Directive 2004/40/EC of the European parliament and of the Council of 29 April 2004 </w:t>
            </w:r>
            <w:hyperlink r:id="rId62" w:history="1">
              <w:r w:rsidRPr="00C71B8F">
                <w:rPr>
                  <w:rStyle w:val="Hyperlink"/>
                  <w:rFonts w:ascii="Calibri" w:hAnsi="Calibri"/>
                  <w:i/>
                  <w:iCs/>
                  <w:sz w:val="19"/>
                  <w:szCs w:val="19"/>
                  <w:lang w:val="en-US" w:eastAsia="zh-CN"/>
                </w:rPr>
                <w:t>On The Minimum Health And Safety Requirements Regarding The Exposure Of Workers To The Risks Arising From Physical Agents (Electromagnetic Fields</w:t>
              </w:r>
            </w:hyperlink>
            <w:r w:rsidRPr="00C71B8F">
              <w:rPr>
                <w:rFonts w:ascii="Calibri" w:hAnsi="Calibri"/>
                <w:sz w:val="19"/>
                <w:szCs w:val="19"/>
                <w:lang w:val="en-GB" w:eastAsia="zh-CN"/>
              </w:rPr>
              <w:t>)</w:t>
            </w:r>
          </w:p>
        </w:tc>
      </w:tr>
      <w:tr w:rsidR="00FD027D" w:rsidRPr="00C84343" w:rsidTr="000C5108">
        <w:trPr>
          <w:cantSplit/>
          <w:trHeight w:val="20"/>
        </w:trPr>
        <w:tc>
          <w:tcPr>
            <w:tcW w:w="9072" w:type="dxa"/>
            <w:hideMark/>
          </w:tcPr>
          <w:p w:rsidR="00FD027D" w:rsidRPr="00C71B8F" w:rsidRDefault="00FD027D" w:rsidP="00FD027D">
            <w:pPr>
              <w:pStyle w:val="ListParagraph"/>
              <w:numPr>
                <w:ilvl w:val="0"/>
                <w:numId w:val="10"/>
              </w:numPr>
              <w:tabs>
                <w:tab w:val="left" w:pos="794"/>
                <w:tab w:val="left" w:pos="1191"/>
                <w:tab w:val="left" w:pos="1588"/>
                <w:tab w:val="left" w:pos="1985"/>
              </w:tabs>
              <w:suppressAutoHyphens/>
              <w:overflowPunct w:val="0"/>
              <w:autoSpaceDE w:val="0"/>
              <w:autoSpaceDN w:val="0"/>
              <w:adjustRightInd w:val="0"/>
              <w:spacing w:before="40" w:after="40"/>
              <w:ind w:left="357" w:hanging="357"/>
              <w:textAlignment w:val="baseline"/>
              <w:rPr>
                <w:rFonts w:ascii="Calibri" w:hAnsi="Calibri"/>
                <w:color w:val="000000"/>
                <w:szCs w:val="19"/>
                <w:lang w:eastAsia="en-GB"/>
              </w:rPr>
            </w:pPr>
            <w:r w:rsidRPr="00C71B8F">
              <w:rPr>
                <w:rFonts w:ascii="Calibri" w:hAnsi="Calibri"/>
                <w:szCs w:val="19"/>
              </w:rPr>
              <w:t xml:space="preserve">FCC 1997 OET Bulletin 65 </w:t>
            </w:r>
            <w:hyperlink r:id="rId63" w:history="1">
              <w:r w:rsidRPr="00C71B8F">
                <w:rPr>
                  <w:rStyle w:val="Hyperlink"/>
                  <w:rFonts w:ascii="Calibri" w:hAnsi="Calibri" w:cs="TimesNewRomanPS-ItalicMT"/>
                  <w:i/>
                  <w:iCs/>
                  <w:szCs w:val="19"/>
                </w:rPr>
                <w:t>Evaluating Compliance with FCC Guidelines for Human Exposure to Radiofrequency Electromagnetic Fields</w:t>
              </w:r>
            </w:hyperlink>
            <w:r w:rsidRPr="00C71B8F">
              <w:rPr>
                <w:rFonts w:ascii="Calibri" w:hAnsi="Calibri" w:cs="TimesNewRomanPS-ItalicMT"/>
                <w:szCs w:val="19"/>
              </w:rPr>
              <w:t>,</w:t>
            </w:r>
            <w:hyperlink r:id="rId64" w:history="1">
              <w:r w:rsidRPr="00C71B8F">
                <w:rPr>
                  <w:rStyle w:val="Hyperlink"/>
                  <w:rFonts w:ascii="Calibri" w:hAnsi="Calibri" w:cs="TimesNewRomanPS-ItalicMT"/>
                  <w:i/>
                  <w:iCs/>
                  <w:szCs w:val="19"/>
                </w:rPr>
                <w:t>Radio and Television Broadcast Stations- Supplement A (Edition 97-01)</w:t>
              </w:r>
            </w:hyperlink>
            <w:r w:rsidRPr="00C71B8F">
              <w:rPr>
                <w:rFonts w:ascii="Calibri" w:hAnsi="Calibri" w:cs="TimesNewRomanPS-ItalicMT"/>
                <w:szCs w:val="19"/>
              </w:rPr>
              <w:t>,</w:t>
            </w:r>
            <w:hyperlink r:id="rId65" w:history="1">
              <w:r w:rsidRPr="00C71B8F">
                <w:rPr>
                  <w:rStyle w:val="Hyperlink"/>
                  <w:rFonts w:ascii="Calibri" w:hAnsi="Calibri" w:cs="TimesNewRomanPS-ItalicMT"/>
                  <w:i/>
                  <w:iCs/>
                  <w:szCs w:val="19"/>
                </w:rPr>
                <w:t>Amateur Radio Stations- Supplement B (Edition 97-01)</w:t>
              </w:r>
            </w:hyperlink>
            <w:r w:rsidRPr="00C71B8F">
              <w:rPr>
                <w:rFonts w:ascii="Calibri" w:hAnsi="Calibri" w:cs="TimesNewRomanPS-ItalicMT"/>
                <w:szCs w:val="19"/>
              </w:rPr>
              <w:t xml:space="preserve"> ,</w:t>
            </w:r>
            <w:hyperlink r:id="rId66" w:history="1">
              <w:r w:rsidRPr="00C71B8F">
                <w:rPr>
                  <w:rStyle w:val="Hyperlink"/>
                  <w:rFonts w:ascii="Calibri" w:hAnsi="Calibri" w:cs="TimesNewRomanPS-ItalicMT"/>
                  <w:i/>
                  <w:iCs/>
                  <w:szCs w:val="19"/>
                </w:rPr>
                <w:t>Supplement C (Edition 01-01)</w:t>
              </w:r>
            </w:hyperlink>
          </w:p>
        </w:tc>
      </w:tr>
      <w:tr w:rsidR="00FD027D" w:rsidRPr="00C71B8F" w:rsidTr="000C5108">
        <w:trPr>
          <w:cantSplit/>
          <w:trHeight w:val="20"/>
        </w:trPr>
        <w:tc>
          <w:tcPr>
            <w:tcW w:w="9072" w:type="dxa"/>
            <w:hideMark/>
          </w:tcPr>
          <w:p w:rsidR="00FD027D" w:rsidRPr="00C71B8F" w:rsidRDefault="00FD027D" w:rsidP="00FD027D">
            <w:pPr>
              <w:pStyle w:val="ListParagraph"/>
              <w:numPr>
                <w:ilvl w:val="0"/>
                <w:numId w:val="10"/>
              </w:numPr>
              <w:tabs>
                <w:tab w:val="left" w:pos="794"/>
                <w:tab w:val="left" w:pos="1191"/>
                <w:tab w:val="left" w:pos="1588"/>
                <w:tab w:val="left" w:pos="1985"/>
              </w:tabs>
              <w:suppressAutoHyphens/>
              <w:overflowPunct w:val="0"/>
              <w:autoSpaceDE w:val="0"/>
              <w:spacing w:before="40" w:after="40"/>
              <w:ind w:left="357" w:hanging="357"/>
              <w:textAlignment w:val="baseline"/>
              <w:rPr>
                <w:rFonts w:ascii="Calibri" w:hAnsi="Calibri"/>
                <w:snapToGrid w:val="0"/>
                <w:szCs w:val="19"/>
              </w:rPr>
            </w:pPr>
            <w:r w:rsidRPr="00C71B8F">
              <w:rPr>
                <w:rFonts w:ascii="Calibri" w:hAnsi="Calibri"/>
                <w:color w:val="000000"/>
                <w:szCs w:val="19"/>
                <w:lang w:eastAsia="en-GB"/>
              </w:rPr>
              <w:t xml:space="preserve">FCC </w:t>
            </w:r>
            <w:r w:rsidRPr="00C71B8F">
              <w:rPr>
                <w:rFonts w:ascii="Calibri" w:hAnsi="Calibri"/>
                <w:snapToGrid w:val="0"/>
                <w:szCs w:val="19"/>
              </w:rPr>
              <w:t>2011</w:t>
            </w:r>
            <w:hyperlink r:id="rId67" w:history="1">
              <w:r w:rsidRPr="00C71B8F">
                <w:rPr>
                  <w:rStyle w:val="Hyperlink"/>
                  <w:rFonts w:ascii="Calibri" w:hAnsi="Calibri"/>
                  <w:i/>
                  <w:szCs w:val="19"/>
                  <w:lang w:eastAsia="en-GB"/>
                </w:rPr>
                <w:t>Radiofrequency Radiation Exposure Limits</w:t>
              </w:r>
            </w:hyperlink>
            <w:r w:rsidRPr="00C71B8F">
              <w:rPr>
                <w:rFonts w:ascii="Calibri" w:hAnsi="Calibri"/>
                <w:color w:val="000000"/>
                <w:szCs w:val="19"/>
                <w:lang w:eastAsia="en-GB"/>
              </w:rPr>
              <w:t xml:space="preserve"> CFR 47 § 1.1310  </w:t>
            </w:r>
          </w:p>
        </w:tc>
      </w:tr>
      <w:tr w:rsidR="00FD027D" w:rsidRPr="00C84343" w:rsidTr="000C5108">
        <w:trPr>
          <w:cantSplit/>
          <w:trHeight w:val="20"/>
        </w:trPr>
        <w:tc>
          <w:tcPr>
            <w:tcW w:w="9072" w:type="dxa"/>
            <w:hideMark/>
          </w:tcPr>
          <w:p w:rsidR="00FD027D" w:rsidRPr="00C71B8F" w:rsidRDefault="00FD027D" w:rsidP="00FD027D">
            <w:pPr>
              <w:pStyle w:val="ListParagraph"/>
              <w:numPr>
                <w:ilvl w:val="0"/>
                <w:numId w:val="10"/>
              </w:numPr>
              <w:tabs>
                <w:tab w:val="left" w:pos="794"/>
                <w:tab w:val="left" w:pos="1191"/>
                <w:tab w:val="left" w:pos="1588"/>
                <w:tab w:val="left" w:pos="1985"/>
              </w:tabs>
              <w:suppressAutoHyphens/>
              <w:overflowPunct w:val="0"/>
              <w:autoSpaceDE w:val="0"/>
              <w:spacing w:before="40" w:after="40"/>
              <w:ind w:left="357" w:hanging="357"/>
              <w:textAlignment w:val="baseline"/>
              <w:rPr>
                <w:rFonts w:ascii="Calibri" w:hAnsi="Calibri"/>
                <w:snapToGrid w:val="0"/>
                <w:szCs w:val="19"/>
              </w:rPr>
            </w:pPr>
            <w:r w:rsidRPr="00C71B8F">
              <w:rPr>
                <w:rFonts w:ascii="Calibri" w:hAnsi="Calibri"/>
                <w:color w:val="000000"/>
                <w:szCs w:val="19"/>
                <w:lang w:eastAsia="en-GB"/>
              </w:rPr>
              <w:t>FCC</w:t>
            </w:r>
            <w:r w:rsidRPr="00C71B8F">
              <w:rPr>
                <w:rFonts w:ascii="Calibri" w:hAnsi="Calibri"/>
                <w:snapToGrid w:val="0"/>
                <w:szCs w:val="19"/>
              </w:rPr>
              <w:t xml:space="preserve"> 2012 </w:t>
            </w:r>
            <w:hyperlink r:id="rId68" w:history="1">
              <w:r w:rsidRPr="00C71B8F">
                <w:rPr>
                  <w:rStyle w:val="Hyperlink"/>
                  <w:rFonts w:ascii="Calibri" w:hAnsi="Calibri"/>
                  <w:snapToGrid w:val="0"/>
                  <w:szCs w:val="19"/>
                </w:rPr>
                <w:t>Radiofrequency radiation exposure evaluation: portable devices</w:t>
              </w:r>
            </w:hyperlink>
            <w:r w:rsidRPr="00C71B8F">
              <w:rPr>
                <w:rFonts w:ascii="Calibri" w:hAnsi="Calibri"/>
                <w:snapToGrid w:val="0"/>
                <w:szCs w:val="19"/>
              </w:rPr>
              <w:t xml:space="preserve">, </w:t>
            </w:r>
            <w:r w:rsidRPr="00C71B8F">
              <w:rPr>
                <w:rFonts w:ascii="Calibri" w:hAnsi="Calibri"/>
                <w:color w:val="000000"/>
                <w:szCs w:val="19"/>
                <w:lang w:eastAsia="en-GB"/>
              </w:rPr>
              <w:t xml:space="preserve">CFR 47 </w:t>
            </w:r>
            <w:r w:rsidRPr="00C71B8F">
              <w:rPr>
                <w:rFonts w:ascii="Calibri" w:hAnsi="Calibri"/>
                <w:snapToGrid w:val="0"/>
                <w:szCs w:val="19"/>
              </w:rPr>
              <w:t>§ 2.1093 re</w:t>
            </w:r>
            <w:r w:rsidRPr="00C71B8F">
              <w:rPr>
                <w:rFonts w:ascii="Calibri" w:hAnsi="Calibri"/>
                <w:szCs w:val="19"/>
              </w:rPr>
              <w:t xml:space="preserve">viewed 31 August 2012: </w:t>
            </w:r>
            <w:r w:rsidRPr="00C71B8F">
              <w:rPr>
                <w:rFonts w:ascii="Calibri" w:hAnsi="Calibri"/>
                <w:snapToGrid w:val="0"/>
                <w:szCs w:val="19"/>
              </w:rPr>
              <w:t>e-CFR Data is current as of August 29, 2012</w:t>
            </w:r>
          </w:p>
        </w:tc>
      </w:tr>
      <w:tr w:rsidR="00FD027D" w:rsidRPr="00C84343" w:rsidTr="000C5108">
        <w:trPr>
          <w:cantSplit/>
          <w:trHeight w:val="20"/>
        </w:trPr>
        <w:tc>
          <w:tcPr>
            <w:tcW w:w="9072" w:type="dxa"/>
            <w:hideMark/>
          </w:tcPr>
          <w:p w:rsidR="00FD027D" w:rsidRPr="00C71B8F" w:rsidRDefault="00FD027D" w:rsidP="00FD027D">
            <w:pPr>
              <w:pStyle w:val="ListParagraph"/>
              <w:numPr>
                <w:ilvl w:val="0"/>
                <w:numId w:val="10"/>
              </w:numPr>
              <w:tabs>
                <w:tab w:val="left" w:pos="794"/>
                <w:tab w:val="left" w:pos="1191"/>
                <w:tab w:val="left" w:pos="1588"/>
                <w:tab w:val="left" w:pos="1985"/>
              </w:tabs>
              <w:suppressAutoHyphens/>
              <w:overflowPunct w:val="0"/>
              <w:autoSpaceDE w:val="0"/>
              <w:spacing w:before="40" w:after="40"/>
              <w:ind w:left="357" w:hanging="357"/>
              <w:textAlignment w:val="baseline"/>
              <w:rPr>
                <w:rFonts w:ascii="Calibri" w:hAnsi="Calibri"/>
                <w:color w:val="000000"/>
                <w:szCs w:val="19"/>
                <w:lang w:eastAsia="en-GB"/>
              </w:rPr>
            </w:pPr>
            <w:r w:rsidRPr="00C71B8F">
              <w:rPr>
                <w:rFonts w:ascii="Calibri" w:hAnsi="Calibri"/>
                <w:color w:val="000000"/>
                <w:szCs w:val="19"/>
                <w:lang w:eastAsia="en-GB"/>
              </w:rPr>
              <w:t xml:space="preserve">FCC 2013 </w:t>
            </w:r>
            <w:hyperlink r:id="rId69" w:history="1">
              <w:r w:rsidRPr="00C71B8F">
                <w:rPr>
                  <w:rStyle w:val="Hyperlink"/>
                  <w:rFonts w:ascii="Calibri" w:hAnsi="Calibri"/>
                  <w:i/>
                  <w:iCs/>
                  <w:szCs w:val="19"/>
                  <w:lang w:eastAsia="en-GB"/>
                </w:rPr>
                <w:t>First Report and Order further Notice of Proposed Rule Making and Notice of Inquiry</w:t>
              </w:r>
            </w:hyperlink>
            <w:r w:rsidRPr="00C71B8F">
              <w:rPr>
                <w:rFonts w:ascii="Calibri" w:hAnsi="Calibri"/>
                <w:color w:val="000000"/>
                <w:szCs w:val="19"/>
                <w:lang w:eastAsia="en-GB"/>
              </w:rPr>
              <w:t xml:space="preserve"> Reassessment of Federal Communications Commission Radiofrequency Exposure Limits and Policies </w:t>
            </w:r>
            <w:r w:rsidRPr="00C71B8F">
              <w:rPr>
                <w:rFonts w:ascii="Calibri" w:hAnsi="Calibri"/>
                <w:spacing w:val="-2"/>
                <w:szCs w:val="19"/>
              </w:rPr>
              <w:t xml:space="preserve">ET Docket No. 13-84, and  </w:t>
            </w:r>
            <w:r w:rsidRPr="00C71B8F">
              <w:rPr>
                <w:rFonts w:ascii="Calibri" w:hAnsi="Calibri"/>
                <w:color w:val="000000"/>
                <w:szCs w:val="19"/>
                <w:lang w:eastAsia="en-GB"/>
              </w:rPr>
              <w:t xml:space="preserve">Proposed Changes in the Commission's Rules Regarding Human Exposure to Radiofrequency Electromagnetic Fields </w:t>
            </w:r>
            <w:r w:rsidRPr="00C71B8F">
              <w:rPr>
                <w:rFonts w:ascii="Calibri" w:hAnsi="Calibri"/>
                <w:spacing w:val="-2"/>
                <w:szCs w:val="19"/>
              </w:rPr>
              <w:t xml:space="preserve">ET Docket No. 03-137  </w:t>
            </w:r>
          </w:p>
        </w:tc>
      </w:tr>
      <w:tr w:rsidR="00FD027D" w:rsidRPr="00C84343" w:rsidTr="000C5108">
        <w:trPr>
          <w:cantSplit/>
          <w:trHeight w:val="20"/>
        </w:trPr>
        <w:tc>
          <w:tcPr>
            <w:tcW w:w="9072" w:type="dxa"/>
            <w:hideMark/>
          </w:tcPr>
          <w:p w:rsidR="00FD027D" w:rsidRPr="00C71B8F" w:rsidRDefault="00FD027D" w:rsidP="00FD027D">
            <w:pPr>
              <w:pStyle w:val="ListParagraph"/>
              <w:numPr>
                <w:ilvl w:val="0"/>
                <w:numId w:val="10"/>
              </w:numPr>
              <w:tabs>
                <w:tab w:val="left" w:pos="794"/>
                <w:tab w:val="left" w:pos="1191"/>
                <w:tab w:val="left" w:pos="1588"/>
                <w:tab w:val="left" w:pos="1985"/>
              </w:tabs>
              <w:suppressAutoHyphens/>
              <w:overflowPunct w:val="0"/>
              <w:autoSpaceDE w:val="0"/>
              <w:spacing w:before="40" w:after="40"/>
              <w:ind w:left="357" w:hanging="357"/>
              <w:textAlignment w:val="baseline"/>
              <w:rPr>
                <w:rFonts w:ascii="Calibri" w:hAnsi="Calibri"/>
                <w:snapToGrid w:val="0"/>
                <w:szCs w:val="19"/>
              </w:rPr>
            </w:pPr>
            <w:r w:rsidRPr="00C71B8F">
              <w:rPr>
                <w:rFonts w:ascii="Calibri" w:hAnsi="Calibri"/>
                <w:snapToGrid w:val="0"/>
                <w:szCs w:val="19"/>
              </w:rPr>
              <w:t xml:space="preserve">Health Canada 1999 </w:t>
            </w:r>
            <w:hyperlink r:id="rId70" w:history="1">
              <w:r w:rsidRPr="00C71B8F">
                <w:rPr>
                  <w:rStyle w:val="Hyperlink"/>
                  <w:rFonts w:ascii="Calibri" w:hAnsi="Calibri"/>
                  <w:i/>
                  <w:iCs/>
                  <w:snapToGrid w:val="0"/>
                  <w:szCs w:val="19"/>
                </w:rPr>
                <w:t>Limits of Human Exposure to Radiofrequency Electromagnetic Fields in the Frequency Range from 3 kHz to 300 GHz</w:t>
              </w:r>
            </w:hyperlink>
            <w:r w:rsidRPr="00C71B8F">
              <w:rPr>
                <w:rFonts w:ascii="Calibri" w:hAnsi="Calibri"/>
                <w:snapToGrid w:val="0"/>
                <w:szCs w:val="19"/>
              </w:rPr>
              <w:t>Safety Code 6</w:t>
            </w:r>
          </w:p>
        </w:tc>
      </w:tr>
      <w:tr w:rsidR="00FD027D" w:rsidRPr="00C84343" w:rsidTr="000C5108">
        <w:trPr>
          <w:cantSplit/>
          <w:trHeight w:val="20"/>
        </w:trPr>
        <w:tc>
          <w:tcPr>
            <w:tcW w:w="9072" w:type="dxa"/>
            <w:hideMark/>
          </w:tcPr>
          <w:p w:rsidR="00FD027D" w:rsidRPr="00C71B8F" w:rsidRDefault="00FD027D" w:rsidP="00FD027D">
            <w:pPr>
              <w:pStyle w:val="ListParagraph"/>
              <w:numPr>
                <w:ilvl w:val="0"/>
                <w:numId w:val="10"/>
              </w:numPr>
              <w:tabs>
                <w:tab w:val="left" w:pos="794"/>
                <w:tab w:val="left" w:pos="1191"/>
                <w:tab w:val="left" w:pos="1588"/>
                <w:tab w:val="left" w:pos="1985"/>
              </w:tabs>
              <w:suppressAutoHyphens/>
              <w:overflowPunct w:val="0"/>
              <w:autoSpaceDE w:val="0"/>
              <w:spacing w:before="40" w:after="40"/>
              <w:ind w:left="357" w:hanging="357"/>
              <w:textAlignment w:val="baseline"/>
              <w:rPr>
                <w:rFonts w:ascii="Calibri" w:hAnsi="Calibri"/>
                <w:snapToGrid w:val="0"/>
                <w:szCs w:val="19"/>
              </w:rPr>
            </w:pPr>
            <w:r w:rsidRPr="00C71B8F">
              <w:rPr>
                <w:rFonts w:ascii="Calibri" w:hAnsi="Calibri"/>
                <w:snapToGrid w:val="0"/>
                <w:szCs w:val="19"/>
              </w:rPr>
              <w:t xml:space="preserve">IARC 2011 </w:t>
            </w:r>
            <w:hyperlink r:id="rId71" w:history="1">
              <w:r w:rsidRPr="00C71B8F">
                <w:rPr>
                  <w:rStyle w:val="Hyperlink"/>
                  <w:rFonts w:ascii="Calibri" w:hAnsi="Calibri"/>
                  <w:i/>
                  <w:iCs/>
                  <w:snapToGrid w:val="0"/>
                  <w:szCs w:val="19"/>
                </w:rPr>
                <w:t>IARC Classifies Radiofrequency Electromagnetic Fields as Possibly Carcinogenic to Humans</w:t>
              </w:r>
            </w:hyperlink>
            <w:r w:rsidRPr="00C71B8F">
              <w:rPr>
                <w:rFonts w:ascii="Calibri" w:hAnsi="Calibri"/>
                <w:snapToGrid w:val="0"/>
                <w:szCs w:val="19"/>
              </w:rPr>
              <w:t>, viewed 22 August 2012</w:t>
            </w:r>
          </w:p>
        </w:tc>
      </w:tr>
      <w:tr w:rsidR="00FD027D" w:rsidRPr="00C84343" w:rsidTr="000C5108">
        <w:trPr>
          <w:cantSplit/>
          <w:trHeight w:val="20"/>
        </w:trPr>
        <w:tc>
          <w:tcPr>
            <w:tcW w:w="9072" w:type="dxa"/>
            <w:hideMark/>
          </w:tcPr>
          <w:p w:rsidR="00FD027D" w:rsidRPr="00C71B8F" w:rsidRDefault="007E66A3" w:rsidP="00FD027D">
            <w:pPr>
              <w:pStyle w:val="ListParagraph"/>
              <w:numPr>
                <w:ilvl w:val="0"/>
                <w:numId w:val="10"/>
              </w:numPr>
              <w:tabs>
                <w:tab w:val="left" w:pos="794"/>
                <w:tab w:val="left" w:pos="1191"/>
                <w:tab w:val="left" w:pos="1588"/>
                <w:tab w:val="left" w:pos="1985"/>
              </w:tabs>
              <w:suppressAutoHyphens/>
              <w:overflowPunct w:val="0"/>
              <w:autoSpaceDE w:val="0"/>
              <w:spacing w:before="40" w:after="40"/>
              <w:ind w:left="357" w:hanging="357"/>
              <w:textAlignment w:val="baseline"/>
              <w:rPr>
                <w:rFonts w:ascii="Calibri" w:hAnsi="Calibri"/>
                <w:snapToGrid w:val="0"/>
                <w:szCs w:val="19"/>
              </w:rPr>
            </w:pPr>
            <w:hyperlink r:id="rId72" w:history="1">
              <w:r w:rsidR="00FD027D" w:rsidRPr="00C71B8F">
                <w:rPr>
                  <w:rStyle w:val="Hyperlink"/>
                  <w:rFonts w:ascii="Calibri" w:hAnsi="Calibri"/>
                  <w:snapToGrid w:val="0"/>
                  <w:szCs w:val="19"/>
                </w:rPr>
                <w:t>IARC  2013</w:t>
              </w:r>
            </w:hyperlink>
            <w:hyperlink r:id="rId73" w:history="1">
              <w:r w:rsidR="00FD027D" w:rsidRPr="00C71B8F">
                <w:rPr>
                  <w:rStyle w:val="Hyperlink"/>
                  <w:rFonts w:ascii="Calibri" w:hAnsi="Calibri"/>
                  <w:i/>
                  <w:iCs/>
                  <w:snapToGrid w:val="0"/>
                  <w:szCs w:val="19"/>
                </w:rPr>
                <w:t>Monograph on radiofrequency electromagnetic fields</w:t>
              </w:r>
              <w:r w:rsidR="00FD027D" w:rsidRPr="00C71B8F">
                <w:rPr>
                  <w:rStyle w:val="Hyperlink"/>
                  <w:rFonts w:ascii="Calibri" w:hAnsi="Calibri"/>
                  <w:i/>
                  <w:iCs/>
                  <w:szCs w:val="19"/>
                </w:rPr>
                <w:t xml:space="preserve"> Monographs</w:t>
              </w:r>
            </w:hyperlink>
            <w:r w:rsidR="00FD027D" w:rsidRPr="00C71B8F">
              <w:rPr>
                <w:rFonts w:ascii="Calibri" w:hAnsi="Calibri"/>
                <w:szCs w:val="19"/>
              </w:rPr>
              <w:t xml:space="preserve"> Vol. 102 </w:t>
            </w:r>
            <w:hyperlink r:id="rId74" w:history="1">
              <w:r w:rsidR="00FD027D" w:rsidRPr="00C71B8F">
                <w:rPr>
                  <w:rStyle w:val="Hyperlink"/>
                  <w:rFonts w:ascii="Calibri" w:hAnsi="Calibri"/>
                  <w:i/>
                  <w:iCs/>
                  <w:szCs w:val="19"/>
                </w:rPr>
                <w:t>Non-Ionizing Radiation, Part 2: Radiofrequency Electromagnetic Fields</w:t>
              </w:r>
            </w:hyperlink>
            <w:r w:rsidR="00FD027D" w:rsidRPr="00C71B8F">
              <w:rPr>
                <w:rFonts w:ascii="Calibri" w:hAnsi="Calibri"/>
                <w:szCs w:val="19"/>
              </w:rPr>
              <w:t>‘</w:t>
            </w:r>
          </w:p>
        </w:tc>
      </w:tr>
      <w:tr w:rsidR="00FD027D" w:rsidRPr="00C84343" w:rsidTr="000C5108">
        <w:trPr>
          <w:cantSplit/>
          <w:trHeight w:val="20"/>
        </w:trPr>
        <w:tc>
          <w:tcPr>
            <w:tcW w:w="9072" w:type="dxa"/>
            <w:hideMark/>
          </w:tcPr>
          <w:p w:rsidR="00FD027D" w:rsidRPr="00C71B8F" w:rsidRDefault="00FD027D" w:rsidP="00FD027D">
            <w:pPr>
              <w:pStyle w:val="ListParagraph"/>
              <w:numPr>
                <w:ilvl w:val="0"/>
                <w:numId w:val="10"/>
              </w:numPr>
              <w:tabs>
                <w:tab w:val="left" w:pos="794"/>
                <w:tab w:val="left" w:pos="1191"/>
                <w:tab w:val="left" w:pos="1588"/>
                <w:tab w:val="left" w:pos="1985"/>
              </w:tabs>
              <w:suppressAutoHyphens/>
              <w:overflowPunct w:val="0"/>
              <w:autoSpaceDE w:val="0"/>
              <w:spacing w:before="40" w:after="40"/>
              <w:ind w:left="357" w:hanging="357"/>
              <w:textAlignment w:val="baseline"/>
              <w:rPr>
                <w:rFonts w:ascii="Calibri" w:hAnsi="Calibri"/>
                <w:snapToGrid w:val="0"/>
                <w:szCs w:val="19"/>
              </w:rPr>
            </w:pPr>
            <w:r w:rsidRPr="00C71B8F">
              <w:rPr>
                <w:rFonts w:ascii="Calibri" w:hAnsi="Calibri"/>
                <w:snapToGrid w:val="0"/>
                <w:szCs w:val="19"/>
              </w:rPr>
              <w:t>ICNIRP 1998 ‘</w:t>
            </w:r>
            <w:hyperlink r:id="rId75" w:history="1">
              <w:r w:rsidRPr="00C71B8F">
                <w:rPr>
                  <w:rStyle w:val="Hyperlink"/>
                  <w:rFonts w:ascii="Calibri" w:hAnsi="Calibri"/>
                  <w:i/>
                  <w:iCs/>
                  <w:snapToGrid w:val="0"/>
                  <w:szCs w:val="19"/>
                </w:rPr>
                <w:t>Guidelines for Limiting Exposure to Time-Varying Electric, Magnetic, and Electromagnetic Fields (up to 300 GHz)</w:t>
              </w:r>
            </w:hyperlink>
            <w:r w:rsidRPr="00C71B8F">
              <w:rPr>
                <w:rFonts w:ascii="Calibri" w:hAnsi="Calibri"/>
                <w:snapToGrid w:val="0"/>
                <w:szCs w:val="19"/>
              </w:rPr>
              <w:t xml:space="preserve">’, ICNIRP guidelines, </w:t>
            </w:r>
            <w:r w:rsidRPr="00C71B8F">
              <w:rPr>
                <w:rFonts w:ascii="Calibri" w:hAnsi="Calibri"/>
                <w:i/>
                <w:iCs/>
                <w:snapToGrid w:val="0"/>
                <w:szCs w:val="19"/>
              </w:rPr>
              <w:t>Health Physics</w:t>
            </w:r>
            <w:r w:rsidRPr="00C71B8F">
              <w:rPr>
                <w:rFonts w:ascii="Calibri" w:hAnsi="Calibri"/>
                <w:snapToGrid w:val="0"/>
                <w:szCs w:val="19"/>
              </w:rPr>
              <w:t>, vol.74, pp. 494</w:t>
            </w:r>
            <w:r w:rsidRPr="00C71B8F">
              <w:rPr>
                <w:rFonts w:ascii="Calibri" w:hAnsi="Calibri"/>
                <w:color w:val="000000"/>
                <w:szCs w:val="19"/>
                <w:lang w:eastAsia="en-GB"/>
              </w:rPr>
              <w:t>-</w:t>
            </w:r>
            <w:r w:rsidRPr="00C71B8F">
              <w:rPr>
                <w:rFonts w:ascii="Calibri" w:hAnsi="Calibri"/>
                <w:snapToGrid w:val="0"/>
                <w:szCs w:val="19"/>
              </w:rPr>
              <w:t>522</w:t>
            </w:r>
          </w:p>
        </w:tc>
      </w:tr>
      <w:tr w:rsidR="00FD027D" w:rsidRPr="00C84343" w:rsidTr="000C5108">
        <w:trPr>
          <w:cantSplit/>
          <w:trHeight w:val="20"/>
        </w:trPr>
        <w:tc>
          <w:tcPr>
            <w:tcW w:w="9072" w:type="dxa"/>
            <w:hideMark/>
          </w:tcPr>
          <w:p w:rsidR="00FD027D" w:rsidRPr="00C71B8F" w:rsidRDefault="00FD027D" w:rsidP="00FD027D">
            <w:pPr>
              <w:pStyle w:val="ListParagraph"/>
              <w:numPr>
                <w:ilvl w:val="0"/>
                <w:numId w:val="10"/>
              </w:numPr>
              <w:tabs>
                <w:tab w:val="left" w:pos="794"/>
                <w:tab w:val="left" w:pos="1191"/>
                <w:tab w:val="left" w:pos="1588"/>
                <w:tab w:val="left" w:pos="1985"/>
              </w:tabs>
              <w:suppressAutoHyphens/>
              <w:overflowPunct w:val="0"/>
              <w:autoSpaceDE w:val="0"/>
              <w:spacing w:before="40" w:after="40"/>
              <w:ind w:left="357" w:hanging="357"/>
              <w:textAlignment w:val="baseline"/>
              <w:rPr>
                <w:rFonts w:ascii="Calibri" w:hAnsi="Calibri"/>
                <w:snapToGrid w:val="0"/>
                <w:szCs w:val="19"/>
              </w:rPr>
            </w:pPr>
            <w:r w:rsidRPr="00C71B8F">
              <w:rPr>
                <w:rFonts w:ascii="Calibri" w:hAnsi="Calibri"/>
                <w:snapToGrid w:val="0"/>
                <w:szCs w:val="19"/>
              </w:rPr>
              <w:t>ICNIRP 2009 “</w:t>
            </w:r>
            <w:hyperlink r:id="rId76" w:history="1">
              <w:r w:rsidRPr="00C71B8F">
                <w:rPr>
                  <w:rStyle w:val="Hyperlink"/>
                  <w:rFonts w:ascii="Calibri" w:hAnsi="Calibri"/>
                  <w:i/>
                  <w:iCs/>
                  <w:snapToGrid w:val="0"/>
                  <w:szCs w:val="19"/>
                </w:rPr>
                <w:t>Statement on the ‘guidelines for limiting exposure to time</w:t>
              </w:r>
              <w:r w:rsidRPr="00C71B8F">
                <w:rPr>
                  <w:rStyle w:val="Hyperlink"/>
                  <w:rFonts w:ascii="Calibri" w:hAnsi="Calibri" w:cs="Cambria Math"/>
                  <w:i/>
                  <w:iCs/>
                  <w:snapToGrid w:val="0"/>
                  <w:szCs w:val="19"/>
                </w:rPr>
                <w:t>‐</w:t>
              </w:r>
              <w:r w:rsidRPr="00C71B8F">
                <w:rPr>
                  <w:rStyle w:val="Hyperlink"/>
                  <w:rFonts w:ascii="Calibri" w:hAnsi="Calibri"/>
                  <w:i/>
                  <w:iCs/>
                  <w:snapToGrid w:val="0"/>
                  <w:szCs w:val="19"/>
                </w:rPr>
                <w:t>varying electric, magnetic, and electromagnetic fields (up to 300 GHz)</w:t>
              </w:r>
            </w:hyperlink>
            <w:r w:rsidRPr="00C71B8F">
              <w:rPr>
                <w:rFonts w:ascii="Calibri" w:hAnsi="Calibri"/>
                <w:snapToGrid w:val="0"/>
                <w:szCs w:val="19"/>
              </w:rPr>
              <w:t xml:space="preserve">‘” ICNIRP statement, </w:t>
            </w:r>
            <w:r w:rsidRPr="00C71B8F">
              <w:rPr>
                <w:rFonts w:ascii="Calibri" w:hAnsi="Calibri"/>
                <w:i/>
                <w:iCs/>
                <w:snapToGrid w:val="0"/>
                <w:szCs w:val="19"/>
              </w:rPr>
              <w:t>Health Physics</w:t>
            </w:r>
            <w:r w:rsidRPr="00C71B8F">
              <w:rPr>
                <w:rFonts w:ascii="Calibri" w:hAnsi="Calibri"/>
                <w:snapToGrid w:val="0"/>
                <w:szCs w:val="19"/>
              </w:rPr>
              <w:t>, vol.97 (3), pp. 257</w:t>
            </w:r>
            <w:r w:rsidRPr="00C71B8F">
              <w:rPr>
                <w:rFonts w:ascii="Calibri" w:hAnsi="Calibri"/>
                <w:color w:val="000000"/>
                <w:szCs w:val="19"/>
                <w:lang w:eastAsia="en-GB"/>
              </w:rPr>
              <w:t>-</w:t>
            </w:r>
            <w:r w:rsidRPr="00C71B8F">
              <w:rPr>
                <w:rFonts w:ascii="Calibri" w:hAnsi="Calibri"/>
                <w:snapToGrid w:val="0"/>
                <w:szCs w:val="19"/>
              </w:rPr>
              <w:t>8</w:t>
            </w:r>
          </w:p>
        </w:tc>
      </w:tr>
      <w:tr w:rsidR="00FD027D" w:rsidRPr="00C84343" w:rsidTr="000C5108">
        <w:trPr>
          <w:cantSplit/>
          <w:trHeight w:val="20"/>
        </w:trPr>
        <w:tc>
          <w:tcPr>
            <w:tcW w:w="9072" w:type="dxa"/>
            <w:hideMark/>
          </w:tcPr>
          <w:p w:rsidR="00FD027D" w:rsidRPr="00C71B8F" w:rsidRDefault="00FD027D" w:rsidP="00FD027D">
            <w:pPr>
              <w:pStyle w:val="ListParagraph"/>
              <w:numPr>
                <w:ilvl w:val="0"/>
                <w:numId w:val="10"/>
              </w:numPr>
              <w:tabs>
                <w:tab w:val="left" w:pos="794"/>
                <w:tab w:val="left" w:pos="1191"/>
                <w:tab w:val="left" w:pos="1588"/>
                <w:tab w:val="left" w:pos="1985"/>
              </w:tabs>
              <w:suppressAutoHyphens/>
              <w:overflowPunct w:val="0"/>
              <w:autoSpaceDE w:val="0"/>
              <w:spacing w:before="40" w:after="40"/>
              <w:ind w:left="357" w:hanging="357"/>
              <w:textAlignment w:val="baseline"/>
              <w:rPr>
                <w:rFonts w:ascii="Calibri" w:hAnsi="Calibri"/>
                <w:snapToGrid w:val="0"/>
                <w:szCs w:val="19"/>
              </w:rPr>
            </w:pPr>
            <w:r w:rsidRPr="00C71B8F">
              <w:rPr>
                <w:rFonts w:ascii="Calibri" w:hAnsi="Calibri"/>
                <w:snapToGrid w:val="0"/>
                <w:szCs w:val="19"/>
              </w:rPr>
              <w:t>ICNIRP 2009 a “</w:t>
            </w:r>
            <w:hyperlink r:id="rId77" w:history="1">
              <w:r w:rsidRPr="00C71B8F">
                <w:rPr>
                  <w:rStyle w:val="Hyperlink"/>
                  <w:rFonts w:ascii="Calibri" w:hAnsi="Calibri"/>
                  <w:i/>
                  <w:iCs/>
                  <w:szCs w:val="19"/>
                </w:rPr>
                <w:t>Exposure to high frequency electromagnetic fields, biological effects and health consequences (100 kHz-300 GHz)</w:t>
              </w:r>
            </w:hyperlink>
            <w:r w:rsidRPr="00C71B8F">
              <w:rPr>
                <w:rFonts w:ascii="Calibri" w:hAnsi="Calibri"/>
                <w:snapToGrid w:val="0"/>
                <w:szCs w:val="19"/>
              </w:rPr>
              <w:t>” la Vecchia C, Matthes R, Ziegelberger G et al., editors</w:t>
            </w:r>
          </w:p>
        </w:tc>
      </w:tr>
      <w:tr w:rsidR="00FD027D" w:rsidRPr="00C84343" w:rsidTr="000C5108">
        <w:trPr>
          <w:cantSplit/>
          <w:trHeight w:val="20"/>
        </w:trPr>
        <w:tc>
          <w:tcPr>
            <w:tcW w:w="9072" w:type="dxa"/>
            <w:hideMark/>
          </w:tcPr>
          <w:p w:rsidR="00FD027D" w:rsidRPr="00FD027D" w:rsidRDefault="00FD027D" w:rsidP="00FD027D">
            <w:pPr>
              <w:pStyle w:val="RegParagraph"/>
              <w:numPr>
                <w:ilvl w:val="0"/>
                <w:numId w:val="10"/>
              </w:numPr>
              <w:tabs>
                <w:tab w:val="left" w:pos="794"/>
                <w:tab w:val="left" w:pos="1191"/>
                <w:tab w:val="left" w:pos="1588"/>
              </w:tabs>
              <w:suppressAutoHyphens/>
              <w:overflowPunct w:val="0"/>
              <w:autoSpaceDE w:val="0"/>
              <w:spacing w:before="40" w:after="40" w:line="240" w:lineRule="auto"/>
              <w:ind w:left="357" w:hanging="357"/>
              <w:textAlignment w:val="baseline"/>
              <w:rPr>
                <w:rFonts w:ascii="Calibri" w:hAnsi="Calibri"/>
                <w:lang w:val="en-US" w:eastAsia="zh-CN" w:bidi="ar-SA"/>
              </w:rPr>
            </w:pPr>
            <w:r w:rsidRPr="00FD027D">
              <w:rPr>
                <w:rFonts w:ascii="Calibri" w:hAnsi="Calibri"/>
                <w:lang w:val="en-US" w:eastAsia="zh-CN" w:bidi="ar-SA"/>
              </w:rPr>
              <w:t xml:space="preserve">IEC 62209-1 ed1.0 </w:t>
            </w:r>
            <w:r w:rsidRPr="00C71B8F">
              <w:rPr>
                <w:rFonts w:ascii="Calibri" w:hAnsi="Calibri"/>
                <w:lang w:val="en-US" w:eastAsia="zh-CN" w:bidi="ar-SA"/>
              </w:rPr>
              <w:t>published on 18 Feb 2005 ‘</w:t>
            </w:r>
            <w:hyperlink r:id="rId78" w:history="1">
              <w:r w:rsidRPr="00C71B8F">
                <w:rPr>
                  <w:rStyle w:val="Hyperlink"/>
                  <w:rFonts w:ascii="Calibri" w:hAnsi="Calibri"/>
                  <w:i/>
                  <w:iCs/>
                  <w:lang w:val="en-US" w:eastAsia="zh-CN" w:bidi="ar-SA"/>
                </w:rPr>
                <w:t>Human exposure to radio frequency fields from hand-held and body-mounted wireless communication devices - Human models, instrumentation, and procedures - Part 1: Procedure to determine the specific absorption rate (SAR) for hand-held devices used in close proximity to the ear (frequency range of 300 MHz to 3 GHz</w:t>
              </w:r>
            </w:hyperlink>
            <w:r w:rsidRPr="00C71B8F">
              <w:rPr>
                <w:rFonts w:ascii="Calibri" w:hAnsi="Calibri"/>
                <w:lang w:val="en-US" w:eastAsia="zh-CN" w:bidi="ar-SA"/>
              </w:rPr>
              <w:t xml:space="preserve">‘ </w:t>
            </w:r>
          </w:p>
        </w:tc>
      </w:tr>
      <w:tr w:rsidR="00FD027D" w:rsidRPr="00C84343" w:rsidTr="000C5108">
        <w:trPr>
          <w:cantSplit/>
          <w:trHeight w:val="20"/>
        </w:trPr>
        <w:tc>
          <w:tcPr>
            <w:tcW w:w="9072" w:type="dxa"/>
            <w:hideMark/>
          </w:tcPr>
          <w:p w:rsidR="00FD027D" w:rsidRPr="00FD027D" w:rsidRDefault="00FD027D" w:rsidP="00FD027D">
            <w:pPr>
              <w:pStyle w:val="RegParagraph"/>
              <w:numPr>
                <w:ilvl w:val="0"/>
                <w:numId w:val="10"/>
              </w:numPr>
              <w:tabs>
                <w:tab w:val="left" w:pos="794"/>
                <w:tab w:val="left" w:pos="1191"/>
                <w:tab w:val="left" w:pos="1588"/>
              </w:tabs>
              <w:suppressAutoHyphens/>
              <w:overflowPunct w:val="0"/>
              <w:autoSpaceDE w:val="0"/>
              <w:spacing w:before="40" w:after="40" w:line="240" w:lineRule="auto"/>
              <w:ind w:left="357" w:hanging="357"/>
              <w:textAlignment w:val="baseline"/>
              <w:rPr>
                <w:rFonts w:ascii="Calibri" w:hAnsi="Calibri"/>
                <w:lang w:val="en-US" w:eastAsia="zh-CN" w:bidi="ar-SA"/>
              </w:rPr>
            </w:pPr>
            <w:r w:rsidRPr="00FD027D">
              <w:rPr>
                <w:rFonts w:ascii="Calibri" w:hAnsi="Calibri"/>
                <w:lang w:val="en-US" w:eastAsia="zh-CN" w:bidi="ar-SA"/>
              </w:rPr>
              <w:t xml:space="preserve">IEC 62232 ed. 1.0, </w:t>
            </w:r>
            <w:r w:rsidRPr="00C71B8F">
              <w:rPr>
                <w:rFonts w:ascii="Calibri" w:hAnsi="Calibri"/>
                <w:lang w:val="en-US" w:eastAsia="zh-CN" w:bidi="ar-SA"/>
              </w:rPr>
              <w:t xml:space="preserve">published on 19 May 2011 </w:t>
            </w:r>
            <w:hyperlink r:id="rId79" w:history="1">
              <w:r w:rsidRPr="00FD027D">
                <w:rPr>
                  <w:rStyle w:val="Hyperlink"/>
                  <w:rFonts w:ascii="Calibri" w:hAnsi="Calibri"/>
                  <w:i/>
                  <w:lang w:val="en-US" w:eastAsia="zh-CN" w:bidi="ar-SA"/>
                </w:rPr>
                <w:t>Determination of RF field strength and SAR in the vicinity of radiocommunication base stations for the purpose of evaluating human exposure</w:t>
              </w:r>
            </w:hyperlink>
          </w:p>
        </w:tc>
      </w:tr>
      <w:tr w:rsidR="00FD027D" w:rsidRPr="00C84343" w:rsidTr="000C5108">
        <w:trPr>
          <w:cantSplit/>
          <w:trHeight w:val="20"/>
        </w:trPr>
        <w:tc>
          <w:tcPr>
            <w:tcW w:w="9072" w:type="dxa"/>
            <w:hideMark/>
          </w:tcPr>
          <w:p w:rsidR="00FD027D" w:rsidRPr="00FD027D" w:rsidRDefault="00FD027D" w:rsidP="00FD027D">
            <w:pPr>
              <w:pStyle w:val="RegParagraph"/>
              <w:numPr>
                <w:ilvl w:val="0"/>
                <w:numId w:val="10"/>
              </w:numPr>
              <w:tabs>
                <w:tab w:val="left" w:pos="794"/>
                <w:tab w:val="left" w:pos="1191"/>
                <w:tab w:val="left" w:pos="1588"/>
              </w:tabs>
              <w:suppressAutoHyphens/>
              <w:overflowPunct w:val="0"/>
              <w:autoSpaceDE w:val="0"/>
              <w:spacing w:before="40" w:after="40" w:line="240" w:lineRule="auto"/>
              <w:ind w:left="357" w:hanging="357"/>
              <w:textAlignment w:val="baseline"/>
              <w:rPr>
                <w:rFonts w:ascii="Calibri" w:hAnsi="Calibri"/>
                <w:lang w:val="en-US" w:eastAsia="zh-CN" w:bidi="ar-SA"/>
              </w:rPr>
            </w:pPr>
            <w:r w:rsidRPr="00FD027D">
              <w:rPr>
                <w:rFonts w:ascii="Calibri" w:hAnsi="Calibri"/>
                <w:lang w:val="en-US" w:eastAsia="zh-CN" w:bidi="ar-SA"/>
              </w:rPr>
              <w:t xml:space="preserve">IEEE Std C95.1-1999 (and ANSI 1992) </w:t>
            </w:r>
            <w:hyperlink r:id="rId80" w:history="1">
              <w:r w:rsidRPr="00FD027D">
                <w:rPr>
                  <w:rStyle w:val="Hyperlink"/>
                  <w:rFonts w:ascii="Calibri" w:hAnsi="Calibri"/>
                  <w:i/>
                  <w:iCs/>
                  <w:lang w:val="en-US" w:eastAsia="zh-CN" w:bidi="ar-SA"/>
                </w:rPr>
                <w:t>IEEEStandard C95.1 for Safety Levels with Respect to Human Exposure to Radio Frequency Electromagnetic Fields, 3 kHz to 300 GHz</w:t>
              </w:r>
            </w:hyperlink>
          </w:p>
        </w:tc>
      </w:tr>
      <w:tr w:rsidR="00FD027D" w:rsidRPr="00C84343" w:rsidTr="000C5108">
        <w:trPr>
          <w:cantSplit/>
          <w:trHeight w:val="20"/>
        </w:trPr>
        <w:tc>
          <w:tcPr>
            <w:tcW w:w="9072" w:type="dxa"/>
            <w:hideMark/>
          </w:tcPr>
          <w:p w:rsidR="00FD027D" w:rsidRPr="00FD027D" w:rsidRDefault="00FD027D" w:rsidP="00FD027D">
            <w:pPr>
              <w:pStyle w:val="RegParagraph"/>
              <w:numPr>
                <w:ilvl w:val="0"/>
                <w:numId w:val="10"/>
              </w:numPr>
              <w:tabs>
                <w:tab w:val="left" w:pos="794"/>
                <w:tab w:val="left" w:pos="1191"/>
                <w:tab w:val="left" w:pos="1588"/>
              </w:tabs>
              <w:suppressAutoHyphens/>
              <w:overflowPunct w:val="0"/>
              <w:autoSpaceDE w:val="0"/>
              <w:spacing w:before="40" w:after="40" w:line="240" w:lineRule="auto"/>
              <w:ind w:left="357" w:hanging="357"/>
              <w:textAlignment w:val="baseline"/>
              <w:rPr>
                <w:rFonts w:ascii="Calibri" w:hAnsi="Calibri"/>
                <w:lang w:val="en-US" w:eastAsia="zh-CN" w:bidi="ar-SA"/>
              </w:rPr>
            </w:pPr>
            <w:r w:rsidRPr="00FD027D">
              <w:rPr>
                <w:rFonts w:ascii="Calibri" w:hAnsi="Calibri"/>
                <w:lang w:val="en-US" w:eastAsia="zh-CN" w:bidi="ar-SA"/>
              </w:rPr>
              <w:t>IEEE Std1528-2003</w:t>
            </w:r>
            <w:hyperlink r:id="rId81" w:history="1">
              <w:r w:rsidRPr="00FD027D">
                <w:rPr>
                  <w:rStyle w:val="Hyperlink"/>
                  <w:rFonts w:ascii="Calibri" w:hAnsi="Calibri"/>
                  <w:i/>
                  <w:iCs/>
                  <w:lang w:val="en-US" w:eastAsia="zh-CN" w:bidi="ar-SA"/>
                </w:rPr>
                <w:t>IEEE Recommended Practice for Determining the Peak Spatial-Average Specific Absorption Rate (SAR) in the Human Head from Wireless Communications Devices: Measurement Techniques</w:t>
              </w:r>
            </w:hyperlink>
          </w:p>
        </w:tc>
      </w:tr>
      <w:tr w:rsidR="00FD027D" w:rsidRPr="00C84343" w:rsidTr="000C5108">
        <w:trPr>
          <w:cantSplit/>
          <w:trHeight w:val="20"/>
        </w:trPr>
        <w:tc>
          <w:tcPr>
            <w:tcW w:w="9072" w:type="dxa"/>
            <w:hideMark/>
          </w:tcPr>
          <w:p w:rsidR="00FD027D" w:rsidRPr="00FD027D" w:rsidRDefault="00FD027D" w:rsidP="00FD027D">
            <w:pPr>
              <w:pStyle w:val="RegParagraph"/>
              <w:numPr>
                <w:ilvl w:val="0"/>
                <w:numId w:val="10"/>
              </w:numPr>
              <w:tabs>
                <w:tab w:val="left" w:pos="794"/>
                <w:tab w:val="left" w:pos="1191"/>
                <w:tab w:val="left" w:pos="1588"/>
              </w:tabs>
              <w:suppressAutoHyphens/>
              <w:overflowPunct w:val="0"/>
              <w:autoSpaceDE w:val="0"/>
              <w:spacing w:before="40" w:after="40" w:line="240" w:lineRule="auto"/>
              <w:ind w:left="357" w:hanging="357"/>
              <w:textAlignment w:val="baseline"/>
              <w:rPr>
                <w:rFonts w:ascii="Calibri" w:hAnsi="Calibri"/>
                <w:lang w:val="en-US" w:eastAsia="zh-CN" w:bidi="ar-SA"/>
              </w:rPr>
            </w:pPr>
            <w:r w:rsidRPr="00FD027D">
              <w:rPr>
                <w:rFonts w:ascii="Calibri" w:hAnsi="Calibri"/>
                <w:lang w:val="en-US" w:eastAsia="zh-CN" w:bidi="ar-SA"/>
              </w:rPr>
              <w:t xml:space="preserve">IEEE Std C95.1-2005 </w:t>
            </w:r>
            <w:hyperlink r:id="rId82" w:history="1">
              <w:r w:rsidRPr="00FD027D">
                <w:rPr>
                  <w:rStyle w:val="Hyperlink"/>
                  <w:rFonts w:ascii="Calibri" w:hAnsi="Calibri"/>
                  <w:i/>
                  <w:iCs/>
                  <w:lang w:val="en-US" w:eastAsia="zh-CN" w:bidi="ar-SA"/>
                </w:rPr>
                <w:t>IEEE Standard forSafety Levels with Respect to Human Exposure to Radio Frequency Electromagnetic Fields, 3 kHz to 300 GHz</w:t>
              </w:r>
            </w:hyperlink>
          </w:p>
        </w:tc>
      </w:tr>
      <w:tr w:rsidR="00FD027D" w:rsidRPr="00C84343" w:rsidTr="000C5108">
        <w:trPr>
          <w:cantSplit/>
          <w:trHeight w:val="20"/>
        </w:trPr>
        <w:tc>
          <w:tcPr>
            <w:tcW w:w="9072" w:type="dxa"/>
            <w:hideMark/>
          </w:tcPr>
          <w:p w:rsidR="00FD027D" w:rsidRPr="00C71B8F" w:rsidRDefault="00FD027D" w:rsidP="00FD027D">
            <w:pPr>
              <w:pStyle w:val="ListParagraph"/>
              <w:numPr>
                <w:ilvl w:val="0"/>
                <w:numId w:val="10"/>
              </w:numPr>
              <w:tabs>
                <w:tab w:val="left" w:pos="794"/>
                <w:tab w:val="left" w:pos="1191"/>
                <w:tab w:val="left" w:pos="1588"/>
                <w:tab w:val="left" w:pos="1985"/>
              </w:tabs>
              <w:suppressAutoHyphens/>
              <w:overflowPunct w:val="0"/>
              <w:autoSpaceDE w:val="0"/>
              <w:spacing w:before="40" w:after="40"/>
              <w:ind w:left="357" w:hanging="357"/>
              <w:textAlignment w:val="baseline"/>
              <w:rPr>
                <w:rFonts w:ascii="Calibri" w:hAnsi="Calibri"/>
                <w:color w:val="000000"/>
                <w:szCs w:val="19"/>
                <w:lang w:eastAsia="en-GB"/>
              </w:rPr>
            </w:pPr>
            <w:r w:rsidRPr="00C71B8F">
              <w:rPr>
                <w:rFonts w:ascii="Calibri" w:hAnsi="Calibri"/>
                <w:color w:val="000000"/>
                <w:szCs w:val="19"/>
                <w:lang w:eastAsia="en-GB"/>
              </w:rPr>
              <w:t xml:space="preserve">ITU 2011 Handbook </w:t>
            </w:r>
            <w:hyperlink r:id="rId83" w:history="1">
              <w:r w:rsidRPr="00C71B8F">
                <w:rPr>
                  <w:rStyle w:val="Hyperlink"/>
                  <w:rFonts w:ascii="Calibri" w:hAnsi="Calibri"/>
                  <w:i/>
                  <w:iCs/>
                  <w:szCs w:val="19"/>
                </w:rPr>
                <w:t>Spectrum Monitoring, Edition of 2011</w:t>
              </w:r>
            </w:hyperlink>
            <w:r w:rsidRPr="00C71B8F">
              <w:rPr>
                <w:rFonts w:ascii="Calibri" w:hAnsi="Calibri"/>
                <w:i/>
                <w:color w:val="000000"/>
                <w:szCs w:val="19"/>
                <w:lang w:eastAsia="en-GB"/>
              </w:rPr>
              <w:t xml:space="preserve">, </w:t>
            </w:r>
            <w:r w:rsidRPr="00C71B8F">
              <w:rPr>
                <w:rFonts w:ascii="Calibri" w:hAnsi="Calibri"/>
                <w:szCs w:val="19"/>
              </w:rPr>
              <w:t>Chapter 5 - Specific monitoring systems and procedures</w:t>
            </w:r>
          </w:p>
        </w:tc>
      </w:tr>
      <w:tr w:rsidR="00FD027D" w:rsidRPr="00C84343" w:rsidTr="000C5108">
        <w:trPr>
          <w:cantSplit/>
          <w:trHeight w:val="20"/>
        </w:trPr>
        <w:tc>
          <w:tcPr>
            <w:tcW w:w="9072" w:type="dxa"/>
            <w:hideMark/>
          </w:tcPr>
          <w:p w:rsidR="00FD027D" w:rsidRPr="00C71B8F" w:rsidRDefault="00FD027D" w:rsidP="00FD027D">
            <w:pPr>
              <w:pStyle w:val="ListParagraph"/>
              <w:numPr>
                <w:ilvl w:val="0"/>
                <w:numId w:val="10"/>
              </w:numPr>
              <w:tabs>
                <w:tab w:val="left" w:pos="794"/>
                <w:tab w:val="left" w:pos="1191"/>
                <w:tab w:val="left" w:pos="1588"/>
                <w:tab w:val="left" w:pos="1985"/>
              </w:tabs>
              <w:suppressAutoHyphens/>
              <w:overflowPunct w:val="0"/>
              <w:autoSpaceDE w:val="0"/>
              <w:spacing w:before="40" w:after="40"/>
              <w:ind w:left="357" w:hanging="357"/>
              <w:textAlignment w:val="baseline"/>
              <w:rPr>
                <w:rFonts w:ascii="Calibri" w:hAnsi="Calibri"/>
                <w:snapToGrid w:val="0"/>
                <w:szCs w:val="19"/>
              </w:rPr>
            </w:pPr>
            <w:r w:rsidRPr="00C71B8F">
              <w:rPr>
                <w:rFonts w:ascii="Calibri" w:hAnsi="Calibri"/>
                <w:color w:val="000000"/>
                <w:szCs w:val="19"/>
                <w:lang w:eastAsia="en-GB"/>
              </w:rPr>
              <w:t xml:space="preserve">ITU-R Recommendation BS.1698 </w:t>
            </w:r>
            <w:hyperlink r:id="rId84" w:history="1">
              <w:r w:rsidRPr="00C71B8F">
                <w:rPr>
                  <w:rStyle w:val="Hyperlink"/>
                  <w:rFonts w:ascii="Calibri" w:hAnsi="Calibri"/>
                  <w:i/>
                  <w:szCs w:val="19"/>
                  <w:lang w:eastAsia="en-GB"/>
                </w:rPr>
                <w:t>Evaluating Fields from Terrestrial Broadcasting Transmitting Systems Operating in any Frequency Band for Assessing Exposure to Non</w:t>
              </w:r>
              <w:r w:rsidRPr="00C71B8F">
                <w:rPr>
                  <w:rStyle w:val="Hyperlink"/>
                  <w:rFonts w:ascii="Calibri" w:hAnsi="Calibri"/>
                  <w:i/>
                  <w:szCs w:val="19"/>
                  <w:lang w:eastAsia="en-GB"/>
                </w:rPr>
                <w:noBreakHyphen/>
                <w:t>Ionizing Radiation</w:t>
              </w:r>
            </w:hyperlink>
            <w:r w:rsidRPr="00C71B8F">
              <w:rPr>
                <w:rFonts w:ascii="Calibri" w:hAnsi="Calibri"/>
                <w:i/>
                <w:color w:val="000000"/>
                <w:szCs w:val="19"/>
                <w:lang w:eastAsia="en-GB"/>
              </w:rPr>
              <w:t xml:space="preserve">, </w:t>
            </w:r>
          </w:p>
        </w:tc>
      </w:tr>
      <w:tr w:rsidR="00FD027D" w:rsidRPr="00C84343" w:rsidTr="000C5108">
        <w:trPr>
          <w:cantSplit/>
          <w:trHeight w:val="20"/>
        </w:trPr>
        <w:tc>
          <w:tcPr>
            <w:tcW w:w="9072" w:type="dxa"/>
          </w:tcPr>
          <w:p w:rsidR="00FD027D" w:rsidRPr="00FD027D" w:rsidRDefault="00FD027D" w:rsidP="00FD027D">
            <w:pPr>
              <w:pStyle w:val="RegParagraph"/>
              <w:numPr>
                <w:ilvl w:val="0"/>
                <w:numId w:val="10"/>
              </w:numPr>
              <w:spacing w:before="40" w:after="40" w:line="240" w:lineRule="auto"/>
              <w:rPr>
                <w:rFonts w:ascii="Calibri" w:hAnsi="Calibri"/>
                <w:lang w:val="en-US" w:eastAsia="zh-CN" w:bidi="ar-SA"/>
              </w:rPr>
            </w:pPr>
            <w:r w:rsidRPr="00FD027D">
              <w:rPr>
                <w:rFonts w:ascii="Calibri" w:hAnsi="Calibri"/>
                <w:lang w:val="en-US" w:eastAsia="zh-CN" w:bidi="ar-SA"/>
              </w:rPr>
              <w:t xml:space="preserve">ITU Hand book on </w:t>
            </w:r>
            <w:hyperlink r:id="rId85" w:history="1">
              <w:r w:rsidRPr="00FD027D">
                <w:rPr>
                  <w:rStyle w:val="Hyperlink"/>
                  <w:rFonts w:ascii="Calibri" w:hAnsi="Calibri"/>
                  <w:lang w:val="en-US" w:eastAsia="zh-CN" w:bidi="ar-SA"/>
                </w:rPr>
                <w:t>Spectrum Monitoring</w:t>
              </w:r>
            </w:hyperlink>
            <w:r w:rsidRPr="00FD027D">
              <w:rPr>
                <w:rFonts w:ascii="Calibri" w:hAnsi="Calibri"/>
                <w:lang w:val="en-US" w:eastAsia="zh-CN" w:bidi="ar-SA"/>
              </w:rPr>
              <w:t xml:space="preserve">, Edition 2011; </w:t>
            </w:r>
            <w:r w:rsidRPr="00FD027D">
              <w:rPr>
                <w:rFonts w:ascii="Calibri" w:hAnsi="Calibri"/>
                <w:lang w:val="en-US"/>
              </w:rPr>
              <w:t>Chapter 5.6</w:t>
            </w:r>
          </w:p>
        </w:tc>
      </w:tr>
      <w:tr w:rsidR="00FD027D" w:rsidRPr="00C84343" w:rsidTr="000C5108">
        <w:trPr>
          <w:cantSplit/>
          <w:trHeight w:val="20"/>
        </w:trPr>
        <w:tc>
          <w:tcPr>
            <w:tcW w:w="9072" w:type="dxa"/>
            <w:hideMark/>
          </w:tcPr>
          <w:p w:rsidR="00FD027D" w:rsidRPr="00C71B8F" w:rsidRDefault="00FD027D" w:rsidP="00FD027D">
            <w:pPr>
              <w:pStyle w:val="Equation"/>
              <w:numPr>
                <w:ilvl w:val="0"/>
                <w:numId w:val="10"/>
              </w:numPr>
              <w:tabs>
                <w:tab w:val="clear" w:pos="794"/>
                <w:tab w:val="left" w:pos="1191"/>
                <w:tab w:val="left" w:pos="1588"/>
                <w:tab w:val="left" w:pos="1985"/>
              </w:tabs>
              <w:suppressAutoHyphens/>
              <w:spacing w:before="40" w:after="40"/>
              <w:ind w:left="357" w:hanging="357"/>
              <w:jc w:val="left"/>
              <w:textAlignment w:val="baseline"/>
              <w:rPr>
                <w:rFonts w:ascii="Calibri" w:hAnsi="Calibri" w:cstheme="majorBidi"/>
                <w:i/>
                <w:iCs/>
                <w:sz w:val="19"/>
                <w:szCs w:val="19"/>
                <w:lang w:val="en-US" w:eastAsia="zh-CN"/>
              </w:rPr>
            </w:pPr>
            <w:r w:rsidRPr="00C71B8F">
              <w:rPr>
                <w:rFonts w:ascii="Calibri" w:hAnsi="Calibri" w:cstheme="majorBidi"/>
                <w:sz w:val="19"/>
                <w:szCs w:val="19"/>
                <w:lang w:val="en-US" w:eastAsia="zh-CN"/>
              </w:rPr>
              <w:lastRenderedPageBreak/>
              <w:t xml:space="preserve">ITU-T </w:t>
            </w:r>
            <w:hyperlink r:id="rId86" w:tooltip="Main page of the respective Study Group" w:history="1">
              <w:r w:rsidRPr="00C71B8F">
                <w:rPr>
                  <w:rStyle w:val="Hyperlink"/>
                  <w:rFonts w:ascii="Calibri" w:hAnsi="Calibri" w:cstheme="majorBidi"/>
                  <w:sz w:val="19"/>
                  <w:szCs w:val="19"/>
                  <w:lang w:val="en-US" w:eastAsia="zh-CN"/>
                </w:rPr>
                <w:t>Study Group 5</w:t>
              </w:r>
            </w:hyperlink>
            <w:r w:rsidRPr="00C71B8F">
              <w:rPr>
                <w:rFonts w:ascii="Calibri" w:hAnsi="Calibri" w:cstheme="majorBidi"/>
                <w:sz w:val="19"/>
                <w:szCs w:val="19"/>
                <w:lang w:val="en-US" w:eastAsia="zh-CN"/>
              </w:rPr>
              <w:t xml:space="preserve">Recommendation K.52  </w:t>
            </w:r>
            <w:hyperlink r:id="rId87" w:history="1">
              <w:r w:rsidRPr="00C71B8F">
                <w:rPr>
                  <w:rStyle w:val="Hyperlink"/>
                  <w:rFonts w:ascii="Calibri" w:hAnsi="Calibri" w:cstheme="majorBidi"/>
                  <w:i/>
                  <w:iCs/>
                  <w:sz w:val="19"/>
                  <w:szCs w:val="19"/>
                  <w:lang w:val="en-US" w:eastAsia="zh-CN"/>
                </w:rPr>
                <w:t>Guidance on complying with limits for human exposure to electromagnetic fields</w:t>
              </w:r>
            </w:hyperlink>
          </w:p>
        </w:tc>
      </w:tr>
      <w:tr w:rsidR="00FD027D" w:rsidRPr="00C84343" w:rsidTr="000C5108">
        <w:trPr>
          <w:cantSplit/>
          <w:trHeight w:val="20"/>
        </w:trPr>
        <w:tc>
          <w:tcPr>
            <w:tcW w:w="9072" w:type="dxa"/>
            <w:hideMark/>
          </w:tcPr>
          <w:p w:rsidR="00FD027D" w:rsidRPr="00C71B8F" w:rsidRDefault="00FD027D" w:rsidP="00FD027D">
            <w:pPr>
              <w:pStyle w:val="Equation"/>
              <w:numPr>
                <w:ilvl w:val="0"/>
                <w:numId w:val="10"/>
              </w:numPr>
              <w:tabs>
                <w:tab w:val="clear" w:pos="794"/>
                <w:tab w:val="left" w:pos="1191"/>
                <w:tab w:val="left" w:pos="1588"/>
                <w:tab w:val="left" w:pos="1985"/>
              </w:tabs>
              <w:suppressAutoHyphens/>
              <w:spacing w:before="40" w:after="40"/>
              <w:ind w:left="357" w:hanging="357"/>
              <w:jc w:val="left"/>
              <w:textAlignment w:val="baseline"/>
              <w:rPr>
                <w:rFonts w:ascii="Calibri" w:hAnsi="Calibri"/>
                <w:i/>
                <w:iCs/>
                <w:sz w:val="19"/>
                <w:szCs w:val="19"/>
                <w:lang w:val="en-GB" w:eastAsia="zh-CN"/>
              </w:rPr>
            </w:pPr>
            <w:r w:rsidRPr="00C71B8F">
              <w:rPr>
                <w:rFonts w:ascii="Calibri" w:hAnsi="Calibri"/>
                <w:sz w:val="19"/>
                <w:szCs w:val="19"/>
                <w:lang w:val="en-GB" w:eastAsia="zh-CN"/>
              </w:rPr>
              <w:t xml:space="preserve">ITU-T K.61 </w:t>
            </w:r>
            <w:hyperlink r:id="rId88" w:history="1">
              <w:r w:rsidRPr="00C71B8F">
                <w:rPr>
                  <w:rStyle w:val="Hyperlink"/>
                  <w:rFonts w:ascii="Calibri" w:hAnsi="Calibri"/>
                  <w:i/>
                  <w:iCs/>
                  <w:sz w:val="19"/>
                  <w:szCs w:val="19"/>
                  <w:lang w:val="en-US" w:eastAsia="zh-CN"/>
                </w:rPr>
                <w:t>Guidance on measurement and numerical prediction of electromagnetic fields for compliance with human exposure limits for telecommunication installations</w:t>
              </w:r>
            </w:hyperlink>
          </w:p>
        </w:tc>
      </w:tr>
      <w:tr w:rsidR="00FD027D" w:rsidRPr="00C84343" w:rsidTr="000C5108">
        <w:trPr>
          <w:cantSplit/>
          <w:trHeight w:val="20"/>
        </w:trPr>
        <w:tc>
          <w:tcPr>
            <w:tcW w:w="9072" w:type="dxa"/>
            <w:hideMark/>
          </w:tcPr>
          <w:p w:rsidR="00FD027D" w:rsidRPr="00C71B8F" w:rsidRDefault="00FD027D" w:rsidP="00FD027D">
            <w:pPr>
              <w:pStyle w:val="Equation"/>
              <w:numPr>
                <w:ilvl w:val="0"/>
                <w:numId w:val="10"/>
              </w:numPr>
              <w:tabs>
                <w:tab w:val="clear" w:pos="794"/>
                <w:tab w:val="left" w:pos="1191"/>
                <w:tab w:val="left" w:pos="1588"/>
                <w:tab w:val="left" w:pos="1985"/>
              </w:tabs>
              <w:suppressAutoHyphens/>
              <w:spacing w:before="40" w:after="40"/>
              <w:ind w:left="357" w:hanging="357"/>
              <w:jc w:val="left"/>
              <w:textAlignment w:val="baseline"/>
              <w:rPr>
                <w:rFonts w:ascii="Calibri" w:hAnsi="Calibri"/>
                <w:sz w:val="19"/>
                <w:szCs w:val="19"/>
                <w:lang w:val="en-US" w:eastAsia="zh-CN"/>
              </w:rPr>
            </w:pPr>
            <w:r w:rsidRPr="00C71B8F">
              <w:rPr>
                <w:rFonts w:ascii="Calibri" w:hAnsi="Calibri"/>
                <w:sz w:val="19"/>
                <w:szCs w:val="19"/>
                <w:lang w:val="en-GB" w:eastAsia="zh-CN"/>
              </w:rPr>
              <w:t xml:space="preserve">ITU-T K.70 </w:t>
            </w:r>
            <w:hyperlink r:id="rId89" w:history="1">
              <w:r w:rsidRPr="00C71B8F">
                <w:rPr>
                  <w:rStyle w:val="Hyperlink"/>
                  <w:rFonts w:ascii="Calibri" w:hAnsi="Calibri"/>
                  <w:i/>
                  <w:iCs/>
                  <w:sz w:val="19"/>
                  <w:szCs w:val="19"/>
                  <w:lang w:val="en-US" w:eastAsia="zh-CN"/>
                </w:rPr>
                <w:t>Mitigation techniques to limit human exposure to EMFs in the vicinity of radiocommunication stations</w:t>
              </w:r>
            </w:hyperlink>
          </w:p>
        </w:tc>
      </w:tr>
      <w:tr w:rsidR="00FD027D" w:rsidRPr="00C84343" w:rsidTr="000C5108">
        <w:trPr>
          <w:cantSplit/>
          <w:trHeight w:val="20"/>
        </w:trPr>
        <w:tc>
          <w:tcPr>
            <w:tcW w:w="9072" w:type="dxa"/>
            <w:hideMark/>
          </w:tcPr>
          <w:p w:rsidR="00FD027D" w:rsidRPr="00C71B8F" w:rsidRDefault="00FD027D" w:rsidP="00FD027D">
            <w:pPr>
              <w:pStyle w:val="Equation"/>
              <w:numPr>
                <w:ilvl w:val="0"/>
                <w:numId w:val="10"/>
              </w:numPr>
              <w:tabs>
                <w:tab w:val="clear" w:pos="794"/>
                <w:tab w:val="left" w:pos="1191"/>
                <w:tab w:val="left" w:pos="1588"/>
                <w:tab w:val="left" w:pos="1985"/>
              </w:tabs>
              <w:suppressAutoHyphens/>
              <w:spacing w:before="40" w:after="40"/>
              <w:ind w:left="357" w:hanging="357"/>
              <w:jc w:val="left"/>
              <w:textAlignment w:val="baseline"/>
              <w:rPr>
                <w:rFonts w:ascii="Calibri" w:hAnsi="Calibri" w:cstheme="majorBidi"/>
                <w:sz w:val="19"/>
                <w:szCs w:val="19"/>
                <w:lang w:val="en-US" w:eastAsia="zh-CN"/>
              </w:rPr>
            </w:pPr>
            <w:r w:rsidRPr="00C71B8F">
              <w:rPr>
                <w:rFonts w:ascii="Calibri" w:hAnsi="Calibri" w:cstheme="majorBidi"/>
                <w:sz w:val="19"/>
                <w:szCs w:val="19"/>
                <w:lang w:val="en-GB" w:eastAsia="zh-CN"/>
              </w:rPr>
              <w:t xml:space="preserve">ITU-T </w:t>
            </w:r>
            <w:hyperlink r:id="rId90" w:history="1">
              <w:r w:rsidRPr="00C71B8F">
                <w:rPr>
                  <w:rStyle w:val="Hyperlink"/>
                  <w:rFonts w:ascii="Calibri" w:eastAsia="MS Mincho" w:hAnsi="Calibri" w:cstheme="majorBidi"/>
                  <w:i/>
                  <w:iCs/>
                  <w:noProof/>
                  <w:sz w:val="19"/>
                  <w:szCs w:val="19"/>
                  <w:lang w:val="en-US" w:eastAsia="zh-CN"/>
                </w:rPr>
                <w:t>Software EMF-estimator</w:t>
              </w:r>
            </w:hyperlink>
            <w:hyperlink r:id="rId91" w:history="1">
              <w:r w:rsidRPr="00C71B8F">
                <w:rPr>
                  <w:rStyle w:val="Hyperlink"/>
                  <w:rFonts w:ascii="Calibri" w:hAnsi="Calibri" w:cstheme="majorBidi"/>
                  <w:sz w:val="19"/>
                  <w:szCs w:val="19"/>
                  <w:lang w:val="en-US" w:eastAsia="zh-CN"/>
                </w:rPr>
                <w:t>K.70 (2007)</w:t>
              </w:r>
            </w:hyperlink>
            <w:hyperlink r:id="rId92" w:history="1">
              <w:r w:rsidRPr="00C71B8F">
                <w:rPr>
                  <w:rStyle w:val="Hyperlink"/>
                  <w:rFonts w:ascii="Calibri" w:hAnsi="Calibri" w:cstheme="majorBidi"/>
                  <w:sz w:val="19"/>
                  <w:szCs w:val="19"/>
                  <w:lang w:val="en-US" w:eastAsia="zh-CN"/>
                </w:rPr>
                <w:t>Amd.2 (05/2011)</w:t>
              </w:r>
            </w:hyperlink>
            <w:r w:rsidRPr="00C71B8F">
              <w:rPr>
                <w:rFonts w:ascii="Calibri" w:hAnsi="Calibri" w:cstheme="majorBidi"/>
                <w:color w:val="000000"/>
                <w:sz w:val="19"/>
                <w:szCs w:val="19"/>
                <w:lang w:val="en-GB" w:eastAsia="zh-CN"/>
              </w:rPr>
              <w:t xml:space="preserve"> and </w:t>
            </w:r>
            <w:hyperlink r:id="rId93" w:history="1">
              <w:r w:rsidRPr="00C71B8F">
                <w:rPr>
                  <w:rStyle w:val="Hyperlink"/>
                  <w:rFonts w:ascii="Calibri" w:hAnsi="Calibri" w:cstheme="majorBidi"/>
                  <w:i/>
                  <w:iCs/>
                  <w:sz w:val="19"/>
                  <w:szCs w:val="19"/>
                  <w:lang w:val="en-US" w:eastAsia="zh-CN"/>
                </w:rPr>
                <w:t>Amd.3 (02/2013)</w:t>
              </w:r>
            </w:hyperlink>
            <w:r w:rsidRPr="00C71B8F">
              <w:rPr>
                <w:rFonts w:ascii="Calibri" w:hAnsi="Calibri" w:cstheme="majorBidi"/>
                <w:sz w:val="19"/>
                <w:szCs w:val="19"/>
                <w:lang w:val="en-US" w:eastAsia="zh-CN"/>
              </w:rPr>
              <w:t xml:space="preserve"> by Lewicki F.</w:t>
            </w:r>
          </w:p>
        </w:tc>
      </w:tr>
      <w:tr w:rsidR="00FD027D" w:rsidRPr="00C84343" w:rsidTr="000C5108">
        <w:trPr>
          <w:cantSplit/>
          <w:trHeight w:val="20"/>
        </w:trPr>
        <w:tc>
          <w:tcPr>
            <w:tcW w:w="9072" w:type="dxa"/>
            <w:hideMark/>
          </w:tcPr>
          <w:p w:rsidR="00FD027D" w:rsidRPr="00C71B8F" w:rsidRDefault="00FD027D" w:rsidP="00FD027D">
            <w:pPr>
              <w:pStyle w:val="Equation"/>
              <w:numPr>
                <w:ilvl w:val="0"/>
                <w:numId w:val="10"/>
              </w:numPr>
              <w:tabs>
                <w:tab w:val="clear" w:pos="794"/>
                <w:tab w:val="left" w:pos="1191"/>
                <w:tab w:val="left" w:pos="1588"/>
                <w:tab w:val="left" w:pos="1985"/>
              </w:tabs>
              <w:suppressAutoHyphens/>
              <w:spacing w:before="40" w:after="40"/>
              <w:ind w:left="357" w:hanging="357"/>
              <w:jc w:val="left"/>
              <w:textAlignment w:val="baseline"/>
              <w:rPr>
                <w:rFonts w:ascii="Calibri" w:hAnsi="Calibri"/>
                <w:sz w:val="19"/>
                <w:szCs w:val="19"/>
                <w:lang w:val="en-GB" w:eastAsia="zh-CN"/>
              </w:rPr>
            </w:pPr>
            <w:r w:rsidRPr="00C71B8F">
              <w:rPr>
                <w:rFonts w:ascii="Calibri" w:hAnsi="Calibri"/>
                <w:sz w:val="19"/>
                <w:szCs w:val="19"/>
                <w:lang w:val="en-GB" w:eastAsia="zh-CN"/>
              </w:rPr>
              <w:t xml:space="preserve">ITU-T K.91 </w:t>
            </w:r>
            <w:hyperlink r:id="rId94" w:history="1">
              <w:r w:rsidRPr="00C71B8F">
                <w:rPr>
                  <w:rStyle w:val="Hyperlink"/>
                  <w:rFonts w:ascii="Calibri" w:hAnsi="Calibri"/>
                  <w:i/>
                  <w:iCs/>
                  <w:sz w:val="19"/>
                  <w:szCs w:val="19"/>
                  <w:lang w:val="en-US" w:eastAsia="zh-CN"/>
                </w:rPr>
                <w:t>Guidance for assessment, evaluation and monitoring of human exposure to radio frequency electromagnetic fields</w:t>
              </w:r>
            </w:hyperlink>
          </w:p>
        </w:tc>
      </w:tr>
      <w:tr w:rsidR="00FD027D" w:rsidRPr="00C84343" w:rsidTr="000C5108">
        <w:trPr>
          <w:cantSplit/>
          <w:trHeight w:val="20"/>
        </w:trPr>
        <w:tc>
          <w:tcPr>
            <w:tcW w:w="9072" w:type="dxa"/>
            <w:hideMark/>
          </w:tcPr>
          <w:p w:rsidR="00FD027D" w:rsidRPr="00C71B8F" w:rsidRDefault="00FD027D" w:rsidP="00FD027D">
            <w:pPr>
              <w:pStyle w:val="Equation"/>
              <w:numPr>
                <w:ilvl w:val="0"/>
                <w:numId w:val="10"/>
              </w:numPr>
              <w:tabs>
                <w:tab w:val="left" w:pos="1191"/>
                <w:tab w:val="left" w:pos="1588"/>
                <w:tab w:val="left" w:pos="1985"/>
              </w:tabs>
              <w:suppressAutoHyphens/>
              <w:spacing w:before="40" w:after="40"/>
              <w:ind w:left="357" w:hanging="357"/>
              <w:jc w:val="left"/>
              <w:textAlignment w:val="baseline"/>
              <w:rPr>
                <w:rFonts w:ascii="Calibri" w:hAnsi="Calibri"/>
                <w:sz w:val="19"/>
                <w:szCs w:val="19"/>
                <w:lang w:val="en-GB" w:eastAsia="zh-CN"/>
              </w:rPr>
            </w:pPr>
            <w:r w:rsidRPr="00C71B8F">
              <w:rPr>
                <w:rFonts w:ascii="Calibri" w:hAnsi="Calibri"/>
                <w:sz w:val="19"/>
                <w:szCs w:val="19"/>
                <w:lang w:val="en-GB" w:eastAsia="zh-CN"/>
              </w:rPr>
              <w:t xml:space="preserve">Japan 2004, Ministry of Public Management, Home Affairs, Posts and Telecommunications;  Ministry of Economy, Trade and Industry </w:t>
            </w:r>
            <w:hyperlink r:id="rId95" w:history="1">
              <w:r w:rsidRPr="00C71B8F">
                <w:rPr>
                  <w:rStyle w:val="Hyperlink"/>
                  <w:rFonts w:ascii="Calibri" w:hAnsi="Calibri"/>
                  <w:sz w:val="19"/>
                  <w:szCs w:val="19"/>
                  <w:lang w:val="en-US" w:eastAsia="zh-CN"/>
                </w:rPr>
                <w:t xml:space="preserve">WHO, Japan exposure  for general </w:t>
              </w:r>
            </w:hyperlink>
            <w:r w:rsidRPr="00C71B8F">
              <w:rPr>
                <w:rFonts w:ascii="Calibri" w:hAnsi="Calibri"/>
                <w:sz w:val="19"/>
                <w:szCs w:val="19"/>
                <w:lang w:val="en-GB" w:eastAsia="zh-CN"/>
              </w:rPr>
              <w:t xml:space="preserve">;   on 27 September 2012, there is a mistake in </w:t>
            </w:r>
            <w:r w:rsidRPr="00C71B8F">
              <w:rPr>
                <w:rFonts w:ascii="Calibri" w:hAnsi="Calibri"/>
                <w:sz w:val="19"/>
                <w:szCs w:val="19"/>
                <w:lang w:val="en-US" w:eastAsia="zh-CN"/>
              </w:rPr>
              <w:t>the frequency range 1.5 - 300 GHz : the exposure values are not dependent on the frequency ; see</w:t>
            </w:r>
            <w:hyperlink r:id="rId96" w:history="1">
              <w:r w:rsidRPr="00C71B8F">
                <w:rPr>
                  <w:rStyle w:val="Hyperlink"/>
                  <w:rFonts w:ascii="Calibri" w:hAnsi="Calibri"/>
                  <w:sz w:val="19"/>
                  <w:szCs w:val="19"/>
                  <w:lang w:val="en-US" w:eastAsia="zh-CN"/>
                </w:rPr>
                <w:t>Radio Waves and Safety</w:t>
              </w:r>
            </w:hyperlink>
          </w:p>
        </w:tc>
      </w:tr>
      <w:tr w:rsidR="00FD027D" w:rsidRPr="00C84343" w:rsidTr="000C5108">
        <w:trPr>
          <w:cantSplit/>
          <w:trHeight w:val="20"/>
        </w:trPr>
        <w:tc>
          <w:tcPr>
            <w:tcW w:w="9072" w:type="dxa"/>
            <w:hideMark/>
          </w:tcPr>
          <w:p w:rsidR="00FD027D" w:rsidRPr="00C71B8F" w:rsidRDefault="00FD027D" w:rsidP="00FD027D">
            <w:pPr>
              <w:pStyle w:val="Equation"/>
              <w:numPr>
                <w:ilvl w:val="0"/>
                <w:numId w:val="10"/>
              </w:numPr>
              <w:tabs>
                <w:tab w:val="clear" w:pos="794"/>
                <w:tab w:val="left" w:pos="1191"/>
                <w:tab w:val="left" w:pos="1588"/>
                <w:tab w:val="left" w:pos="1985"/>
              </w:tabs>
              <w:suppressAutoHyphens/>
              <w:spacing w:before="40" w:after="40"/>
              <w:ind w:left="357" w:hanging="357"/>
              <w:jc w:val="left"/>
              <w:textAlignment w:val="baseline"/>
              <w:rPr>
                <w:rFonts w:ascii="Calibri" w:hAnsi="Calibri"/>
                <w:sz w:val="19"/>
                <w:szCs w:val="19"/>
                <w:lang w:val="en-GB" w:eastAsia="zh-CN"/>
              </w:rPr>
            </w:pPr>
            <w:r w:rsidRPr="00C71B8F">
              <w:rPr>
                <w:rFonts w:ascii="Calibri" w:hAnsi="Calibri"/>
                <w:sz w:val="19"/>
                <w:szCs w:val="19"/>
                <w:lang w:val="en-GB" w:eastAsia="zh-CN"/>
              </w:rPr>
              <w:t xml:space="preserve">Japan 2012,  Ministry of Internal affairs and Communications </w:t>
            </w:r>
            <w:r w:rsidRPr="00C71B8F">
              <w:rPr>
                <w:rFonts w:ascii="Calibri" w:eastAsia="MS Mincho" w:hAnsi="Calibri" w:cs="MS Mincho" w:hint="eastAsia"/>
                <w:i/>
                <w:iCs/>
                <w:sz w:val="19"/>
                <w:szCs w:val="19"/>
                <w:lang w:val="en-GB" w:eastAsia="zh-CN"/>
              </w:rPr>
              <w:t>電波と安心の暮らし</w:t>
            </w:r>
            <w:hyperlink r:id="rId97" w:history="1">
              <w:r w:rsidRPr="00C71B8F">
                <w:rPr>
                  <w:rStyle w:val="Hyperlink"/>
                  <w:rFonts w:ascii="Calibri" w:hAnsi="Calibri"/>
                  <w:i/>
                  <w:iCs/>
                  <w:sz w:val="19"/>
                  <w:szCs w:val="19"/>
                  <w:lang w:val="en-US" w:eastAsia="zh-CN"/>
                </w:rPr>
                <w:t xml:space="preserve"> Radio Waves and Safety</w:t>
              </w:r>
            </w:hyperlink>
            <w:r w:rsidRPr="00C71B8F">
              <w:rPr>
                <w:rFonts w:ascii="Calibri" w:hAnsi="Calibri"/>
                <w:sz w:val="19"/>
                <w:szCs w:val="19"/>
                <w:lang w:val="en-GB" w:eastAsia="zh-CN"/>
              </w:rPr>
              <w:t>; reviewed on 27 September 2012</w:t>
            </w:r>
          </w:p>
        </w:tc>
      </w:tr>
      <w:tr w:rsidR="00FD027D" w:rsidRPr="00C84343" w:rsidTr="000C5108">
        <w:trPr>
          <w:cantSplit/>
          <w:trHeight w:val="20"/>
        </w:trPr>
        <w:tc>
          <w:tcPr>
            <w:tcW w:w="9072" w:type="dxa"/>
            <w:hideMark/>
          </w:tcPr>
          <w:p w:rsidR="00FD027D" w:rsidRPr="00C71B8F" w:rsidRDefault="00FD027D" w:rsidP="00FD027D">
            <w:pPr>
              <w:pStyle w:val="Equation"/>
              <w:numPr>
                <w:ilvl w:val="0"/>
                <w:numId w:val="10"/>
              </w:numPr>
              <w:tabs>
                <w:tab w:val="left" w:pos="1191"/>
                <w:tab w:val="left" w:pos="1588"/>
                <w:tab w:val="left" w:pos="1985"/>
              </w:tabs>
              <w:suppressAutoHyphens/>
              <w:spacing w:before="40" w:after="40"/>
              <w:ind w:left="357" w:hanging="357"/>
              <w:jc w:val="left"/>
              <w:textAlignment w:val="baseline"/>
              <w:rPr>
                <w:rFonts w:ascii="Calibri" w:hAnsi="Calibri"/>
                <w:sz w:val="19"/>
                <w:szCs w:val="19"/>
                <w:lang w:val="en-GB" w:eastAsia="zh-CN"/>
              </w:rPr>
            </w:pPr>
            <w:r w:rsidRPr="00C71B8F">
              <w:rPr>
                <w:rFonts w:ascii="Calibri" w:hAnsi="Calibri"/>
                <w:sz w:val="19"/>
                <w:szCs w:val="19"/>
                <w:lang w:val="en-GB" w:eastAsia="zh-CN"/>
              </w:rPr>
              <w:t>Linhares A., Terada MAB. and Soares</w:t>
            </w:r>
            <w:r w:rsidRPr="00C71B8F">
              <w:rPr>
                <w:rFonts w:ascii="Calibri" w:hAnsi="Calibri"/>
                <w:sz w:val="19"/>
                <w:szCs w:val="19"/>
                <w:lang w:val="en-US" w:eastAsia="zh-CN"/>
              </w:rPr>
              <w:t xml:space="preserve"> AJM 2013, ‘</w:t>
            </w:r>
            <w:hyperlink r:id="rId98" w:history="1">
              <w:r w:rsidRPr="00C71B8F">
                <w:rPr>
                  <w:rStyle w:val="Hyperlink"/>
                  <w:rFonts w:ascii="Calibri" w:hAnsi="Calibri"/>
                  <w:sz w:val="19"/>
                  <w:szCs w:val="19"/>
                  <w:lang w:val="en-US" w:eastAsia="zh-CN"/>
                </w:rPr>
                <w:t>Estimating the Location of Maximum Exposure to Electromagnetic Fields Associated with a Radiocommunication Station</w:t>
              </w:r>
            </w:hyperlink>
            <w:r w:rsidRPr="00C71B8F">
              <w:rPr>
                <w:rFonts w:ascii="Calibri" w:hAnsi="Calibri"/>
                <w:sz w:val="19"/>
                <w:szCs w:val="19"/>
                <w:lang w:val="en-US" w:eastAsia="zh-CN"/>
              </w:rPr>
              <w:t xml:space="preserve">’, </w:t>
            </w:r>
            <w:r w:rsidRPr="00C71B8F">
              <w:rPr>
                <w:rFonts w:ascii="Calibri" w:hAnsi="Calibri"/>
                <w:i/>
                <w:iCs/>
                <w:sz w:val="19"/>
                <w:szCs w:val="19"/>
                <w:lang w:val="en-US" w:eastAsia="zh-CN"/>
              </w:rPr>
              <w:t xml:space="preserve">Journal of Microwaves, Optoelectronics and Electromagnetic Applications, Vol. 12, No. 1, June 2013 </w:t>
            </w:r>
          </w:p>
        </w:tc>
      </w:tr>
      <w:tr w:rsidR="00FD027D" w:rsidRPr="00C84343" w:rsidTr="000C5108">
        <w:trPr>
          <w:cantSplit/>
          <w:trHeight w:val="20"/>
        </w:trPr>
        <w:tc>
          <w:tcPr>
            <w:tcW w:w="9072" w:type="dxa"/>
            <w:hideMark/>
          </w:tcPr>
          <w:p w:rsidR="00FD027D" w:rsidRPr="00C71B8F" w:rsidRDefault="00FD027D" w:rsidP="00FD027D">
            <w:pPr>
              <w:pStyle w:val="Equation"/>
              <w:numPr>
                <w:ilvl w:val="0"/>
                <w:numId w:val="10"/>
              </w:numPr>
              <w:tabs>
                <w:tab w:val="clear" w:pos="794"/>
                <w:tab w:val="left" w:pos="1191"/>
                <w:tab w:val="left" w:pos="1588"/>
                <w:tab w:val="left" w:pos="1985"/>
              </w:tabs>
              <w:suppressAutoHyphens/>
              <w:spacing w:before="40" w:after="40"/>
              <w:ind w:left="357" w:hanging="357"/>
              <w:jc w:val="left"/>
              <w:textAlignment w:val="baseline"/>
              <w:rPr>
                <w:rFonts w:ascii="Calibri" w:hAnsi="Calibri"/>
                <w:snapToGrid w:val="0"/>
                <w:sz w:val="19"/>
                <w:szCs w:val="19"/>
                <w:lang w:val="en-GB" w:eastAsia="zh-CN"/>
              </w:rPr>
            </w:pPr>
            <w:r w:rsidRPr="00C71B8F">
              <w:rPr>
                <w:rFonts w:ascii="Calibri" w:hAnsi="Calibri"/>
                <w:bCs/>
                <w:snapToGrid w:val="0"/>
                <w:sz w:val="19"/>
                <w:szCs w:val="19"/>
                <w:lang w:val="en-GB" w:eastAsia="zh-CN"/>
              </w:rPr>
              <w:t xml:space="preserve">Mazar H. 2009a </w:t>
            </w:r>
            <w:hyperlink r:id="rId99" w:history="1">
              <w:r w:rsidRPr="00C71B8F">
                <w:rPr>
                  <w:rStyle w:val="Hyperlink"/>
                  <w:rFonts w:ascii="Calibri" w:hAnsi="Calibri"/>
                  <w:bCs/>
                  <w:i/>
                  <w:iCs/>
                  <w:snapToGrid w:val="0"/>
                  <w:sz w:val="19"/>
                  <w:szCs w:val="19"/>
                  <w:lang w:val="en-US" w:eastAsia="zh-CN"/>
                </w:rPr>
                <w:t>An Analysis of Regulatory Frameworks for Wireless Communications, Societal Concerns and Risk: the Case of Radio Frequency (RF) Allocation and Licensing</w:t>
              </w:r>
            </w:hyperlink>
            <w:r w:rsidRPr="00C71B8F">
              <w:rPr>
                <w:rFonts w:ascii="Calibri" w:hAnsi="Calibri"/>
                <w:bCs/>
                <w:snapToGrid w:val="0"/>
                <w:sz w:val="19"/>
                <w:szCs w:val="19"/>
                <w:lang w:val="en-GB" w:eastAsia="zh-CN"/>
              </w:rPr>
              <w:t xml:space="preserve">, Boca Raton Florida: Dissertation.Com. </w:t>
            </w:r>
            <w:r w:rsidRPr="00C71B8F">
              <w:rPr>
                <w:rFonts w:ascii="Calibri" w:hAnsi="Calibri"/>
                <w:bCs/>
                <w:snapToGrid w:val="0"/>
                <w:sz w:val="19"/>
                <w:szCs w:val="19"/>
                <w:lang w:val="en-US" w:eastAsia="zh-CN"/>
              </w:rPr>
              <w:t>PhD thesis, Middlesex University, London.</w:t>
            </w:r>
            <w:hyperlink r:id="rId100" w:history="1">
              <w:r w:rsidRPr="00C71B8F">
                <w:rPr>
                  <w:rStyle w:val="Hyperlink"/>
                  <w:rFonts w:ascii="Calibri" w:hAnsi="Calibri"/>
                  <w:i/>
                  <w:iCs/>
                  <w:sz w:val="19"/>
                  <w:szCs w:val="19"/>
                  <w:lang w:val="en-US" w:eastAsia="zh-CN"/>
                </w:rPr>
                <w:t>Guidance on complying with limits for human exposure to electromagnetic fields</w:t>
              </w:r>
            </w:hyperlink>
          </w:p>
        </w:tc>
      </w:tr>
      <w:tr w:rsidR="00FD027D" w:rsidRPr="00C84343" w:rsidTr="000C5108">
        <w:trPr>
          <w:cantSplit/>
          <w:trHeight w:val="20"/>
        </w:trPr>
        <w:tc>
          <w:tcPr>
            <w:tcW w:w="9072" w:type="dxa"/>
            <w:hideMark/>
          </w:tcPr>
          <w:p w:rsidR="00FD027D" w:rsidRPr="00C71B8F" w:rsidRDefault="00FD027D" w:rsidP="00FD027D">
            <w:pPr>
              <w:pStyle w:val="ListParagraph"/>
              <w:numPr>
                <w:ilvl w:val="0"/>
                <w:numId w:val="10"/>
              </w:numPr>
              <w:tabs>
                <w:tab w:val="left" w:pos="794"/>
                <w:tab w:val="left" w:pos="1191"/>
                <w:tab w:val="left" w:pos="1588"/>
                <w:tab w:val="left" w:pos="1985"/>
              </w:tabs>
              <w:suppressAutoHyphens/>
              <w:overflowPunct w:val="0"/>
              <w:autoSpaceDE w:val="0"/>
              <w:spacing w:before="40" w:after="40"/>
              <w:ind w:left="357" w:hanging="357"/>
              <w:textAlignment w:val="baseline"/>
              <w:rPr>
                <w:rFonts w:ascii="Calibri" w:hAnsi="Calibri"/>
                <w:snapToGrid w:val="0"/>
                <w:szCs w:val="19"/>
              </w:rPr>
            </w:pPr>
            <w:r w:rsidRPr="00C71B8F">
              <w:rPr>
                <w:rFonts w:ascii="Calibri" w:hAnsi="Calibri"/>
                <w:snapToGrid w:val="0"/>
                <w:szCs w:val="19"/>
              </w:rPr>
              <w:t>Mazar (Madjar) H. 2009b ‘</w:t>
            </w:r>
            <w:hyperlink r:id="rId101" w:history="1">
              <w:r w:rsidRPr="00C71B8F">
                <w:rPr>
                  <w:rStyle w:val="Hyperlink"/>
                  <w:rFonts w:ascii="Calibri" w:hAnsi="Calibri"/>
                  <w:szCs w:val="19"/>
                  <w:lang w:val="en-CA"/>
                </w:rPr>
                <w:t>A Global Survey and Comparison of Different Regulatory Approaches to Non-Ionizing RADHAZ and Spurious Emissions</w:t>
              </w:r>
            </w:hyperlink>
            <w:r w:rsidRPr="00C71B8F">
              <w:rPr>
                <w:rFonts w:ascii="Calibri" w:hAnsi="Calibri"/>
                <w:snapToGrid w:val="0"/>
                <w:szCs w:val="19"/>
              </w:rPr>
              <w:t xml:space="preserve">‘, </w:t>
            </w:r>
            <w:r w:rsidRPr="00C71B8F">
              <w:rPr>
                <w:rFonts w:ascii="Calibri" w:hAnsi="Calibri"/>
                <w:szCs w:val="19"/>
                <w:lang w:val="en-CA"/>
              </w:rPr>
              <w:t xml:space="preserve">IEEE TelAviv, </w:t>
            </w:r>
            <w:hyperlink r:id="rId102" w:history="1">
              <w:r w:rsidRPr="00C71B8F">
                <w:rPr>
                  <w:rStyle w:val="Hyperlink"/>
                  <w:rFonts w:ascii="Calibri" w:hAnsi="Calibri"/>
                  <w:szCs w:val="19"/>
                  <w:lang w:val="en-CA"/>
                </w:rPr>
                <w:t>COMCAS</w:t>
              </w:r>
            </w:hyperlink>
            <w:r w:rsidRPr="00C71B8F">
              <w:rPr>
                <w:rFonts w:ascii="Calibri" w:hAnsi="Calibri"/>
                <w:szCs w:val="19"/>
                <w:lang w:val="en-CA"/>
              </w:rPr>
              <w:t>, 9 Nov 2009</w:t>
            </w:r>
            <w:hyperlink r:id="rId103" w:history="1">
              <w:r w:rsidRPr="00C71B8F">
                <w:rPr>
                  <w:rStyle w:val="Hyperlink"/>
                  <w:rFonts w:ascii="Calibri" w:hAnsi="Calibri"/>
                  <w:snapToGrid w:val="0"/>
                  <w:szCs w:val="19"/>
                </w:rPr>
                <w:t>http://www.mtt-tpms.org/symposia_v6/COMCAS2009/fileuploads/292-JI4GGWYnIdKk-2.pdf</w:t>
              </w:r>
            </w:hyperlink>
          </w:p>
        </w:tc>
      </w:tr>
      <w:tr w:rsidR="00FD027D" w:rsidRPr="00C84343" w:rsidTr="000C5108">
        <w:trPr>
          <w:cantSplit/>
          <w:trHeight w:val="20"/>
        </w:trPr>
        <w:tc>
          <w:tcPr>
            <w:tcW w:w="9072" w:type="dxa"/>
            <w:hideMark/>
          </w:tcPr>
          <w:p w:rsidR="00FD027D" w:rsidRPr="00C71B8F" w:rsidRDefault="00FD027D" w:rsidP="00FD027D">
            <w:pPr>
              <w:pStyle w:val="Default"/>
              <w:numPr>
                <w:ilvl w:val="0"/>
                <w:numId w:val="10"/>
              </w:numPr>
              <w:tabs>
                <w:tab w:val="left" w:pos="794"/>
                <w:tab w:val="left" w:pos="1191"/>
                <w:tab w:val="left" w:pos="1588"/>
                <w:tab w:val="left" w:pos="1985"/>
              </w:tabs>
              <w:suppressAutoHyphens/>
              <w:overflowPunct w:val="0"/>
              <w:spacing w:before="40" w:after="40"/>
              <w:ind w:left="357" w:hanging="357"/>
              <w:textAlignment w:val="baseline"/>
              <w:rPr>
                <w:rFonts w:ascii="Calibri" w:hAnsi="Calibri"/>
                <w:sz w:val="19"/>
                <w:szCs w:val="19"/>
                <w:lang w:eastAsia="en-GB"/>
              </w:rPr>
            </w:pPr>
            <w:r w:rsidRPr="00C71B8F">
              <w:rPr>
                <w:rFonts w:ascii="Calibri" w:hAnsi="Calibri"/>
                <w:sz w:val="19"/>
                <w:szCs w:val="19"/>
                <w:lang w:eastAsia="zh-CN"/>
              </w:rPr>
              <w:t>Mazar (Madjar) H. 2011 ‘</w:t>
            </w:r>
            <w:hyperlink r:id="rId104" w:history="1">
              <w:r w:rsidRPr="00C71B8F">
                <w:rPr>
                  <w:rStyle w:val="Hyperlink"/>
                  <w:rFonts w:ascii="Calibri" w:hAnsi="Calibri" w:cstheme="majorBidi"/>
                  <w:sz w:val="19"/>
                  <w:szCs w:val="19"/>
                  <w:lang w:eastAsia="zh-CN"/>
                </w:rPr>
                <w:t>A Comparison Between European and North American Wireless Regulations</w:t>
              </w:r>
            </w:hyperlink>
            <w:r w:rsidRPr="00C71B8F">
              <w:rPr>
                <w:rFonts w:ascii="Calibri" w:hAnsi="Calibri"/>
                <w:sz w:val="19"/>
                <w:szCs w:val="19"/>
                <w:lang w:eastAsia="zh-CN"/>
              </w:rPr>
              <w:t xml:space="preserve">’, “Technical Symposium at ITU Telecom World 2011” </w:t>
            </w:r>
            <w:hyperlink r:id="rId105" w:history="1">
              <w:r w:rsidRPr="00C71B8F">
                <w:rPr>
                  <w:rStyle w:val="Hyperlink"/>
                  <w:rFonts w:ascii="Calibri" w:hAnsi="Calibri"/>
                  <w:sz w:val="19"/>
                  <w:szCs w:val="19"/>
                  <w:lang w:eastAsia="zh-CN"/>
                </w:rPr>
                <w:t>www.itu.int/worl2011</w:t>
              </w:r>
            </w:hyperlink>
            <w:r w:rsidRPr="00C71B8F">
              <w:rPr>
                <w:rFonts w:ascii="Calibri" w:hAnsi="Calibri"/>
                <w:sz w:val="19"/>
                <w:szCs w:val="19"/>
                <w:lang w:eastAsia="zh-CN"/>
              </w:rPr>
              <w:t xml:space="preserve"> on 27 October 2011 </w:t>
            </w:r>
          </w:p>
        </w:tc>
      </w:tr>
      <w:tr w:rsidR="00FD027D" w:rsidRPr="00C84343" w:rsidTr="000C5108">
        <w:trPr>
          <w:cantSplit/>
          <w:trHeight w:val="20"/>
        </w:trPr>
        <w:tc>
          <w:tcPr>
            <w:tcW w:w="9072" w:type="dxa"/>
            <w:hideMark/>
          </w:tcPr>
          <w:p w:rsidR="00FD027D" w:rsidRPr="00C71B8F" w:rsidRDefault="00FD027D" w:rsidP="00FD027D">
            <w:pPr>
              <w:pStyle w:val="ListParagraph"/>
              <w:numPr>
                <w:ilvl w:val="0"/>
                <w:numId w:val="10"/>
              </w:numPr>
              <w:tabs>
                <w:tab w:val="left" w:pos="794"/>
                <w:tab w:val="left" w:pos="1191"/>
                <w:tab w:val="left" w:pos="1588"/>
                <w:tab w:val="left" w:pos="1985"/>
              </w:tabs>
              <w:suppressAutoHyphens/>
              <w:overflowPunct w:val="0"/>
              <w:autoSpaceDE w:val="0"/>
              <w:spacing w:before="40" w:after="40"/>
              <w:ind w:left="357" w:hanging="357"/>
              <w:textAlignment w:val="baseline"/>
              <w:rPr>
                <w:rFonts w:ascii="Calibri" w:hAnsi="Calibri"/>
                <w:szCs w:val="19"/>
              </w:rPr>
            </w:pPr>
            <w:r w:rsidRPr="00C71B8F">
              <w:rPr>
                <w:rFonts w:ascii="Calibri" w:hAnsi="Calibri" w:cstheme="majorBidi"/>
                <w:szCs w:val="19"/>
              </w:rPr>
              <w:t xml:space="preserve">MEP (Ministry of Environmental Protection Israel) 2011 </w:t>
            </w:r>
            <w:hyperlink r:id="rId106" w:history="1">
              <w:r w:rsidRPr="00C71B8F">
                <w:rPr>
                  <w:rStyle w:val="Hyperlink"/>
                  <w:rFonts w:ascii="Calibri" w:hAnsi="Calibri" w:cstheme="majorBidi"/>
                  <w:szCs w:val="19"/>
                </w:rPr>
                <w:t>Continuous  Monitoring  of  Cellular Radiation</w:t>
              </w:r>
            </w:hyperlink>
          </w:p>
        </w:tc>
      </w:tr>
      <w:tr w:rsidR="00FD027D" w:rsidRPr="00C84343" w:rsidTr="000C5108">
        <w:trPr>
          <w:cantSplit/>
          <w:trHeight w:val="20"/>
        </w:trPr>
        <w:tc>
          <w:tcPr>
            <w:tcW w:w="9072" w:type="dxa"/>
            <w:hideMark/>
          </w:tcPr>
          <w:p w:rsidR="00FD027D" w:rsidRPr="00FD027D" w:rsidRDefault="00FD027D" w:rsidP="00FD027D">
            <w:pPr>
              <w:pStyle w:val="RegParagraph"/>
              <w:numPr>
                <w:ilvl w:val="0"/>
                <w:numId w:val="10"/>
              </w:numPr>
              <w:tabs>
                <w:tab w:val="left" w:pos="794"/>
                <w:tab w:val="left" w:pos="1191"/>
                <w:tab w:val="left" w:pos="1588"/>
              </w:tabs>
              <w:suppressAutoHyphens/>
              <w:overflowPunct w:val="0"/>
              <w:autoSpaceDE w:val="0"/>
              <w:spacing w:before="40" w:after="40" w:line="240" w:lineRule="auto"/>
              <w:ind w:left="357" w:hanging="357"/>
              <w:textAlignment w:val="baseline"/>
              <w:rPr>
                <w:rFonts w:ascii="Calibri" w:hAnsi="Calibri"/>
                <w:lang w:val="en-US" w:eastAsia="zh-CN" w:bidi="ar-SA"/>
              </w:rPr>
            </w:pPr>
            <w:r w:rsidRPr="00FD027D">
              <w:rPr>
                <w:rFonts w:ascii="Calibri" w:hAnsi="Calibri"/>
                <w:lang w:val="en-US" w:eastAsia="zh-CN" w:bidi="ar-SA"/>
              </w:rPr>
              <w:t xml:space="preserve">NRPB 2004 </w:t>
            </w:r>
            <w:hyperlink r:id="rId107" w:history="1">
              <w:r w:rsidRPr="00FD027D">
                <w:rPr>
                  <w:rStyle w:val="Hyperlink"/>
                  <w:rFonts w:ascii="Calibri" w:hAnsi="Calibri"/>
                  <w:i/>
                  <w:iCs/>
                  <w:lang w:val="en-US" w:eastAsia="zh-CN" w:bidi="ar-SA"/>
                </w:rPr>
                <w:t>Advice on Limiting Exposure to Electromagnetic Fields (0–300 GHz)</w:t>
              </w:r>
            </w:hyperlink>
            <w:r w:rsidRPr="00FD027D">
              <w:rPr>
                <w:rFonts w:ascii="Calibri" w:hAnsi="Calibri"/>
                <w:lang w:val="en-US" w:eastAsia="zh-CN" w:bidi="ar-SA"/>
              </w:rPr>
              <w:t xml:space="preserve"> 15(2) Chilton: NRPB</w:t>
            </w:r>
          </w:p>
        </w:tc>
      </w:tr>
      <w:tr w:rsidR="00FD027D" w:rsidRPr="00C84343" w:rsidTr="000C5108">
        <w:trPr>
          <w:cantSplit/>
          <w:trHeight w:val="20"/>
        </w:trPr>
        <w:tc>
          <w:tcPr>
            <w:tcW w:w="9072" w:type="dxa"/>
            <w:hideMark/>
          </w:tcPr>
          <w:p w:rsidR="00FD027D" w:rsidRPr="00FD027D" w:rsidRDefault="00FD027D" w:rsidP="00FD027D">
            <w:pPr>
              <w:pStyle w:val="RegParagraph"/>
              <w:numPr>
                <w:ilvl w:val="0"/>
                <w:numId w:val="10"/>
              </w:numPr>
              <w:tabs>
                <w:tab w:val="left" w:pos="794"/>
                <w:tab w:val="left" w:pos="1191"/>
                <w:tab w:val="left" w:pos="1588"/>
              </w:tabs>
              <w:suppressAutoHyphens/>
              <w:overflowPunct w:val="0"/>
              <w:autoSpaceDE w:val="0"/>
              <w:spacing w:before="40" w:after="40" w:line="240" w:lineRule="auto"/>
              <w:ind w:left="357" w:hanging="357"/>
              <w:textAlignment w:val="baseline"/>
              <w:rPr>
                <w:rFonts w:ascii="Calibri" w:hAnsi="Calibri"/>
                <w:lang w:val="en-US" w:eastAsia="zh-CN" w:bidi="ar-SA"/>
              </w:rPr>
            </w:pPr>
            <w:r w:rsidRPr="00FD027D">
              <w:rPr>
                <w:rFonts w:ascii="Calibri" w:hAnsi="Calibri"/>
                <w:lang w:val="en-US" w:eastAsia="zh-CN" w:bidi="ar-SA"/>
              </w:rPr>
              <w:t>Salzburg municipal authorities, the Environmental Protection Office; and the company EMC – RF Szentkuti, 2002, ‘</w:t>
            </w:r>
            <w:hyperlink r:id="rId108" w:history="1">
              <w:r w:rsidRPr="00FD027D">
                <w:rPr>
                  <w:rStyle w:val="Hyperlink"/>
                  <w:rFonts w:ascii="Calibri" w:hAnsi="Calibri"/>
                  <w:lang w:val="en-US" w:eastAsia="zh-CN" w:bidi="ar-SA"/>
                </w:rPr>
                <w:t>NIR Exposure of Salzburg: study set up by the Federal Office of Communications in collaboration with the research centre -ARC Seibersdorf research GmbH</w:t>
              </w:r>
            </w:hyperlink>
            <w:r w:rsidRPr="00FD027D">
              <w:rPr>
                <w:rFonts w:ascii="Calibri" w:hAnsi="Calibri"/>
                <w:lang w:val="en-US" w:eastAsia="zh-CN" w:bidi="ar-SA"/>
              </w:rPr>
              <w:t xml:space="preserve">’ </w:t>
            </w:r>
          </w:p>
        </w:tc>
      </w:tr>
      <w:tr w:rsidR="00FD027D" w:rsidRPr="00C84343" w:rsidTr="000C5108">
        <w:trPr>
          <w:cantSplit/>
          <w:trHeight w:val="20"/>
        </w:trPr>
        <w:tc>
          <w:tcPr>
            <w:tcW w:w="9072" w:type="dxa"/>
            <w:hideMark/>
          </w:tcPr>
          <w:p w:rsidR="00FD027D" w:rsidRPr="00C71B8F" w:rsidRDefault="00FD027D" w:rsidP="00FD027D">
            <w:pPr>
              <w:pStyle w:val="ListParagraph"/>
              <w:numPr>
                <w:ilvl w:val="0"/>
                <w:numId w:val="10"/>
              </w:numPr>
              <w:tabs>
                <w:tab w:val="left" w:pos="794"/>
                <w:tab w:val="left" w:pos="1191"/>
                <w:tab w:val="left" w:pos="1588"/>
                <w:tab w:val="left" w:pos="1985"/>
              </w:tabs>
              <w:suppressAutoHyphens/>
              <w:overflowPunct w:val="0"/>
              <w:autoSpaceDE w:val="0"/>
              <w:spacing w:before="40" w:after="40"/>
              <w:ind w:left="357" w:hanging="357"/>
              <w:textAlignment w:val="baseline"/>
              <w:rPr>
                <w:rFonts w:ascii="Calibri" w:hAnsi="Calibri"/>
                <w:szCs w:val="19"/>
              </w:rPr>
            </w:pPr>
            <w:r w:rsidRPr="00C71B8F">
              <w:rPr>
                <w:rFonts w:ascii="Calibri" w:hAnsi="Calibri"/>
                <w:color w:val="000000"/>
                <w:szCs w:val="19"/>
                <w:lang w:eastAsia="en-GB"/>
              </w:rPr>
              <w:t>Stewart  W. 2001 'Mobile Phones and Health'  Chilton: [UK] IEGMP (Independent Expert Group on Mobile Phones)</w:t>
            </w:r>
          </w:p>
        </w:tc>
      </w:tr>
      <w:tr w:rsidR="00FD027D" w:rsidRPr="00C84343" w:rsidTr="000C5108">
        <w:trPr>
          <w:cantSplit/>
          <w:trHeight w:val="20"/>
        </w:trPr>
        <w:tc>
          <w:tcPr>
            <w:tcW w:w="9072" w:type="dxa"/>
            <w:hideMark/>
          </w:tcPr>
          <w:p w:rsidR="00FD027D" w:rsidRPr="00C71B8F" w:rsidRDefault="00FD027D" w:rsidP="00FD027D">
            <w:pPr>
              <w:pStyle w:val="ListParagraph"/>
              <w:numPr>
                <w:ilvl w:val="0"/>
                <w:numId w:val="10"/>
              </w:numPr>
              <w:tabs>
                <w:tab w:val="left" w:pos="794"/>
                <w:tab w:val="left" w:pos="1191"/>
                <w:tab w:val="left" w:pos="1588"/>
                <w:tab w:val="left" w:pos="1985"/>
              </w:tabs>
              <w:suppressAutoHyphens/>
              <w:overflowPunct w:val="0"/>
              <w:autoSpaceDE w:val="0"/>
              <w:spacing w:before="40" w:after="40"/>
              <w:ind w:left="357" w:hanging="357"/>
              <w:textAlignment w:val="baseline"/>
              <w:rPr>
                <w:rFonts w:ascii="Calibri" w:hAnsi="Calibri"/>
                <w:szCs w:val="19"/>
              </w:rPr>
            </w:pPr>
            <w:r w:rsidRPr="00C71B8F">
              <w:rPr>
                <w:rFonts w:ascii="Calibri" w:hAnsi="Calibri"/>
                <w:szCs w:val="19"/>
              </w:rPr>
              <w:t>Viel JF, Clerc S, Barrera C, Rymzhanova R, Moissonnier M, Hours M and Cardis E 2009, ‘</w:t>
            </w:r>
            <w:hyperlink r:id="rId109" w:history="1">
              <w:r w:rsidRPr="00C71B8F">
                <w:rPr>
                  <w:rStyle w:val="Hyperlink"/>
                  <w:rFonts w:ascii="Calibri" w:hAnsi="Calibri"/>
                  <w:szCs w:val="19"/>
                </w:rPr>
                <w:t>Residential exposure to radiofrequency fields from mobile phone base stations, and broadcast transmitters: a population-based survey with personal meter</w:t>
              </w:r>
            </w:hyperlink>
            <w:r w:rsidRPr="00C71B8F">
              <w:rPr>
                <w:rFonts w:ascii="Calibri" w:hAnsi="Calibri"/>
                <w:szCs w:val="19"/>
              </w:rPr>
              <w:t xml:space="preserve">’, </w:t>
            </w:r>
            <w:r w:rsidRPr="00C71B8F">
              <w:rPr>
                <w:rFonts w:ascii="Calibri" w:hAnsi="Calibri"/>
                <w:i/>
                <w:iCs/>
                <w:szCs w:val="19"/>
              </w:rPr>
              <w:t>Occupational &amp; Environmental Medicine,</w:t>
            </w:r>
            <w:r w:rsidRPr="00C71B8F">
              <w:rPr>
                <w:rFonts w:ascii="Calibri" w:hAnsi="Calibri"/>
                <w:szCs w:val="19"/>
              </w:rPr>
              <w:t xml:space="preserve">  vol. 66, pp. 550-6; originally published online 30 Mar 2009, viewed 22 August 2012</w:t>
            </w:r>
          </w:p>
        </w:tc>
      </w:tr>
      <w:tr w:rsidR="00FD027D" w:rsidRPr="00C84343" w:rsidTr="000C5108">
        <w:trPr>
          <w:cantSplit/>
          <w:trHeight w:val="20"/>
        </w:trPr>
        <w:tc>
          <w:tcPr>
            <w:tcW w:w="9072" w:type="dxa"/>
          </w:tcPr>
          <w:p w:rsidR="00FD027D" w:rsidRPr="00C71B8F" w:rsidRDefault="00FD027D" w:rsidP="00FD027D">
            <w:pPr>
              <w:pStyle w:val="ListParagraph"/>
              <w:numPr>
                <w:ilvl w:val="0"/>
                <w:numId w:val="10"/>
              </w:numPr>
              <w:tabs>
                <w:tab w:val="left" w:pos="794"/>
                <w:tab w:val="left" w:pos="1191"/>
                <w:tab w:val="left" w:pos="1588"/>
                <w:tab w:val="left" w:pos="1985"/>
              </w:tabs>
              <w:suppressAutoHyphens/>
              <w:overflowPunct w:val="0"/>
              <w:autoSpaceDE w:val="0"/>
              <w:spacing w:before="40" w:after="40"/>
              <w:ind w:left="357" w:hanging="357"/>
              <w:textAlignment w:val="baseline"/>
              <w:rPr>
                <w:rFonts w:ascii="Calibri" w:hAnsi="Calibri"/>
                <w:snapToGrid w:val="0"/>
                <w:szCs w:val="19"/>
              </w:rPr>
            </w:pPr>
            <w:r w:rsidRPr="00C71B8F">
              <w:rPr>
                <w:rFonts w:ascii="Calibri" w:hAnsi="Calibri"/>
                <w:snapToGrid w:val="0"/>
                <w:szCs w:val="19"/>
              </w:rPr>
              <w:t>WHO (World Health Organisation), 2006,  Fact sheet No 304, Base stations and wireless technologies</w:t>
            </w:r>
          </w:p>
        </w:tc>
      </w:tr>
      <w:tr w:rsidR="00FD027D" w:rsidRPr="00C71B8F" w:rsidTr="000C5108">
        <w:trPr>
          <w:cantSplit/>
          <w:trHeight w:val="20"/>
        </w:trPr>
        <w:tc>
          <w:tcPr>
            <w:tcW w:w="9072" w:type="dxa"/>
            <w:hideMark/>
          </w:tcPr>
          <w:p w:rsidR="00FD027D" w:rsidRPr="00C71B8F" w:rsidRDefault="00FD027D" w:rsidP="00FD027D">
            <w:pPr>
              <w:pStyle w:val="ListParagraph"/>
              <w:numPr>
                <w:ilvl w:val="0"/>
                <w:numId w:val="10"/>
              </w:numPr>
              <w:tabs>
                <w:tab w:val="left" w:pos="794"/>
                <w:tab w:val="left" w:pos="1191"/>
                <w:tab w:val="left" w:pos="1588"/>
                <w:tab w:val="left" w:pos="1985"/>
              </w:tabs>
              <w:suppressAutoHyphens/>
              <w:overflowPunct w:val="0"/>
              <w:autoSpaceDE w:val="0"/>
              <w:spacing w:before="40" w:after="40"/>
              <w:ind w:left="357" w:hanging="357"/>
              <w:textAlignment w:val="baseline"/>
              <w:rPr>
                <w:rFonts w:ascii="Calibri" w:hAnsi="Calibri"/>
                <w:i/>
                <w:iCs/>
                <w:snapToGrid w:val="0"/>
                <w:szCs w:val="19"/>
              </w:rPr>
            </w:pPr>
            <w:r w:rsidRPr="00C71B8F">
              <w:rPr>
                <w:rFonts w:ascii="Calibri" w:hAnsi="Calibri"/>
                <w:snapToGrid w:val="0"/>
                <w:szCs w:val="19"/>
              </w:rPr>
              <w:t xml:space="preserve">WHO  2007 Repacholi M., van Deventer E. and Ravazzani  P. </w:t>
            </w:r>
            <w:hyperlink r:id="rId110" w:history="1">
              <w:r w:rsidRPr="00C71B8F">
                <w:rPr>
                  <w:rStyle w:val="Hyperlink"/>
                  <w:rFonts w:ascii="Calibri" w:hAnsi="Calibri"/>
                  <w:i/>
                  <w:iCs/>
                  <w:snapToGrid w:val="0"/>
                  <w:szCs w:val="19"/>
                </w:rPr>
                <w:t>Base Stations and Wireless Networks: Exposures and Health Consequences</w:t>
              </w:r>
            </w:hyperlink>
          </w:p>
        </w:tc>
      </w:tr>
      <w:tr w:rsidR="00FD027D" w:rsidRPr="00C84343" w:rsidTr="000C5108">
        <w:trPr>
          <w:cantSplit/>
          <w:trHeight w:val="20"/>
        </w:trPr>
        <w:tc>
          <w:tcPr>
            <w:tcW w:w="9072" w:type="dxa"/>
            <w:hideMark/>
          </w:tcPr>
          <w:p w:rsidR="00FD027D" w:rsidRPr="00C71B8F" w:rsidRDefault="00FD027D" w:rsidP="00FD027D">
            <w:pPr>
              <w:pStyle w:val="ListParagraph"/>
              <w:numPr>
                <w:ilvl w:val="0"/>
                <w:numId w:val="10"/>
              </w:numPr>
              <w:tabs>
                <w:tab w:val="left" w:pos="794"/>
                <w:tab w:val="left" w:pos="1191"/>
                <w:tab w:val="left" w:pos="1588"/>
                <w:tab w:val="left" w:pos="1985"/>
              </w:tabs>
              <w:suppressAutoHyphens/>
              <w:overflowPunct w:val="0"/>
              <w:autoSpaceDE w:val="0"/>
              <w:spacing w:before="40" w:after="40"/>
              <w:ind w:left="357" w:hanging="357"/>
              <w:textAlignment w:val="baseline"/>
              <w:rPr>
                <w:rFonts w:ascii="Calibri" w:hAnsi="Calibri"/>
                <w:snapToGrid w:val="0"/>
                <w:szCs w:val="19"/>
              </w:rPr>
            </w:pPr>
            <w:r w:rsidRPr="00C71B8F">
              <w:rPr>
                <w:rFonts w:ascii="Calibri" w:hAnsi="Calibri" w:cs="TimesNewRoman"/>
                <w:color w:val="000000"/>
                <w:szCs w:val="19"/>
              </w:rPr>
              <w:t xml:space="preserve">WHO 2011 Fact sheet No 193 (June 2011), </w:t>
            </w:r>
            <w:hyperlink r:id="rId111" w:history="1">
              <w:r w:rsidRPr="00C71B8F">
                <w:rPr>
                  <w:rStyle w:val="Hyperlink"/>
                  <w:rFonts w:ascii="Calibri" w:hAnsi="Calibri" w:cs="TimesNewRoman,Italic"/>
                  <w:i/>
                  <w:iCs/>
                  <w:szCs w:val="19"/>
                </w:rPr>
                <w:t>Electromagnetic fields and public health: mobilephones</w:t>
              </w:r>
            </w:hyperlink>
            <w:r w:rsidRPr="00C71B8F">
              <w:rPr>
                <w:rFonts w:ascii="Calibri" w:hAnsi="Calibri" w:cs="TimesNewRoman,Italic"/>
                <w:i/>
                <w:iCs/>
                <w:color w:val="000000"/>
                <w:szCs w:val="19"/>
              </w:rPr>
              <w:t xml:space="preserve">, </w:t>
            </w:r>
            <w:hyperlink r:id="rId112" w:history="1">
              <w:r w:rsidRPr="00C71B8F">
                <w:rPr>
                  <w:rStyle w:val="Hyperlink"/>
                  <w:rFonts w:ascii="Calibri" w:hAnsi="Calibri" w:cs="Calibri"/>
                  <w:szCs w:val="19"/>
                </w:rPr>
                <w:t>http://www.who.int/mediacentre/factsheets/fs193/en/index.html</w:t>
              </w:r>
            </w:hyperlink>
            <w:r w:rsidRPr="00C71B8F">
              <w:rPr>
                <w:rFonts w:ascii="Calibri" w:hAnsi="Calibri" w:cs="TimesNewRoman"/>
                <w:color w:val="000000"/>
                <w:szCs w:val="19"/>
              </w:rPr>
              <w:t>]. reviewed 26 Aug 2012</w:t>
            </w:r>
          </w:p>
        </w:tc>
      </w:tr>
      <w:tr w:rsidR="00FD027D" w:rsidRPr="00C71B8F" w:rsidTr="000C5108">
        <w:trPr>
          <w:cantSplit/>
          <w:trHeight w:val="20"/>
        </w:trPr>
        <w:tc>
          <w:tcPr>
            <w:tcW w:w="9072" w:type="dxa"/>
            <w:hideMark/>
          </w:tcPr>
          <w:p w:rsidR="00FD027D" w:rsidRPr="00C71B8F" w:rsidRDefault="00FD027D" w:rsidP="00FD027D">
            <w:pPr>
              <w:pStyle w:val="ListParagraph"/>
              <w:numPr>
                <w:ilvl w:val="0"/>
                <w:numId w:val="10"/>
              </w:numPr>
              <w:tabs>
                <w:tab w:val="left" w:pos="794"/>
                <w:tab w:val="left" w:pos="1191"/>
                <w:tab w:val="left" w:pos="1588"/>
                <w:tab w:val="left" w:pos="1985"/>
              </w:tabs>
              <w:suppressAutoHyphens/>
              <w:overflowPunct w:val="0"/>
              <w:autoSpaceDE w:val="0"/>
              <w:spacing w:before="40" w:after="40"/>
              <w:ind w:left="357" w:hanging="357"/>
              <w:textAlignment w:val="baseline"/>
              <w:rPr>
                <w:rFonts w:ascii="Calibri" w:hAnsi="Calibri"/>
                <w:snapToGrid w:val="0"/>
                <w:szCs w:val="19"/>
              </w:rPr>
            </w:pPr>
            <w:r w:rsidRPr="00C71B8F">
              <w:rPr>
                <w:rFonts w:ascii="Calibri" w:hAnsi="Calibri"/>
                <w:snapToGrid w:val="0"/>
                <w:szCs w:val="19"/>
              </w:rPr>
              <w:t xml:space="preserve">WHO 2012 </w:t>
            </w:r>
            <w:hyperlink r:id="rId113" w:history="1">
              <w:r w:rsidRPr="00C71B8F">
                <w:rPr>
                  <w:rStyle w:val="Hyperlink"/>
                  <w:rFonts w:ascii="Calibri" w:hAnsi="Calibri"/>
                  <w:i/>
                  <w:iCs/>
                  <w:snapToGrid w:val="0"/>
                  <w:szCs w:val="19"/>
                </w:rPr>
                <w:t>EMF worldwide standards</w:t>
              </w:r>
            </w:hyperlink>
          </w:p>
        </w:tc>
      </w:tr>
      <w:tr w:rsidR="00FD027D" w:rsidRPr="00C84343" w:rsidTr="000C5108">
        <w:trPr>
          <w:cantSplit/>
          <w:trHeight w:val="20"/>
        </w:trPr>
        <w:tc>
          <w:tcPr>
            <w:tcW w:w="9072" w:type="dxa"/>
          </w:tcPr>
          <w:p w:rsidR="00FD027D" w:rsidRPr="00C71B8F" w:rsidRDefault="00FD027D" w:rsidP="00FD027D">
            <w:pPr>
              <w:pStyle w:val="ListParagraph"/>
              <w:numPr>
                <w:ilvl w:val="0"/>
                <w:numId w:val="10"/>
              </w:numPr>
              <w:tabs>
                <w:tab w:val="left" w:pos="794"/>
                <w:tab w:val="left" w:pos="1191"/>
                <w:tab w:val="left" w:pos="1588"/>
                <w:tab w:val="left" w:pos="1985"/>
              </w:tabs>
              <w:suppressAutoHyphens/>
              <w:overflowPunct w:val="0"/>
              <w:autoSpaceDE w:val="0"/>
              <w:spacing w:before="40" w:after="40"/>
              <w:textAlignment w:val="baseline"/>
              <w:rPr>
                <w:rFonts w:ascii="Calibri" w:hAnsi="Calibri"/>
                <w:snapToGrid w:val="0"/>
                <w:szCs w:val="19"/>
              </w:rPr>
            </w:pPr>
            <w:r w:rsidRPr="00C71B8F">
              <w:rPr>
                <w:rFonts w:ascii="Calibri" w:hAnsi="Calibri"/>
                <w:snapToGrid w:val="0"/>
                <w:szCs w:val="19"/>
              </w:rPr>
              <w:t>WHO Framework for developing health-based electromagnetic field standards</w:t>
            </w:r>
          </w:p>
        </w:tc>
      </w:tr>
      <w:tr w:rsidR="00FD027D" w:rsidRPr="00C84343" w:rsidTr="000C5108">
        <w:trPr>
          <w:cantSplit/>
          <w:trHeight w:val="20"/>
        </w:trPr>
        <w:tc>
          <w:tcPr>
            <w:tcW w:w="9072" w:type="dxa"/>
            <w:hideMark/>
          </w:tcPr>
          <w:p w:rsidR="00FD027D" w:rsidRPr="00C71B8F" w:rsidRDefault="00FD027D" w:rsidP="00FD027D">
            <w:pPr>
              <w:pStyle w:val="ListParagraph"/>
              <w:numPr>
                <w:ilvl w:val="0"/>
                <w:numId w:val="10"/>
              </w:numPr>
              <w:tabs>
                <w:tab w:val="left" w:pos="794"/>
                <w:tab w:val="left" w:pos="1191"/>
                <w:tab w:val="left" w:pos="1588"/>
                <w:tab w:val="left" w:pos="1985"/>
              </w:tabs>
              <w:suppressAutoHyphens/>
              <w:overflowPunct w:val="0"/>
              <w:autoSpaceDE w:val="0"/>
              <w:spacing w:before="40" w:after="40"/>
              <w:textAlignment w:val="baseline"/>
              <w:rPr>
                <w:rFonts w:ascii="Calibri" w:hAnsi="Calibri"/>
                <w:snapToGrid w:val="0"/>
                <w:szCs w:val="19"/>
              </w:rPr>
            </w:pPr>
            <w:r w:rsidRPr="00C71B8F">
              <w:rPr>
                <w:rFonts w:ascii="Calibri" w:hAnsi="Calibri"/>
                <w:snapToGrid w:val="0"/>
                <w:szCs w:val="19"/>
              </w:rPr>
              <w:t xml:space="preserve">World in 2011: </w:t>
            </w:r>
            <w:hyperlink r:id="rId114" w:history="1">
              <w:r w:rsidRPr="00C71B8F">
                <w:rPr>
                  <w:rStyle w:val="Hyperlink"/>
                  <w:rFonts w:ascii="Calibri" w:hAnsi="Calibri"/>
                  <w:snapToGrid w:val="0"/>
                  <w:szCs w:val="19"/>
                </w:rPr>
                <w:t>ICT Facts and Figures</w:t>
              </w:r>
            </w:hyperlink>
            <w:r w:rsidRPr="00C71B8F">
              <w:rPr>
                <w:rFonts w:ascii="Calibri" w:hAnsi="Calibri"/>
                <w:snapToGrid w:val="0"/>
                <w:szCs w:val="19"/>
              </w:rPr>
              <w:t>, October 2011</w:t>
            </w:r>
          </w:p>
        </w:tc>
      </w:tr>
      <w:tr w:rsidR="00FD027D" w:rsidRPr="00C84343" w:rsidTr="000C5108">
        <w:trPr>
          <w:cantSplit/>
          <w:trHeight w:val="20"/>
        </w:trPr>
        <w:tc>
          <w:tcPr>
            <w:tcW w:w="9072" w:type="dxa"/>
          </w:tcPr>
          <w:p w:rsidR="00FD027D" w:rsidRPr="00C71B8F" w:rsidRDefault="00FD027D" w:rsidP="00FD027D">
            <w:pPr>
              <w:pStyle w:val="ListParagraph"/>
              <w:numPr>
                <w:ilvl w:val="0"/>
                <w:numId w:val="10"/>
              </w:numPr>
              <w:tabs>
                <w:tab w:val="left" w:pos="794"/>
                <w:tab w:val="left" w:pos="1191"/>
                <w:tab w:val="left" w:pos="1588"/>
                <w:tab w:val="left" w:pos="1985"/>
              </w:tabs>
              <w:suppressAutoHyphens/>
              <w:overflowPunct w:val="0"/>
              <w:autoSpaceDE w:val="0"/>
              <w:spacing w:before="40" w:after="40"/>
              <w:textAlignment w:val="baseline"/>
              <w:rPr>
                <w:rFonts w:ascii="Calibri" w:hAnsi="Calibri"/>
                <w:snapToGrid w:val="0"/>
                <w:szCs w:val="19"/>
              </w:rPr>
            </w:pPr>
            <w:r w:rsidRPr="00C71B8F">
              <w:rPr>
                <w:rFonts w:ascii="Calibri" w:hAnsi="Calibri"/>
                <w:snapToGrid w:val="0"/>
                <w:szCs w:val="19"/>
              </w:rPr>
              <w:t xml:space="preserve">World in 2013: </w:t>
            </w:r>
            <w:hyperlink r:id="rId115" w:history="1">
              <w:r w:rsidRPr="00C71B8F">
                <w:rPr>
                  <w:rStyle w:val="Hyperlink"/>
                  <w:rFonts w:ascii="Calibri" w:hAnsi="Calibri"/>
                  <w:snapToGrid w:val="0"/>
                  <w:szCs w:val="19"/>
                </w:rPr>
                <w:t>ICT Facts and Figures</w:t>
              </w:r>
            </w:hyperlink>
            <w:r w:rsidRPr="00C71B8F">
              <w:rPr>
                <w:rFonts w:ascii="Calibri" w:hAnsi="Calibri"/>
                <w:snapToGrid w:val="0"/>
                <w:szCs w:val="19"/>
              </w:rPr>
              <w:t xml:space="preserve">, February 2013 </w:t>
            </w:r>
          </w:p>
        </w:tc>
      </w:tr>
    </w:tbl>
    <w:p w:rsidR="000A71D3" w:rsidRPr="000A67CB" w:rsidRDefault="00FD027D" w:rsidP="00FD027D">
      <w:pPr>
        <w:pStyle w:val="CEOcontributionStart"/>
        <w:spacing w:before="120"/>
        <w:jc w:val="center"/>
        <w:rPr>
          <w:lang w:val="en-US"/>
        </w:rPr>
      </w:pPr>
      <w:r>
        <w:rPr>
          <w:lang w:val="en-US"/>
        </w:rPr>
        <w:t>_____________</w:t>
      </w:r>
    </w:p>
    <w:sectPr w:rsidR="000A71D3" w:rsidRPr="000A67CB" w:rsidSect="00FD027D">
      <w:footerReference w:type="even" r:id="rId116"/>
      <w:footerReference w:type="default" r:id="rId117"/>
      <w:headerReference w:type="first" r:id="rId118"/>
      <w:footerReference w:type="first" r:id="rId119"/>
      <w:endnotePr>
        <w:numFmt w:val="decimal"/>
      </w:endnotePr>
      <w:type w:val="oddPage"/>
      <w:pgSz w:w="11907" w:h="16840" w:code="9"/>
      <w:pgMar w:top="1418" w:right="1418" w:bottom="1418" w:left="1418" w:header="709" w:footer="709" w:gutter="0"/>
      <w:pgNumType w:start="2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C2C" w:rsidRPr="0034180A" w:rsidRDefault="001D7C2C" w:rsidP="00837668">
      <w:pPr>
        <w:pStyle w:val="Footer"/>
      </w:pPr>
    </w:p>
    <w:p w:rsidR="001D7C2C" w:rsidRDefault="001D7C2C"/>
    <w:p w:rsidR="001D7C2C" w:rsidRDefault="001D7C2C"/>
  </w:endnote>
  <w:endnote w:type="continuationSeparator" w:id="0">
    <w:p w:rsidR="001D7C2C" w:rsidRPr="0034180A" w:rsidRDefault="001D7C2C" w:rsidP="00837668">
      <w:pPr>
        <w:pStyle w:val="Footer"/>
      </w:pPr>
    </w:p>
    <w:p w:rsidR="001D7C2C" w:rsidRDefault="001D7C2C"/>
    <w:p w:rsidR="001D7C2C" w:rsidRDefault="001D7C2C"/>
  </w:endnote>
  <w:endnote w:type="continuationNotice" w:id="1">
    <w:p w:rsidR="001D7C2C" w:rsidRDefault="001D7C2C"/>
    <w:p w:rsidR="001D7C2C" w:rsidRDefault="001D7C2C"/>
    <w:p w:rsidR="001D7C2C" w:rsidRDefault="001D7C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fontKey="{2E6CA361-7E0D-49E2-9F54-880F3242ED92}"/>
    <w:embedBold r:id="rId2" w:fontKey="{5C28FACD-DCA3-4097-A931-B88290E7BA1B}"/>
    <w:embedItalic r:id="rId3" w:fontKey="{84357644-A669-4E39-BEB7-39AD24BC563F}"/>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urich UBlkEx BT">
    <w:panose1 w:val="020B0907040502030204"/>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4" w:fontKey="{22C48E13-D9DD-43FA-876C-9685B0D3266C}"/>
    <w:embedBold r:id="rId5" w:fontKey="{146D9AF7-BF45-4808-9B6D-E47DC4DFADD7}"/>
    <w:embedItalic r:id="rId6" w:fontKey="{52928BEE-CEB3-4007-91EC-C0FDA8D049E7}"/>
    <w:embedBoldItalic r:id="rId7" w:fontKey="{E3B2CC41-B630-4619-B53C-47F2C2F0DF39}"/>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Myriad Pro">
    <w:panose1 w:val="020B0503030403020204"/>
    <w:charset w:val="00"/>
    <w:family w:val="swiss"/>
    <w:notTrueType/>
    <w:pitch w:val="variable"/>
    <w:sig w:usb0="20000287" w:usb1="00000001"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VendettaLight">
    <w:panose1 w:val="00000000000000000000"/>
    <w:charset w:val="00"/>
    <w:family w:val="auto"/>
    <w:notTrueType/>
    <w:pitch w:val="default"/>
    <w:sig w:usb0="00000003" w:usb1="00000000" w:usb2="00000000" w:usb3="00000000" w:csb0="00000001" w:csb1="00000000"/>
  </w:font>
  <w:font w:name="VendettaMediumItalic">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embedItalic r:id="rId8" w:subsetted="1" w:fontKey="{70EC58CA-CE90-4188-8D4E-534D1E7AF7A8}"/>
  </w:font>
  <w:font w:name="TimesNewRomanPS-Italic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C2C" w:rsidRPr="00837668" w:rsidRDefault="001D7C2C" w:rsidP="00837668">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C2C" w:rsidRPr="00075AC8" w:rsidRDefault="001D7C2C" w:rsidP="00075AC8">
    <w:pPr>
      <w:pStyle w:val="Footer"/>
    </w:pPr>
    <w:r w:rsidRPr="009E2BB9">
      <w:tab/>
    </w:r>
    <w:r>
      <w:fldChar w:fldCharType="begin"/>
    </w:r>
    <w:r>
      <w:instrText xml:space="preserve"> PAGE </w:instrText>
    </w:r>
    <w:r>
      <w:fldChar w:fldCharType="separate"/>
    </w:r>
    <w:r w:rsidR="009F158C">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C2C" w:rsidRDefault="001D7C2C"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C2C" w:rsidRDefault="001D7C2C" w:rsidP="00821C93">
    <w:pPr>
      <w:pStyle w:val="Footer"/>
      <w:tabs>
        <w:tab w:val="clear" w:pos="9071"/>
      </w:tabs>
      <w:ind w:left="0" w:right="6803"/>
      <w:jc w:val="left"/>
    </w:pPr>
    <w:r>
      <w:fldChar w:fldCharType="begin"/>
    </w:r>
    <w:r>
      <w:instrText xml:space="preserve"> PAGE </w:instrText>
    </w:r>
    <w:r>
      <w:fldChar w:fldCharType="separate"/>
    </w:r>
    <w:r w:rsidR="007E66A3">
      <w:rPr>
        <w:noProof/>
      </w:rPr>
      <w:t>22</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C2C" w:rsidRDefault="001D7C2C" w:rsidP="00821C93">
    <w:pPr>
      <w:pStyle w:val="Footer"/>
    </w:pPr>
    <w:r w:rsidRPr="009E2BB9">
      <w:tab/>
    </w:r>
    <w:r>
      <w:fldChar w:fldCharType="begin"/>
    </w:r>
    <w:r>
      <w:instrText xml:space="preserve"> PAGE </w:instrText>
    </w:r>
    <w:r>
      <w:fldChar w:fldCharType="separate"/>
    </w:r>
    <w:r w:rsidR="007E66A3">
      <w:rPr>
        <w:noProof/>
      </w:rPr>
      <w:t>23</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C2C" w:rsidRPr="000C5108" w:rsidRDefault="001D7C2C" w:rsidP="000C5108">
    <w:pPr>
      <w:pStyle w:val="Footer"/>
      <w:pBdr>
        <w:top w:val="none" w:sz="0" w:space="0" w:color="auto"/>
      </w:pBd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C2C" w:rsidRDefault="001D7C2C" w:rsidP="00821C93">
    <w:pPr>
      <w:pStyle w:val="Footer"/>
      <w:tabs>
        <w:tab w:val="clear" w:pos="9071"/>
      </w:tabs>
      <w:ind w:left="0" w:right="6803"/>
      <w:jc w:val="left"/>
    </w:pPr>
    <w:r>
      <w:fldChar w:fldCharType="begin"/>
    </w:r>
    <w:r>
      <w:instrText xml:space="preserve"> PAGE </w:instrText>
    </w:r>
    <w:r>
      <w:fldChar w:fldCharType="separate"/>
    </w:r>
    <w:r w:rsidR="007E66A3">
      <w:rPr>
        <w:noProof/>
      </w:rPr>
      <w:t>54</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053281"/>
      <w:docPartObj>
        <w:docPartGallery w:val="Page Numbers (Bottom of Page)"/>
        <w:docPartUnique/>
      </w:docPartObj>
    </w:sdtPr>
    <w:sdtEndPr>
      <w:rPr>
        <w:noProof/>
      </w:rPr>
    </w:sdtEndPr>
    <w:sdtContent>
      <w:p w:rsidR="001D7C2C" w:rsidRPr="00FE76B1" w:rsidRDefault="001D7C2C" w:rsidP="000C5108">
        <w:pPr>
          <w:pStyle w:val="Footer"/>
        </w:pPr>
        <w:r w:rsidRPr="009E2BB9">
          <w:tab/>
        </w:r>
        <w:r>
          <w:fldChar w:fldCharType="begin"/>
        </w:r>
        <w:r>
          <w:instrText xml:space="preserve"> PAGE </w:instrText>
        </w:r>
        <w:r>
          <w:fldChar w:fldCharType="separate"/>
        </w:r>
        <w:r w:rsidR="007E66A3">
          <w:rPr>
            <w:noProof/>
          </w:rPr>
          <w:t>53</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831140"/>
      <w:docPartObj>
        <w:docPartGallery w:val="Page Numbers (Bottom of Page)"/>
        <w:docPartUnique/>
      </w:docPartObj>
    </w:sdtPr>
    <w:sdtEndPr>
      <w:rPr>
        <w:noProof/>
      </w:rPr>
    </w:sdtEndPr>
    <w:sdtContent>
      <w:p w:rsidR="001D7C2C" w:rsidRPr="00002906" w:rsidRDefault="001D7C2C" w:rsidP="000C5108">
        <w:pPr>
          <w:pStyle w:val="Footer"/>
        </w:pPr>
        <w:r w:rsidRPr="009E2BB9">
          <w:tab/>
        </w:r>
        <w:r>
          <w:fldChar w:fldCharType="begin"/>
        </w:r>
        <w:r>
          <w:instrText xml:space="preserve"> PAGE </w:instrText>
        </w:r>
        <w:r>
          <w:fldChar w:fldCharType="separate"/>
        </w:r>
        <w:r w:rsidR="007E66A3">
          <w:rPr>
            <w:noProof/>
          </w:rPr>
          <w:t>27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C2C" w:rsidRDefault="001D7C2C" w:rsidP="009319E4">
      <w:pPr>
        <w:spacing w:after="120"/>
      </w:pPr>
      <w:r>
        <w:separator/>
      </w:r>
    </w:p>
  </w:footnote>
  <w:footnote w:type="continuationSeparator" w:id="0">
    <w:p w:rsidR="001D7C2C" w:rsidRDefault="001D7C2C">
      <w:r>
        <w:continuationSeparator/>
      </w:r>
    </w:p>
    <w:p w:rsidR="001D7C2C" w:rsidRDefault="001D7C2C"/>
    <w:p w:rsidR="001D7C2C" w:rsidRDefault="001D7C2C"/>
    <w:p w:rsidR="001D7C2C" w:rsidRDefault="001D7C2C"/>
    <w:p w:rsidR="001D7C2C" w:rsidRDefault="001D7C2C"/>
    <w:p w:rsidR="001D7C2C" w:rsidRDefault="001D7C2C"/>
  </w:footnote>
  <w:footnote w:type="continuationNotice" w:id="1">
    <w:p w:rsidR="001D7C2C" w:rsidRPr="006570A8" w:rsidRDefault="001D7C2C" w:rsidP="006570A8">
      <w:pPr>
        <w:pStyle w:val="Footer"/>
      </w:pPr>
    </w:p>
  </w:footnote>
  <w:footnote w:id="2">
    <w:p w:rsidR="001D7C2C" w:rsidRPr="00D15FE4" w:rsidRDefault="001D7C2C" w:rsidP="0028348F">
      <w:pPr>
        <w:pStyle w:val="FootnoteText"/>
        <w:rPr>
          <w:rFonts w:ascii="Verdana" w:hAnsi="Verdana"/>
          <w:sz w:val="16"/>
          <w:szCs w:val="16"/>
          <w:lang w:val="es-ES_tradnl"/>
        </w:rPr>
      </w:pPr>
      <w:r w:rsidRPr="00D15FE4">
        <w:rPr>
          <w:rStyle w:val="FootnoteReference"/>
          <w:lang w:val="es-ES_tradnl"/>
        </w:rPr>
        <w:footnoteRef/>
      </w:r>
      <w:r w:rsidRPr="00D15FE4">
        <w:rPr>
          <w:rFonts w:ascii="Verdana" w:hAnsi="Verdana"/>
          <w:sz w:val="16"/>
          <w:szCs w:val="16"/>
          <w:lang w:val="es-ES_tradnl"/>
        </w:rPr>
        <w:tab/>
        <w:t>El Mundo en 2011: Hechos y cifras de las TIC, octubre de 2011.</w:t>
      </w:r>
    </w:p>
  </w:footnote>
  <w:footnote w:id="3">
    <w:p w:rsidR="001D7C2C" w:rsidRPr="00C7152A" w:rsidRDefault="001D7C2C" w:rsidP="00D465FD">
      <w:pPr>
        <w:pStyle w:val="FootnoteText"/>
        <w:ind w:left="284" w:hanging="284"/>
        <w:rPr>
          <w:b/>
          <w:bCs/>
          <w:lang w:val="es-ES_tradnl"/>
        </w:rPr>
      </w:pPr>
      <w:r w:rsidRPr="00D15FE4">
        <w:rPr>
          <w:rStyle w:val="FootnoteReference"/>
          <w:lang w:val="es-ES_tradnl"/>
        </w:rPr>
        <w:footnoteRef/>
      </w:r>
      <w:r w:rsidRPr="00D15FE4">
        <w:rPr>
          <w:lang w:val="es-ES_tradnl"/>
        </w:rPr>
        <w:tab/>
        <w:t xml:space="preserve">Taller sobre cuestiones de CEM, Turín (Italia), 9 de mayo de 2013, detalles en </w:t>
      </w:r>
      <w:hyperlink r:id="rId1" w:history="1">
        <w:r w:rsidRPr="00376806">
          <w:rPr>
            <w:rStyle w:val="Hyperlink"/>
            <w:rFonts w:asciiTheme="minorHAnsi" w:hAnsiTheme="minorHAnsi"/>
            <w:bCs/>
            <w:sz w:val="20"/>
            <w:lang w:val="es-ES_tradnl"/>
          </w:rPr>
          <w:t>www.itu.int/en/</w:t>
        </w:r>
        <w:r w:rsidRPr="00376806">
          <w:rPr>
            <w:rStyle w:val="Hyperlink"/>
            <w:rFonts w:asciiTheme="minorHAnsi" w:hAnsiTheme="minorHAnsi"/>
            <w:bCs/>
            <w:sz w:val="20"/>
            <w:lang w:val="es-ES_tradnl"/>
          </w:rPr>
          <w:br/>
          <w:t>ITU</w:t>
        </w:r>
        <w:r w:rsidRPr="00376806">
          <w:rPr>
            <w:rStyle w:val="Hyperlink"/>
            <w:rFonts w:asciiTheme="minorHAnsi" w:hAnsiTheme="minorHAnsi"/>
            <w:bCs/>
            <w:sz w:val="20"/>
            <w:lang w:val="es-ES_tradnl"/>
          </w:rPr>
          <w:noBreakHyphen/>
          <w:t>T/climatechange/emf-1305/Documents/Turin-Call-to-Action.pdf</w:t>
        </w:r>
      </w:hyperlink>
    </w:p>
  </w:footnote>
  <w:footnote w:id="4">
    <w:p w:rsidR="001D7C2C" w:rsidRPr="00D15FE4" w:rsidRDefault="001D7C2C" w:rsidP="00D465FD">
      <w:pPr>
        <w:pStyle w:val="FootnoteText"/>
        <w:ind w:left="284" w:hanging="284"/>
        <w:rPr>
          <w:rFonts w:ascii="Verdana" w:hAnsi="Verdana"/>
          <w:sz w:val="16"/>
          <w:szCs w:val="16"/>
          <w:lang w:val="es-ES_tradnl"/>
        </w:rPr>
      </w:pPr>
      <w:r w:rsidRPr="00D15FE4">
        <w:rPr>
          <w:rStyle w:val="FootnoteReference"/>
          <w:lang w:val="es-ES_tradnl"/>
        </w:rPr>
        <w:footnoteRef/>
      </w:r>
      <w:r w:rsidRPr="00D15FE4">
        <w:rPr>
          <w:rFonts w:ascii="Verdana" w:hAnsi="Verdana"/>
          <w:sz w:val="16"/>
          <w:szCs w:val="16"/>
          <w:lang w:val="es-ES_tradnl"/>
        </w:rPr>
        <w:tab/>
        <w:t>Nota descriptiva de la OMS Nº 193, Los campos electromagnéticos y la salud: los teléfonos móviles, junio de 2011.</w:t>
      </w:r>
    </w:p>
  </w:footnote>
  <w:footnote w:id="5">
    <w:p w:rsidR="001D7C2C" w:rsidRPr="00D15FE4" w:rsidRDefault="001D7C2C" w:rsidP="00D465FD">
      <w:pPr>
        <w:pStyle w:val="FootnoteText"/>
        <w:ind w:left="284" w:hanging="284"/>
        <w:rPr>
          <w:rFonts w:ascii="Verdana" w:hAnsi="Verdana"/>
          <w:sz w:val="16"/>
          <w:szCs w:val="16"/>
          <w:lang w:val="es-ES_tradnl"/>
        </w:rPr>
      </w:pPr>
      <w:r w:rsidRPr="00D15FE4">
        <w:rPr>
          <w:rStyle w:val="FootnoteReference"/>
          <w:lang w:val="es-ES_tradnl"/>
        </w:rPr>
        <w:footnoteRef/>
      </w:r>
      <w:r w:rsidRPr="00D15FE4">
        <w:rPr>
          <w:rFonts w:ascii="Verdana" w:hAnsi="Verdana"/>
          <w:sz w:val="16"/>
          <w:szCs w:val="16"/>
          <w:lang w:val="es-ES_tradnl"/>
        </w:rPr>
        <w:tab/>
        <w:t>Nota descriptiva de la OMS Nº 304, Las estaciones de base y las tecnologías inalámbricas, mayo de 2006.</w:t>
      </w:r>
    </w:p>
  </w:footnote>
  <w:footnote w:id="6">
    <w:p w:rsidR="001D7C2C" w:rsidRPr="00C7152A" w:rsidRDefault="001D7C2C" w:rsidP="00D465FD">
      <w:pPr>
        <w:pStyle w:val="FootnoteText"/>
        <w:ind w:left="284" w:hanging="284"/>
        <w:rPr>
          <w:lang w:val="es-ES_tradnl"/>
        </w:rPr>
      </w:pPr>
      <w:r w:rsidRPr="00D15FE4">
        <w:rPr>
          <w:rStyle w:val="FootnoteReference"/>
          <w:lang w:val="es-ES_tradnl"/>
        </w:rPr>
        <w:footnoteRef/>
      </w:r>
      <w:r w:rsidRPr="00D15FE4">
        <w:rPr>
          <w:lang w:val="es-ES_tradnl"/>
        </w:rPr>
        <w:tab/>
        <w:t xml:space="preserve">Análisis resumido de la encuesta de 2012 de la OMS sobre políticas de gestión del riesgo en lo que respecta a los campos electromagnéticos. Documento de fondo sometido para debate al Seminario Internacional de la OMS sobre Políticas de Radiofrecuencias, 5 de junio de 2013, París (Francia), </w:t>
      </w:r>
      <w:r>
        <w:rPr>
          <w:lang w:val="es-ES_tradnl"/>
        </w:rPr>
        <w:t>m</w:t>
      </w:r>
      <w:r w:rsidRPr="00D15FE4">
        <w:rPr>
          <w:lang w:val="es-ES_tradnl"/>
        </w:rPr>
        <w:t>ayo de 2013. Autores: Denis Zmirou-Navier, Amit Dhungel y Clémence Varret, Departamento de Salud Medioambiental y Profesional, Escuela de altos estudios en salud pública (EHESP) (Francia) y Universidad de Medicina de Lorena, Nancy (Francia).</w:t>
      </w:r>
    </w:p>
  </w:footnote>
  <w:footnote w:id="7">
    <w:p w:rsidR="001D7C2C" w:rsidRPr="00C7152A" w:rsidRDefault="001D7C2C" w:rsidP="00D465FD">
      <w:pPr>
        <w:pStyle w:val="FootnoteText"/>
        <w:ind w:left="284" w:hanging="284"/>
        <w:rPr>
          <w:lang w:val="es-ES_tradnl"/>
        </w:rPr>
      </w:pPr>
      <w:r w:rsidRPr="00C7152A">
        <w:rPr>
          <w:lang w:val="es-ES_tradnl"/>
        </w:rPr>
        <w:footnoteRef/>
      </w:r>
      <w:r>
        <w:rPr>
          <w:lang w:val="es-ES_tradnl"/>
        </w:rPr>
        <w:tab/>
      </w:r>
      <w:r w:rsidRPr="00C7152A">
        <w:rPr>
          <w:lang w:val="es-ES_tradnl"/>
        </w:rPr>
        <w:t>ALARA = As Low As Reasonably Achieveable</w:t>
      </w:r>
      <w:r w:rsidRPr="00D15FE4">
        <w:rPr>
          <w:lang w:val="es-ES_tradnl"/>
        </w:rPr>
        <w:t xml:space="preserve"> (Tan bajo como sea razonablemente posible)</w:t>
      </w:r>
      <w:r>
        <w:rPr>
          <w:lang w:val="es-ES_tradnl"/>
        </w:rPr>
        <w:t>.</w:t>
      </w:r>
    </w:p>
  </w:footnote>
  <w:footnote w:id="8">
    <w:p w:rsidR="001D7C2C" w:rsidRPr="00C7152A" w:rsidRDefault="001D7C2C" w:rsidP="00A313B7">
      <w:pPr>
        <w:pStyle w:val="FootnoteText"/>
        <w:ind w:left="284" w:hanging="284"/>
        <w:rPr>
          <w:lang w:val="es-ES_tradnl"/>
        </w:rPr>
      </w:pPr>
      <w:r w:rsidRPr="00C7152A">
        <w:rPr>
          <w:lang w:val="es-ES_tradnl"/>
        </w:rPr>
        <w:footnoteRef/>
      </w:r>
      <w:r>
        <w:rPr>
          <w:lang w:val="es-ES_tradnl"/>
        </w:rPr>
        <w:tab/>
      </w:r>
      <w:r w:rsidRPr="00D15FE4">
        <w:rPr>
          <w:lang w:val="es-ES_tradnl"/>
        </w:rPr>
        <w:t xml:space="preserve">En el descargo de responsabilidad del proyecto de Informe se indica que: </w:t>
      </w:r>
      <w:r>
        <w:rPr>
          <w:lang w:val="es-ES_tradnl"/>
        </w:rPr>
        <w:t>"</w:t>
      </w:r>
      <w:r w:rsidRPr="00D15FE4">
        <w:rPr>
          <w:lang w:val="es-ES_tradnl"/>
        </w:rPr>
        <w:t xml:space="preserve">La información contenida en el presente proyecto de Informe está basada en las respuestas a la encuesta internacional realizada en 2012; todavía debe ser validada. El material se distribuye sin garantía de ningún tipo, salvo la indicada o implícita. </w:t>
      </w:r>
      <w:r w:rsidRPr="00D15FE4">
        <w:rPr>
          <w:bCs/>
          <w:lang w:val="es-ES_tradnl"/>
        </w:rPr>
        <w:t>Corresponde al lector la responsabilidad por la interpretación y el uso que haga de este material</w:t>
      </w:r>
      <w:r>
        <w:rPr>
          <w:bCs/>
          <w:lang w:val="es-ES_tradnl"/>
        </w:rPr>
        <w:t>"</w:t>
      </w:r>
      <w:r w:rsidRPr="00D15FE4">
        <w:rPr>
          <w:bCs/>
          <w:lang w:val="es-ES_tradnl"/>
        </w:rPr>
        <w:t>.</w:t>
      </w:r>
    </w:p>
  </w:footnote>
  <w:footnote w:id="9">
    <w:p w:rsidR="001D7C2C" w:rsidRPr="00C7152A" w:rsidRDefault="001D7C2C" w:rsidP="00A313B7">
      <w:pPr>
        <w:pStyle w:val="FootnoteText"/>
        <w:ind w:left="284" w:hanging="284"/>
      </w:pPr>
      <w:r w:rsidRPr="00C7152A">
        <w:rPr>
          <w:lang w:val="es-ES_tradnl"/>
        </w:rPr>
        <w:footnoteRef/>
      </w:r>
      <w:r>
        <w:tab/>
      </w:r>
      <w:r w:rsidRPr="00C7152A">
        <w:t>FCC = Federal Communication Commission</w:t>
      </w:r>
      <w:r>
        <w:t>.</w:t>
      </w:r>
    </w:p>
  </w:footnote>
  <w:footnote w:id="10">
    <w:p w:rsidR="001D7C2C" w:rsidRPr="00C7152A" w:rsidRDefault="001D7C2C" w:rsidP="00A313B7">
      <w:pPr>
        <w:pStyle w:val="FootnoteText"/>
        <w:ind w:left="284" w:hanging="284"/>
      </w:pPr>
      <w:r w:rsidRPr="00D15FE4">
        <w:rPr>
          <w:rStyle w:val="FootnoteReference"/>
          <w:lang w:val="es-ES_tradnl"/>
        </w:rPr>
        <w:footnoteRef/>
      </w:r>
      <w:r>
        <w:tab/>
      </w:r>
      <w:r w:rsidRPr="00C7152A">
        <w:t xml:space="preserve">Electromagnetic Fields and Public Health: Cautionary Policies (WHO Backgrounder, </w:t>
      </w:r>
      <w:r>
        <w:t>marzo de</w:t>
      </w:r>
      <w:r w:rsidRPr="00C7152A">
        <w:t xml:space="preserve"> 2000) </w:t>
      </w:r>
      <w:r>
        <w:t xml:space="preserve">disponible </w:t>
      </w:r>
      <w:r w:rsidRPr="00C7152A">
        <w:t xml:space="preserve">en </w:t>
      </w:r>
      <w:hyperlink r:id="rId2" w:history="1">
        <w:r w:rsidRPr="00376806">
          <w:rPr>
            <w:rStyle w:val="Hyperlink"/>
            <w:rFonts w:asciiTheme="minorHAnsi" w:hAnsiTheme="minorHAnsi"/>
            <w:sz w:val="20"/>
          </w:rPr>
          <w:t>www.who.int/docstore/peh-emf/publications/facts_press/EMF-Precaution.htm</w:t>
        </w:r>
      </w:hyperlink>
    </w:p>
  </w:footnote>
  <w:footnote w:id="11">
    <w:p w:rsidR="001D7C2C" w:rsidRPr="00574A00" w:rsidRDefault="001D7C2C" w:rsidP="007F01E8">
      <w:pPr>
        <w:pStyle w:val="FootnoteText"/>
        <w:ind w:left="284" w:hanging="284"/>
      </w:pPr>
      <w:r w:rsidRPr="007F01E8">
        <w:rPr>
          <w:lang w:val="es-ES_tradnl"/>
        </w:rPr>
        <w:footnoteRef/>
      </w:r>
      <w:hyperlink w:history="1">
        <w:r w:rsidRPr="004943DC">
          <w:rPr>
            <w:rStyle w:val="Hyperlink"/>
            <w:u w:val="none"/>
          </w:rPr>
          <w:tab/>
        </w:r>
        <w:r w:rsidRPr="008F1427">
          <w:rPr>
            <w:rStyle w:val="Hyperlink"/>
            <w:rFonts w:asciiTheme="minorHAnsi" w:hAnsiTheme="minorHAnsi"/>
            <w:sz w:val="20"/>
          </w:rPr>
          <w:t>www.sviva.gov.il/subjectsEnv/Radiation/Communication_Facilities/cellular/Documents/</w:t>
        </w:r>
        <w:r w:rsidRPr="008F1427">
          <w:rPr>
            <w:rStyle w:val="Hyperlink"/>
            <w:rFonts w:asciiTheme="minorHAnsi" w:hAnsiTheme="minorHAnsi"/>
            <w:sz w:val="20"/>
          </w:rPr>
          <w:br/>
          <w:t>shidur_selulariim_peilim_1.xls</w:t>
        </w:r>
      </w:hyperlink>
      <w:r w:rsidRPr="00574A00">
        <w:t xml:space="preserve"> </w:t>
      </w:r>
    </w:p>
  </w:footnote>
  <w:footnote w:id="12">
    <w:p w:rsidR="001D7C2C" w:rsidRPr="00C7152A" w:rsidRDefault="001D7C2C" w:rsidP="00166A4E">
      <w:pPr>
        <w:pStyle w:val="FootnoteText"/>
        <w:ind w:left="284" w:hanging="284"/>
        <w:rPr>
          <w:rFonts w:ascii="Verdana" w:hAnsi="Verdana"/>
        </w:rPr>
      </w:pPr>
      <w:r w:rsidRPr="00D15FE4">
        <w:rPr>
          <w:rStyle w:val="FootnoteReference"/>
          <w:rFonts w:ascii="Verdana" w:hAnsi="Verdana"/>
          <w:lang w:val="es-ES_tradnl"/>
        </w:rPr>
        <w:footnoteRef/>
      </w:r>
      <w:r>
        <w:rPr>
          <w:rFonts w:ascii="Verdana" w:hAnsi="Verdana"/>
        </w:rPr>
        <w:tab/>
      </w:r>
      <w:r w:rsidRPr="00031132">
        <w:t>a) Journey to EMF, en</w:t>
      </w:r>
      <w:r w:rsidRPr="00C7152A">
        <w:rPr>
          <w:rFonts w:ascii="Verdana" w:hAnsi="Verdana"/>
        </w:rPr>
        <w:t xml:space="preserve"> </w:t>
      </w:r>
      <w:hyperlink r:id="rId3" w:history="1">
        <w:r>
          <w:rPr>
            <w:rStyle w:val="Hyperlink"/>
            <w:rFonts w:asciiTheme="minorHAnsi" w:hAnsiTheme="minorHAnsi"/>
            <w:sz w:val="20"/>
          </w:rPr>
          <w:t>www</w:t>
        </w:r>
        <w:r w:rsidRPr="00CB089B">
          <w:rPr>
            <w:rStyle w:val="Hyperlink"/>
            <w:rFonts w:asciiTheme="minorHAnsi" w:hAnsiTheme="minorHAnsi"/>
            <w:sz w:val="20"/>
          </w:rPr>
          <w:t>.dot.gov.in/access-services/journey-emf</w:t>
        </w:r>
      </w:hyperlink>
      <w:r w:rsidRPr="00C7152A">
        <w:rPr>
          <w:rFonts w:ascii="Verdana" w:hAnsi="Verdana"/>
        </w:rPr>
        <w:t xml:space="preserve">, </w:t>
      </w:r>
    </w:p>
    <w:p w:rsidR="001D7C2C" w:rsidRPr="00D15FE4" w:rsidRDefault="001D7C2C" w:rsidP="00166A4E">
      <w:pPr>
        <w:pStyle w:val="FootnoteText"/>
        <w:ind w:left="284" w:hanging="284"/>
        <w:jc w:val="left"/>
        <w:rPr>
          <w:rFonts w:ascii="Verdana" w:hAnsi="Verdana"/>
          <w:lang w:val="es-ES_tradnl"/>
        </w:rPr>
      </w:pPr>
      <w:r w:rsidRPr="0045440D">
        <w:tab/>
      </w:r>
      <w:r w:rsidRPr="00134C36">
        <w:rPr>
          <w:lang w:val="es-ES_tradnl"/>
        </w:rPr>
        <w:t>b) Nuevos valores de SAR efectivos a partir del 1.9.2012, en</w:t>
      </w:r>
      <w:r w:rsidRPr="00D15FE4">
        <w:rPr>
          <w:rFonts w:ascii="Verdana" w:hAnsi="Verdana"/>
          <w:lang w:val="es-ES_tradnl"/>
        </w:rPr>
        <w:t xml:space="preserve"> </w:t>
      </w:r>
      <w:hyperlink r:id="rId4" w:history="1">
        <w:r w:rsidRPr="008F1427">
          <w:rPr>
            <w:rStyle w:val="Hyperlink"/>
            <w:rFonts w:asciiTheme="minorHAnsi" w:hAnsiTheme="minorHAnsi"/>
            <w:sz w:val="20"/>
            <w:lang w:val="es-ES_tradnl"/>
          </w:rPr>
          <w:t>www.dot.gov.in/sites/default/files/Revision%20</w:t>
        </w:r>
        <w:r w:rsidRPr="008F1427">
          <w:rPr>
            <w:rStyle w:val="Hyperlink"/>
            <w:rFonts w:asciiTheme="minorHAnsi" w:hAnsiTheme="minorHAnsi"/>
            <w:sz w:val="20"/>
            <w:lang w:val="es-ES_tradnl"/>
          </w:rPr>
          <w:br/>
          <w:t>of%20SAR%20Limit%20mobile%20handsets.pdf</w:t>
        </w:r>
      </w:hyperlink>
    </w:p>
    <w:p w:rsidR="001D7C2C" w:rsidRPr="00134C36" w:rsidRDefault="001D7C2C" w:rsidP="00166A4E">
      <w:pPr>
        <w:pStyle w:val="FootnoteText"/>
        <w:ind w:left="284" w:hanging="284"/>
        <w:jc w:val="left"/>
        <w:rPr>
          <w:lang w:val="es-ES_tradnl"/>
        </w:rPr>
      </w:pPr>
      <w:r>
        <w:rPr>
          <w:lang w:val="es-ES_tradnl"/>
        </w:rPr>
        <w:tab/>
      </w:r>
      <w:r w:rsidRPr="00134C36">
        <w:rPr>
          <w:lang w:val="es-ES_tradnl"/>
        </w:rPr>
        <w:t xml:space="preserve">c) Revisión de límites de exposición efectiva a partir del 1.9.2012 </w:t>
      </w:r>
    </w:p>
    <w:p w:rsidR="001D7C2C" w:rsidRPr="00D15FE4" w:rsidRDefault="001D7C2C" w:rsidP="00166A4E">
      <w:pPr>
        <w:pStyle w:val="FootnoteText"/>
        <w:ind w:left="284" w:hanging="284"/>
        <w:jc w:val="left"/>
        <w:rPr>
          <w:rFonts w:ascii="Verdana" w:hAnsi="Verdana"/>
          <w:lang w:val="es-ES_tradnl"/>
        </w:rPr>
      </w:pPr>
      <w:r>
        <w:rPr>
          <w:lang w:val="es-ES_tradnl"/>
        </w:rPr>
        <w:tab/>
      </w:r>
      <w:r w:rsidRPr="00134C36">
        <w:rPr>
          <w:lang w:val="es-ES_tradnl"/>
        </w:rPr>
        <w:t>d) Directrices de asesoramiento revisadas sobre instalación de torres móviles efectivas a partir del 1.8.2013</w:t>
      </w:r>
      <w:r w:rsidRPr="00D15FE4">
        <w:rPr>
          <w:rFonts w:ascii="Verdana" w:hAnsi="Verdana"/>
          <w:lang w:val="es-ES_tradnl"/>
        </w:rPr>
        <w:t xml:space="preserve"> </w:t>
      </w:r>
      <w:hyperlink r:id="rId5" w:history="1">
        <w:r w:rsidRPr="008F1427">
          <w:rPr>
            <w:rStyle w:val="Hyperlink"/>
            <w:rFonts w:asciiTheme="minorHAnsi" w:hAnsiTheme="minorHAnsi"/>
            <w:sz w:val="20"/>
            <w:lang w:val="es-ES_tradnl"/>
          </w:rPr>
          <w:t>www.dot.gov.in/sites/default/files/Advisory%20Guidelines%20For%20State%20Govts%20effective%20from%2001-08-13.pdf</w:t>
        </w:r>
      </w:hyperlink>
    </w:p>
    <w:p w:rsidR="001D7C2C" w:rsidRPr="00C7152A" w:rsidRDefault="001D7C2C" w:rsidP="00166A4E">
      <w:pPr>
        <w:pStyle w:val="FootnoteText"/>
        <w:ind w:left="284" w:hanging="284"/>
        <w:jc w:val="left"/>
        <w:rPr>
          <w:rFonts w:ascii="Verdana" w:hAnsi="Verdana"/>
        </w:rPr>
      </w:pPr>
      <w:r w:rsidRPr="0045440D">
        <w:rPr>
          <w:lang w:val="es-ES_tradnl"/>
        </w:rPr>
        <w:tab/>
      </w:r>
      <w:r w:rsidRPr="00031132">
        <w:t>e) Precautionary Guidelines on Mobile Handset usage</w:t>
      </w:r>
    </w:p>
    <w:p w:rsidR="001D7C2C" w:rsidRPr="00C7152A" w:rsidRDefault="001D7C2C" w:rsidP="00166A4E">
      <w:pPr>
        <w:pStyle w:val="FootnoteText"/>
        <w:ind w:left="284" w:hanging="284"/>
        <w:jc w:val="left"/>
        <w:rPr>
          <w:rFonts w:ascii="Verdana" w:hAnsi="Verdana"/>
        </w:rPr>
      </w:pPr>
      <w:r>
        <w:tab/>
      </w:r>
      <w:hyperlink r:id="rId6" w:history="1">
        <w:r>
          <w:rPr>
            <w:rStyle w:val="Hyperlink"/>
            <w:rFonts w:asciiTheme="minorHAnsi" w:hAnsiTheme="minorHAnsi"/>
            <w:sz w:val="20"/>
          </w:rPr>
          <w:t>www</w:t>
        </w:r>
        <w:r w:rsidRPr="00CB089B">
          <w:rPr>
            <w:rStyle w:val="Hyperlink"/>
            <w:rFonts w:asciiTheme="minorHAnsi" w:hAnsiTheme="minorHAnsi"/>
            <w:sz w:val="20"/>
          </w:rPr>
          <w:t>.dot.gov.in/sites/default/files/Precautionary%20Guidelines%20for%20mobile%20Users.pdf</w:t>
        </w:r>
      </w:hyperlink>
    </w:p>
    <w:p w:rsidR="001D7C2C" w:rsidRPr="00C7152A" w:rsidRDefault="001D7C2C" w:rsidP="00166A4E">
      <w:pPr>
        <w:pStyle w:val="FootnoteText"/>
        <w:ind w:left="284" w:hanging="284"/>
        <w:jc w:val="left"/>
        <w:rPr>
          <w:rFonts w:ascii="Verdana" w:hAnsi="Verdana"/>
        </w:rPr>
      </w:pPr>
      <w:r>
        <w:tab/>
      </w:r>
      <w:r w:rsidRPr="00031132">
        <w:t>f) Handbook on Mobile Communication – Radio Waves and Safety</w:t>
      </w:r>
    </w:p>
    <w:p w:rsidR="001D7C2C" w:rsidRPr="00C7152A" w:rsidRDefault="001D7C2C" w:rsidP="00166A4E">
      <w:pPr>
        <w:pStyle w:val="FootnoteText"/>
        <w:ind w:left="284" w:hanging="284"/>
        <w:jc w:val="left"/>
        <w:rPr>
          <w:rFonts w:ascii="Verdana" w:hAnsi="Verdana"/>
        </w:rPr>
      </w:pPr>
      <w:r>
        <w:tab/>
      </w:r>
      <w:hyperlink r:id="rId7" w:history="1">
        <w:r>
          <w:rPr>
            <w:rStyle w:val="Hyperlink"/>
            <w:rFonts w:asciiTheme="minorHAnsi" w:hAnsiTheme="minorHAnsi"/>
            <w:sz w:val="20"/>
          </w:rPr>
          <w:t>www</w:t>
        </w:r>
        <w:r w:rsidRPr="00CB089B">
          <w:rPr>
            <w:rStyle w:val="Hyperlink"/>
            <w:rFonts w:asciiTheme="minorHAnsi" w:hAnsiTheme="minorHAnsi"/>
            <w:sz w:val="20"/>
          </w:rPr>
          <w:t>.dot.gov.in/sites/default/files/Mobile%20Communication-Radio%20Waves%20and%20Safety%2010th%20sept%2012%20final.pdf</w:t>
        </w:r>
      </w:hyperlink>
    </w:p>
    <w:p w:rsidR="001D7C2C" w:rsidRPr="00031132" w:rsidRDefault="001D7C2C" w:rsidP="00166A4E">
      <w:pPr>
        <w:pStyle w:val="FootnoteText"/>
        <w:ind w:left="284" w:hanging="284"/>
        <w:jc w:val="left"/>
      </w:pPr>
      <w:r>
        <w:tab/>
      </w:r>
      <w:r w:rsidRPr="00031132">
        <w:t xml:space="preserve">g) TEC Test Procedures for Mobile Handsets, </w:t>
      </w:r>
      <w:r>
        <w:t>www</w:t>
      </w:r>
      <w:r w:rsidRPr="00031132">
        <w:t>.dot.gov.in/sites/default/files/SAR%20Testing.pdf</w:t>
      </w:r>
    </w:p>
    <w:p w:rsidR="001D7C2C" w:rsidRPr="00C7152A" w:rsidRDefault="001D7C2C" w:rsidP="00166A4E">
      <w:pPr>
        <w:pStyle w:val="FootnoteText"/>
        <w:ind w:left="284" w:hanging="284"/>
        <w:jc w:val="left"/>
        <w:rPr>
          <w:rFonts w:ascii="Verdana" w:hAnsi="Verdana"/>
        </w:rPr>
      </w:pPr>
      <w:r>
        <w:tab/>
      </w:r>
      <w:r w:rsidRPr="00031132">
        <w:t>h) Measurement of EMF Exposure for BTS Antennas,</w:t>
      </w:r>
      <w:r w:rsidRPr="00C7152A">
        <w:rPr>
          <w:rFonts w:ascii="Verdana" w:hAnsi="Verdana"/>
        </w:rPr>
        <w:t xml:space="preserve"> </w:t>
      </w:r>
      <w:hyperlink r:id="rId8" w:history="1">
        <w:r>
          <w:rPr>
            <w:rStyle w:val="Hyperlink"/>
            <w:rFonts w:asciiTheme="minorHAnsi" w:hAnsiTheme="minorHAnsi"/>
            <w:sz w:val="20"/>
          </w:rPr>
          <w:t>www</w:t>
        </w:r>
        <w:r w:rsidRPr="00CB089B">
          <w:rPr>
            <w:rStyle w:val="Hyperlink"/>
            <w:rFonts w:asciiTheme="minorHAnsi" w:hAnsiTheme="minorHAnsi"/>
            <w:sz w:val="20"/>
          </w:rPr>
          <w:t>.dot.gov.in/sites/default/files/TEC%20Test%20Procedure%20EMFields%20From%20BTS%20Antennae.pdf</w:t>
        </w:r>
      </w:hyperlink>
      <w:r w:rsidRPr="00C7152A">
        <w:rPr>
          <w:rFonts w:ascii="Verdana" w:hAnsi="Verdana"/>
        </w:rPr>
        <w:t xml:space="preserve"> </w:t>
      </w:r>
    </w:p>
    <w:p w:rsidR="001D7C2C" w:rsidRPr="00031132" w:rsidRDefault="001D7C2C" w:rsidP="00166A4E">
      <w:pPr>
        <w:pStyle w:val="FootnoteText"/>
        <w:ind w:left="284" w:hanging="284"/>
        <w:jc w:val="left"/>
      </w:pPr>
      <w:r>
        <w:tab/>
      </w:r>
      <w:r w:rsidRPr="00031132">
        <w:t>i) EMF Complaint Handling System</w:t>
      </w:r>
    </w:p>
    <w:p w:rsidR="001D7C2C" w:rsidRPr="00C7152A" w:rsidRDefault="001D7C2C" w:rsidP="00166A4E">
      <w:pPr>
        <w:pStyle w:val="FootnoteText"/>
        <w:ind w:left="284" w:hanging="284"/>
        <w:jc w:val="left"/>
        <w:rPr>
          <w:rFonts w:ascii="Verdana" w:hAnsi="Verdana"/>
        </w:rPr>
      </w:pPr>
      <w:r>
        <w:tab/>
      </w:r>
      <w:r w:rsidRPr="00031132">
        <w:t>j) Notice inviting R&amp;D proposals on EMF</w:t>
      </w:r>
    </w:p>
    <w:p w:rsidR="001D7C2C" w:rsidRPr="00C7152A" w:rsidRDefault="001D7C2C" w:rsidP="00166A4E">
      <w:pPr>
        <w:pStyle w:val="FootnoteText"/>
        <w:ind w:left="284" w:hanging="284"/>
        <w:jc w:val="left"/>
        <w:rPr>
          <w:rFonts w:ascii="Verdana" w:hAnsi="Verdana"/>
        </w:rPr>
      </w:pPr>
      <w:r>
        <w:tab/>
      </w:r>
      <w:hyperlink r:id="rId9" w:history="1">
        <w:r>
          <w:rPr>
            <w:rStyle w:val="Hyperlink"/>
            <w:rFonts w:asciiTheme="minorHAnsi" w:hAnsiTheme="minorHAnsi"/>
            <w:sz w:val="20"/>
          </w:rPr>
          <w:t>www</w:t>
        </w:r>
        <w:r w:rsidRPr="00CB089B">
          <w:rPr>
            <w:rStyle w:val="Hyperlink"/>
            <w:rFonts w:asciiTheme="minorHAnsi" w:hAnsiTheme="minorHAnsi"/>
            <w:sz w:val="20"/>
          </w:rPr>
          <w:t>.dot.gov.in/sites/default/files/748%20circular.pdf</w:t>
        </w:r>
      </w:hyperlink>
      <w:r w:rsidRPr="00C7152A">
        <w:rPr>
          <w:rFonts w:ascii="Verdana" w:hAnsi="Verdana"/>
        </w:rPr>
        <w:t xml:space="preserve"> </w:t>
      </w:r>
    </w:p>
    <w:p w:rsidR="001D7C2C" w:rsidRPr="00D15FE4" w:rsidRDefault="001D7C2C" w:rsidP="00166A4E">
      <w:pPr>
        <w:pStyle w:val="FootnoteText"/>
        <w:ind w:left="284" w:hanging="284"/>
        <w:jc w:val="left"/>
        <w:rPr>
          <w:rFonts w:ascii="Verdana" w:hAnsi="Verdana"/>
          <w:lang w:val="es-ES_tradnl"/>
        </w:rPr>
      </w:pPr>
      <w:r w:rsidRPr="0045440D">
        <w:tab/>
      </w:r>
      <w:r w:rsidRPr="00134C36">
        <w:rPr>
          <w:lang w:val="es-ES_tradnl"/>
        </w:rPr>
        <w:t>k) En la presentación realizada por la India en Turín (Italia) en el taller de la UIT sobre CEM el 9 de mayo de 2013 indicada a continuación también contiene un nuevo conjunto de contribuciones sobre perspectiva general y cumplimiento de políticas sobre CEM – Overview of Indian Policy - “Electro Magnetic Field(EMF) Radiation from Mobile Towers &amp; Handsets”,</w:t>
      </w:r>
      <w:r w:rsidRPr="00D15FE4">
        <w:rPr>
          <w:rFonts w:ascii="Verdana" w:hAnsi="Verdana"/>
          <w:lang w:val="es-ES_tradnl"/>
        </w:rPr>
        <w:t xml:space="preserve"> </w:t>
      </w:r>
      <w:hyperlink r:id="rId10" w:history="1">
        <w:r>
          <w:rPr>
            <w:rStyle w:val="Hyperlink"/>
            <w:rFonts w:asciiTheme="minorHAnsi" w:hAnsiTheme="minorHAnsi"/>
            <w:sz w:val="20"/>
            <w:lang w:val="es-ES_tradnl"/>
          </w:rPr>
          <w:t>www</w:t>
        </w:r>
        <w:r w:rsidRPr="00031132">
          <w:rPr>
            <w:rStyle w:val="Hyperlink"/>
            <w:rFonts w:asciiTheme="minorHAnsi" w:hAnsiTheme="minorHAnsi"/>
            <w:sz w:val="20"/>
            <w:lang w:val="es-ES_tradnl"/>
          </w:rPr>
          <w:t>.itu.int/en/ITU-T/climatechange/emf-1305/Documents/Presentations/s2part2p3-RKBhatnagar.pdf</w:t>
        </w:r>
      </w:hyperlink>
      <w:r w:rsidRPr="00D15FE4">
        <w:rPr>
          <w:rFonts w:ascii="Verdana" w:hAnsi="Verdana"/>
          <w:lang w:val="es-ES_tradnl"/>
        </w:rPr>
        <w:t xml:space="preserve"> </w:t>
      </w:r>
      <w:r w:rsidRPr="00134C36">
        <w:rPr>
          <w:lang w:val="es-ES_tradnl"/>
        </w:rPr>
        <w:t>and - Indian study results on EMF compliance Networks and Devices,</w:t>
      </w:r>
      <w:r w:rsidRPr="00D15FE4">
        <w:rPr>
          <w:rFonts w:ascii="Verdana" w:hAnsi="Verdana"/>
          <w:lang w:val="es-ES_tradnl"/>
        </w:rPr>
        <w:t xml:space="preserve"> </w:t>
      </w:r>
      <w:hyperlink r:id="rId11" w:history="1">
        <w:r>
          <w:rPr>
            <w:rStyle w:val="Hyperlink"/>
            <w:rFonts w:asciiTheme="minorHAnsi" w:hAnsiTheme="minorHAnsi"/>
            <w:sz w:val="20"/>
            <w:lang w:val="es-ES_tradnl"/>
          </w:rPr>
          <w:t>www</w:t>
        </w:r>
        <w:r w:rsidRPr="00031132">
          <w:rPr>
            <w:rStyle w:val="Hyperlink"/>
            <w:rFonts w:asciiTheme="minorHAnsi" w:hAnsiTheme="minorHAnsi"/>
            <w:sz w:val="20"/>
            <w:lang w:val="es-ES_tradnl"/>
          </w:rPr>
          <w:t>.itu.int/en/ITU-T/climatechange/emf-1305/Documents/Presentations/s3p5-RKBhatnagar.pdf</w:t>
        </w:r>
      </w:hyperlink>
      <w:r w:rsidRPr="00031132">
        <w:rPr>
          <w:rStyle w:val="Hyperlink"/>
          <w:rFonts w:asciiTheme="minorHAnsi" w:hAnsiTheme="minorHAnsi"/>
          <w:sz w:val="20"/>
          <w:lang w:val="es-ES_tradnl"/>
        </w:rPr>
        <w:t xml:space="preserve"> </w:t>
      </w:r>
    </w:p>
  </w:footnote>
  <w:footnote w:id="13">
    <w:p w:rsidR="001D7C2C" w:rsidRPr="00283C78" w:rsidRDefault="001D7C2C" w:rsidP="00283C78">
      <w:pPr>
        <w:pStyle w:val="FootnoteText"/>
        <w:ind w:left="284" w:hanging="284"/>
        <w:rPr>
          <w:rFonts w:asciiTheme="minorHAnsi" w:hAnsiTheme="minorHAnsi"/>
          <w:lang w:val="es-ES_tradnl"/>
        </w:rPr>
      </w:pPr>
      <w:r w:rsidRPr="00283C78">
        <w:rPr>
          <w:rStyle w:val="FootnoteReference"/>
          <w:rFonts w:asciiTheme="minorHAnsi" w:hAnsiTheme="minorHAnsi" w:cs="Arial"/>
          <w:color w:val="000000" w:themeColor="text1"/>
          <w:sz w:val="18"/>
          <w:lang w:val="es-ES_tradnl"/>
        </w:rPr>
        <w:footnoteRef/>
      </w:r>
      <w:r>
        <w:rPr>
          <w:rFonts w:asciiTheme="minorHAnsi" w:hAnsiTheme="minorHAnsi"/>
          <w:lang w:val="es-ES_tradnl"/>
        </w:rPr>
        <w:tab/>
      </w:r>
      <w:r w:rsidRPr="00283C78">
        <w:rPr>
          <w:rFonts w:asciiTheme="minorHAnsi" w:hAnsiTheme="minorHAnsi"/>
          <w:lang w:val="es-ES_tradnl"/>
        </w:rPr>
        <w:t xml:space="preserve">OMS, Marco para el Desarrollo de Estándares de CEM Basados en la Salud, 2006, en </w:t>
      </w:r>
      <w:hyperlink r:id="rId12" w:history="1">
        <w:r w:rsidRPr="00283C78">
          <w:rPr>
            <w:rStyle w:val="Hyperlink"/>
            <w:rFonts w:asciiTheme="minorHAnsi" w:hAnsiTheme="minorHAnsi"/>
            <w:lang w:val="es-ES_tradnl"/>
          </w:rPr>
          <w:t>www.who.int/peh-emf/standards/framework/en/index.html</w:t>
        </w:r>
      </w:hyperlink>
    </w:p>
  </w:footnote>
  <w:footnote w:id="14">
    <w:p w:rsidR="001D7C2C" w:rsidRPr="00283C78" w:rsidRDefault="001D7C2C" w:rsidP="00283C78">
      <w:pPr>
        <w:pStyle w:val="FootnoteText"/>
        <w:ind w:left="284" w:hanging="284"/>
        <w:rPr>
          <w:rFonts w:asciiTheme="minorHAnsi" w:hAnsiTheme="minorHAnsi"/>
          <w:lang w:val="es-ES_tradnl"/>
        </w:rPr>
      </w:pPr>
      <w:r w:rsidRPr="00283C78">
        <w:rPr>
          <w:rStyle w:val="FootnoteReference"/>
          <w:rFonts w:asciiTheme="minorHAnsi" w:hAnsiTheme="minorHAnsi" w:cs="Arial"/>
          <w:color w:val="000000" w:themeColor="text1"/>
          <w:sz w:val="18"/>
          <w:lang w:val="es-ES_tradnl"/>
        </w:rPr>
        <w:footnoteRef/>
      </w:r>
      <w:r w:rsidRPr="00283C78">
        <w:rPr>
          <w:rFonts w:asciiTheme="minorHAnsi" w:hAnsiTheme="minorHAnsi"/>
          <w:lang w:val="es-ES_tradnl"/>
        </w:rPr>
        <w:t xml:space="preserve"> </w:t>
      </w:r>
      <w:r>
        <w:rPr>
          <w:rFonts w:asciiTheme="minorHAnsi" w:hAnsiTheme="minorHAnsi"/>
          <w:lang w:val="es-ES_tradnl"/>
        </w:rPr>
        <w:tab/>
      </w:r>
      <w:r w:rsidRPr="00283C78">
        <w:rPr>
          <w:rFonts w:asciiTheme="minorHAnsi" w:hAnsiTheme="minorHAnsi"/>
          <w:lang w:val="es-ES_tradnl"/>
        </w:rPr>
        <w:t>UIT, Orientación sobre el cumplimiento de los límites de exposición de las personas a los campos electromagnéticos, K.52, diciembre de 2004.</w:t>
      </w:r>
    </w:p>
  </w:footnote>
  <w:footnote w:id="15">
    <w:p w:rsidR="001D7C2C" w:rsidRPr="00CB2FFE" w:rsidRDefault="001D7C2C" w:rsidP="0028348F">
      <w:pPr>
        <w:pStyle w:val="FootnoteText"/>
        <w:rPr>
          <w:rFonts w:asciiTheme="minorHAnsi" w:hAnsiTheme="minorHAnsi"/>
          <w:lang w:val="es-ES_tradnl"/>
        </w:rPr>
      </w:pPr>
      <w:r w:rsidRPr="00CB2FFE">
        <w:rPr>
          <w:rStyle w:val="FootnoteReference"/>
          <w:rFonts w:asciiTheme="minorHAnsi" w:hAnsiTheme="minorHAnsi" w:cs="Arial"/>
          <w:color w:val="000000" w:themeColor="text1"/>
          <w:sz w:val="18"/>
          <w:lang w:val="es-ES_tradnl"/>
        </w:rPr>
        <w:footnoteRef/>
      </w:r>
      <w:r>
        <w:rPr>
          <w:rFonts w:asciiTheme="minorHAnsi" w:hAnsiTheme="minorHAnsi"/>
          <w:color w:val="000000" w:themeColor="text1"/>
          <w:lang w:val="es-ES_tradnl"/>
        </w:rPr>
        <w:tab/>
      </w:r>
      <w:r w:rsidRPr="00CB2FFE">
        <w:rPr>
          <w:rFonts w:asciiTheme="minorHAnsi" w:hAnsiTheme="minorHAnsi"/>
          <w:lang w:val="es-ES_tradnl"/>
        </w:rPr>
        <w:t>Marco para el Desarrollo de Normas Sanitarias para los campos electromagnéticos de la OMS.</w:t>
      </w:r>
    </w:p>
  </w:footnote>
  <w:footnote w:id="16">
    <w:p w:rsidR="001D7C2C" w:rsidRPr="00CB2FFE" w:rsidRDefault="001D7C2C" w:rsidP="00CB2FFE">
      <w:pPr>
        <w:pStyle w:val="FootnoteText"/>
        <w:ind w:left="284" w:hanging="284"/>
        <w:rPr>
          <w:rFonts w:asciiTheme="minorHAnsi" w:hAnsiTheme="minorHAnsi"/>
          <w:lang w:val="es-ES_tradnl"/>
        </w:rPr>
      </w:pPr>
      <w:r w:rsidRPr="00CB2FFE">
        <w:rPr>
          <w:rStyle w:val="FootnoteReference"/>
          <w:rFonts w:asciiTheme="minorHAnsi" w:hAnsiTheme="minorHAnsi" w:cs="Arial"/>
          <w:color w:val="000000" w:themeColor="text1"/>
          <w:sz w:val="18"/>
          <w:lang w:val="es-ES_tradnl"/>
        </w:rPr>
        <w:footnoteRef/>
      </w:r>
      <w:r w:rsidRPr="00CB2FFE">
        <w:rPr>
          <w:rFonts w:asciiTheme="minorHAnsi" w:hAnsiTheme="minorHAnsi"/>
          <w:lang w:val="es-ES_tradnl"/>
        </w:rPr>
        <w:t xml:space="preserve"> </w:t>
      </w:r>
      <w:r>
        <w:rPr>
          <w:rFonts w:asciiTheme="minorHAnsi" w:hAnsiTheme="minorHAnsi"/>
          <w:lang w:val="es-ES_tradnl"/>
        </w:rPr>
        <w:tab/>
      </w:r>
      <w:r w:rsidRPr="00CB2FFE">
        <w:rPr>
          <w:rFonts w:asciiTheme="minorHAnsi" w:hAnsiTheme="minorHAnsi"/>
          <w:lang w:val="es-ES_tradnl"/>
        </w:rPr>
        <w:t xml:space="preserve">OMS, Legislación Modelo para la Protección contra Campos Electromagnéticos, 2006, en: </w:t>
      </w:r>
      <w:hyperlink r:id="rId13" w:history="1">
        <w:r w:rsidRPr="008F1427">
          <w:rPr>
            <w:rStyle w:val="Hyperlink"/>
            <w:rFonts w:asciiTheme="minorHAnsi" w:hAnsiTheme="minorHAnsi"/>
            <w:lang w:val="es-ES_tradnl"/>
          </w:rPr>
          <w:t>www.who.int/entity/peh-emf/standards/emf_model/en/index.html</w:t>
        </w:r>
      </w:hyperlink>
    </w:p>
  </w:footnote>
  <w:footnote w:id="17">
    <w:p w:rsidR="001D7C2C" w:rsidRPr="00CB2FFE" w:rsidRDefault="001D7C2C" w:rsidP="0028348F">
      <w:pPr>
        <w:pStyle w:val="FootnoteText"/>
        <w:rPr>
          <w:rFonts w:asciiTheme="minorHAnsi" w:hAnsiTheme="minorHAnsi"/>
          <w:lang w:val="es-ES_tradnl"/>
        </w:rPr>
      </w:pPr>
      <w:r w:rsidRPr="00CB2FFE">
        <w:rPr>
          <w:rStyle w:val="FootnoteReference"/>
          <w:rFonts w:asciiTheme="minorHAnsi" w:hAnsiTheme="minorHAnsi" w:cs="Arial"/>
          <w:color w:val="000000" w:themeColor="text1"/>
          <w:sz w:val="18"/>
          <w:lang w:val="es-ES_tradnl"/>
        </w:rPr>
        <w:footnoteRef/>
      </w:r>
      <w:r>
        <w:rPr>
          <w:rFonts w:asciiTheme="minorHAnsi" w:hAnsiTheme="minorHAnsi"/>
          <w:lang w:val="es-ES_tradnl"/>
        </w:rPr>
        <w:tab/>
      </w:r>
      <w:r w:rsidRPr="00CB2FFE">
        <w:rPr>
          <w:rFonts w:asciiTheme="minorHAnsi" w:hAnsiTheme="minorHAnsi"/>
          <w:lang w:val="es-ES_tradnl"/>
        </w:rPr>
        <w:t xml:space="preserve">Manual de Gestión del Espectro de la UIT, 2011 disponible en </w:t>
      </w:r>
      <w:hyperlink r:id="rId14" w:history="1">
        <w:r w:rsidRPr="00CB2FFE">
          <w:rPr>
            <w:rStyle w:val="Hyperlink"/>
            <w:rFonts w:asciiTheme="minorHAnsi" w:hAnsiTheme="minorHAnsi"/>
            <w:lang w:val="es-ES_tradnl"/>
          </w:rPr>
          <w:t>www.itu.int/pub/R-HDB-23-2011</w:t>
        </w:r>
      </w:hyperlink>
    </w:p>
  </w:footnote>
  <w:footnote w:id="18">
    <w:p w:rsidR="001D7C2C" w:rsidRPr="00D15FE4" w:rsidRDefault="001D7C2C" w:rsidP="0028348F">
      <w:pPr>
        <w:pStyle w:val="FootnoteText"/>
        <w:rPr>
          <w:rFonts w:ascii="Verdana" w:hAnsi="Verdana"/>
          <w:lang w:val="es-ES_tradnl"/>
        </w:rPr>
      </w:pPr>
      <w:r w:rsidRPr="00D15FE4">
        <w:rPr>
          <w:rStyle w:val="FootnoteReference"/>
          <w:rFonts w:ascii="Verdana" w:hAnsi="Verdana" w:cs="Arial"/>
          <w:lang w:val="es-ES_tradnl"/>
        </w:rPr>
        <w:footnoteRef/>
      </w:r>
      <w:r>
        <w:rPr>
          <w:lang w:val="es-ES_tradnl"/>
        </w:rPr>
        <w:tab/>
      </w:r>
      <w:r w:rsidRPr="00134C36">
        <w:rPr>
          <w:lang w:val="es-ES_tradnl"/>
        </w:rPr>
        <w:t>Capítulo 5.6 del Manual de Gestión del Espectro de la UIT</w:t>
      </w:r>
      <w:r>
        <w:rPr>
          <w:lang w:val="es-ES_tradnl"/>
        </w:rPr>
        <w:t>.</w:t>
      </w:r>
    </w:p>
  </w:footnote>
  <w:footnote w:id="19">
    <w:p w:rsidR="001D7C2C" w:rsidRPr="00D15FE4" w:rsidRDefault="001D7C2C" w:rsidP="0028348F">
      <w:pPr>
        <w:pStyle w:val="FootnoteText"/>
        <w:rPr>
          <w:rFonts w:ascii="Verdana" w:hAnsi="Verdana"/>
          <w:lang w:val="es-ES_tradnl"/>
        </w:rPr>
      </w:pPr>
      <w:r w:rsidRPr="00D15FE4">
        <w:rPr>
          <w:rStyle w:val="FootnoteReference"/>
          <w:rFonts w:ascii="Verdana" w:hAnsi="Verdana" w:cs="Arial"/>
          <w:lang w:val="es-ES_tradnl"/>
        </w:rPr>
        <w:footnoteRef/>
      </w:r>
      <w:r>
        <w:rPr>
          <w:lang w:val="es-ES_tradnl"/>
        </w:rPr>
        <w:tab/>
      </w:r>
      <w:r w:rsidRPr="00134C36">
        <w:rPr>
          <w:lang w:val="es-ES_tradnl"/>
        </w:rPr>
        <w:t>Capítulo 5.6 del Manual de Gestión del Espectro de la UIT</w:t>
      </w:r>
      <w:r>
        <w:rPr>
          <w:lang w:val="es-ES_tradnl"/>
        </w:rPr>
        <w:t>.</w:t>
      </w:r>
    </w:p>
  </w:footnote>
  <w:footnote w:id="20">
    <w:p w:rsidR="001D7C2C" w:rsidRPr="0045440D" w:rsidRDefault="001D7C2C">
      <w:pPr>
        <w:pStyle w:val="FootnoteText"/>
      </w:pPr>
      <w:r w:rsidRPr="00C7152A">
        <w:rPr>
          <w:rStyle w:val="FootnoteReference"/>
          <w:rFonts w:ascii="Verdana" w:hAnsi="Verdana" w:cs="Arial"/>
          <w:lang w:val="es-ES_tradnl"/>
        </w:rPr>
        <w:footnoteRef/>
      </w:r>
      <w:r w:rsidRPr="0045440D">
        <w:t xml:space="preserve"> </w:t>
      </w:r>
      <w:r w:rsidRPr="0045440D">
        <w:tab/>
      </w:r>
      <w:r w:rsidRPr="0045440D">
        <w:rPr>
          <w:rStyle w:val="Hyperlink"/>
          <w:rFonts w:asciiTheme="minorHAnsi" w:hAnsiTheme="minorHAnsi"/>
          <w:sz w:val="20"/>
        </w:rPr>
        <w:t>www.sartick.com/</w:t>
      </w:r>
    </w:p>
  </w:footnote>
  <w:footnote w:id="21">
    <w:p w:rsidR="001D7C2C" w:rsidRPr="00CB5D12" w:rsidRDefault="001D7C2C" w:rsidP="00FD027D">
      <w:pPr>
        <w:pStyle w:val="FootnoteText"/>
      </w:pPr>
      <w:r w:rsidRPr="00FA6CE1">
        <w:rPr>
          <w:rStyle w:val="FootnoteReference"/>
          <w:lang w:val="en-US"/>
        </w:rPr>
        <w:t>1</w:t>
      </w:r>
      <w:r>
        <w:t xml:space="preserve"> </w:t>
      </w:r>
      <w:r>
        <w:tab/>
      </w:r>
      <w:r w:rsidRPr="00CB5D12">
        <w:t xml:space="preserve">See Mazar H. 2009a </w:t>
      </w:r>
      <w:hyperlink r:id="rId15" w:history="1">
        <w:r w:rsidRPr="0060799F">
          <w:rPr>
            <w:rStyle w:val="Hyperlink"/>
          </w:rPr>
          <w:t>An Analysis of Regulatory Frameworks for Wireless Communications, Societal Concerns and Risk: the Case of Radio Frequency (RF) Allocation and Licensing</w:t>
        </w:r>
      </w:hyperlink>
    </w:p>
  </w:footnote>
  <w:footnote w:id="22">
    <w:p w:rsidR="001D7C2C" w:rsidRPr="00CB5D12" w:rsidRDefault="001D7C2C" w:rsidP="00FD027D">
      <w:pPr>
        <w:pStyle w:val="FootnoteText"/>
      </w:pPr>
      <w:r w:rsidRPr="001970D2">
        <w:rPr>
          <w:rStyle w:val="FootnoteReference"/>
          <w:lang w:val="en-US"/>
        </w:rPr>
        <w:t>1</w:t>
      </w:r>
      <w:r>
        <w:t xml:space="preserve"> </w:t>
      </w:r>
      <w:r>
        <w:tab/>
      </w:r>
      <w:r w:rsidRPr="00CB5D12">
        <w:t xml:space="preserve">See </w:t>
      </w:r>
      <w:r w:rsidRPr="00CB5D12">
        <w:rPr>
          <w:snapToGrid w:val="0"/>
        </w:rPr>
        <w:t>Mazar H. 2009a and a forthcoming John Wiley &amp; Sons publication, ‘Radio Spectrum Management:  Policies, Regulations, Standards and Techniques’, chapter 13 - Limitations to Radio Frequency Human Exposure.</w:t>
      </w:r>
    </w:p>
  </w:footnote>
  <w:footnote w:id="23">
    <w:p w:rsidR="001D7C2C" w:rsidRPr="00D25AD1" w:rsidRDefault="001D7C2C" w:rsidP="00FD027D">
      <w:pPr>
        <w:pStyle w:val="FootnoteText"/>
        <w:rPr>
          <w:lang w:eastAsia="en-GB"/>
        </w:rPr>
      </w:pPr>
      <w:r w:rsidRPr="001970D2">
        <w:rPr>
          <w:rStyle w:val="FootnoteReference"/>
          <w:lang w:val="en-US"/>
        </w:rPr>
        <w:t>2</w:t>
      </w:r>
      <w:r>
        <w:t xml:space="preserve"> </w:t>
      </w:r>
      <w:r>
        <w:rPr>
          <w:lang w:eastAsia="en-GB"/>
        </w:rPr>
        <w:tab/>
      </w:r>
      <w:r w:rsidRPr="00D25AD1">
        <w:rPr>
          <w:lang w:eastAsia="en-GB"/>
        </w:rPr>
        <w:t xml:space="preserve">ICNIRP1998:509 table 4; EC 1999/519, Annex III, Table 1; FCC 1997:75 (and </w:t>
      </w:r>
      <w:r w:rsidRPr="00D25AD1">
        <w:t>FCC 2006 CFR 47 § 2.1093).</w:t>
      </w:r>
    </w:p>
  </w:footnote>
  <w:footnote w:id="24">
    <w:p w:rsidR="001D7C2C" w:rsidRPr="00D25AD1" w:rsidRDefault="001D7C2C" w:rsidP="00FD027D">
      <w:pPr>
        <w:pStyle w:val="FootnoteText"/>
        <w:rPr>
          <w:lang w:eastAsia="en-GB"/>
        </w:rPr>
      </w:pPr>
      <w:r w:rsidRPr="001970D2">
        <w:rPr>
          <w:rStyle w:val="FootnoteReference"/>
          <w:lang w:val="en-US"/>
        </w:rPr>
        <w:t>3</w:t>
      </w:r>
      <w:r>
        <w:t xml:space="preserve"> </w:t>
      </w:r>
      <w:r>
        <w:rPr>
          <w:lang w:eastAsia="en-GB"/>
        </w:rPr>
        <w:tab/>
      </w:r>
      <w:r w:rsidRPr="00D25AD1">
        <w:rPr>
          <w:lang w:eastAsia="en-GB"/>
        </w:rPr>
        <w:t>Even the averaging is more stringent in the US, as the limit is averaged over one gram (FCC 2001:75), and not 10 grams as in ICNIRP 1998</w:t>
      </w:r>
      <w:r w:rsidRPr="00D25AD1">
        <w:rPr>
          <w:color w:val="00FF00"/>
          <w:lang w:eastAsia="en-GB"/>
        </w:rPr>
        <w:t>.</w:t>
      </w:r>
      <w:r w:rsidRPr="00D25AD1">
        <w:rPr>
          <w:lang w:eastAsia="en-GB"/>
        </w:rPr>
        <w:t xml:space="preserve"> Following changes in the IEEE C95.1-2005 standard, the US ANSI may adopt in the future the less stringent European level for SAR and averaging.</w:t>
      </w:r>
    </w:p>
  </w:footnote>
  <w:footnote w:id="25">
    <w:p w:rsidR="001D7C2C" w:rsidRPr="00C20DC1" w:rsidRDefault="001D7C2C" w:rsidP="00FD027D">
      <w:pPr>
        <w:pStyle w:val="FootnoteText"/>
      </w:pPr>
      <w:r w:rsidRPr="00C20DC1">
        <w:rPr>
          <w:rStyle w:val="FootnoteReference"/>
          <w:lang w:val="en-GB"/>
        </w:rPr>
        <w:t>*</w:t>
      </w:r>
      <w:r>
        <w:t xml:space="preserve"> </w:t>
      </w:r>
      <w:r>
        <w:tab/>
      </w:r>
      <w:hyperlink r:id="rId16" w:history="1">
        <w:r w:rsidRPr="008F1427">
          <w:rPr>
            <w:rStyle w:val="Hyperlink"/>
            <w:szCs w:val="19"/>
          </w:rPr>
          <w:t>www.itu.int/ITU-D/study_groups/SGP_2010-2014/doc/rgq/2010/D10-RGQ23.1-en.pdf</w:t>
        </w:r>
      </w:hyperlink>
    </w:p>
  </w:footnote>
  <w:footnote w:id="26">
    <w:p w:rsidR="001D7C2C" w:rsidRPr="00FA6CE1" w:rsidRDefault="001D7C2C" w:rsidP="001D4022">
      <w:pPr>
        <w:pStyle w:val="FootnoteText"/>
      </w:pPr>
      <w:r w:rsidRPr="00FA6CE1">
        <w:rPr>
          <w:rStyle w:val="FootnoteReference"/>
          <w:lang w:val="en-US"/>
        </w:rPr>
        <w:t>*</w:t>
      </w:r>
      <w:r>
        <w:t xml:space="preserve"> </w:t>
      </w:r>
      <w:r>
        <w:tab/>
      </w:r>
      <w:hyperlink r:id="rId17" w:history="1">
        <w:r w:rsidRPr="008F1427">
          <w:rPr>
            <w:rStyle w:val="Hyperlink"/>
            <w:szCs w:val="19"/>
          </w:rPr>
          <w:t>www.itu.int/pub/T-RES-T.72-2012</w:t>
        </w:r>
      </w:hyperlink>
    </w:p>
  </w:footnote>
  <w:footnote w:id="27">
    <w:p w:rsidR="001D7C2C" w:rsidRPr="00916816" w:rsidRDefault="001D7C2C" w:rsidP="00FD027D">
      <w:pPr>
        <w:pStyle w:val="FootnoteText"/>
      </w:pPr>
      <w:r w:rsidRPr="00FA6CE1">
        <w:rPr>
          <w:rStyle w:val="FootnoteReference"/>
          <w:lang w:val="en-US"/>
        </w:rPr>
        <w:t>1</w:t>
      </w:r>
      <w:r>
        <w:t xml:space="preserve"> </w:t>
      </w:r>
      <w:r>
        <w:tab/>
      </w:r>
      <w:r w:rsidRPr="00415A34">
        <w:rPr>
          <w:sz w:val="19"/>
          <w:szCs w:val="19"/>
        </w:rPr>
        <w:t>These include the least developed countries, small island developing states, landlocked developing countries and countries with economies in transition.</w:t>
      </w:r>
    </w:p>
  </w:footnote>
  <w:footnote w:id="28">
    <w:p w:rsidR="001D7C2C" w:rsidRPr="00BC0DB7" w:rsidRDefault="001D7C2C" w:rsidP="001D4022">
      <w:pPr>
        <w:pStyle w:val="FootnoteText"/>
      </w:pPr>
      <w:r w:rsidRPr="00BC0DB7">
        <w:rPr>
          <w:rStyle w:val="FootnoteReference"/>
          <w:lang w:val="en-US"/>
        </w:rPr>
        <w:t>*</w:t>
      </w:r>
      <w:r>
        <w:t xml:space="preserve"> </w:t>
      </w:r>
      <w:r>
        <w:tab/>
      </w:r>
      <w:hyperlink r:id="rId18" w:history="1">
        <w:r w:rsidRPr="008F1427">
          <w:rPr>
            <w:rStyle w:val="Hyperlink"/>
            <w:szCs w:val="19"/>
          </w:rPr>
          <w:t>www.itu.int/ITU-D/conferences/wtdc/2010/pdf/WTDC10_DraftPreliminaryReport.pdf</w:t>
        </w:r>
      </w:hyperlink>
      <w:r>
        <w:t xml:space="preserve"> </w:t>
      </w:r>
    </w:p>
  </w:footnote>
  <w:footnote w:id="29">
    <w:p w:rsidR="001D7C2C" w:rsidRPr="00061F17" w:rsidRDefault="001D7C2C" w:rsidP="00FD027D">
      <w:pPr>
        <w:pStyle w:val="FootnoteText"/>
      </w:pPr>
      <w:r w:rsidRPr="00FA6CE1">
        <w:rPr>
          <w:rStyle w:val="FootnoteReference"/>
          <w:lang w:val="en-US"/>
        </w:rPr>
        <w:t>1</w:t>
      </w:r>
      <w:r w:rsidRPr="00061F17">
        <w:t xml:space="preserve"> </w:t>
      </w:r>
      <w:r>
        <w:tab/>
      </w:r>
      <w:r w:rsidRPr="00061F17">
        <w:t xml:space="preserve">These include the least developed countries, small island developing states, landlocked developing countries and countries with economies in transition. </w:t>
      </w:r>
    </w:p>
  </w:footnote>
  <w:footnote w:id="30">
    <w:p w:rsidR="001D7C2C" w:rsidRPr="00BC0DB7" w:rsidRDefault="001D7C2C" w:rsidP="001D4022">
      <w:pPr>
        <w:pStyle w:val="FootnoteText"/>
      </w:pPr>
      <w:r w:rsidRPr="00BC0DB7">
        <w:rPr>
          <w:rStyle w:val="FootnoteReference"/>
          <w:lang w:val="en-GB"/>
        </w:rPr>
        <w:t>*</w:t>
      </w:r>
      <w:r>
        <w:t xml:space="preserve"> </w:t>
      </w:r>
      <w:r>
        <w:tab/>
      </w:r>
      <w:hyperlink r:id="rId19" w:history="1">
        <w:r w:rsidRPr="008F1427">
          <w:rPr>
            <w:rStyle w:val="Hyperlink"/>
            <w:szCs w:val="19"/>
          </w:rPr>
          <w:t>www.itu.int/pub/S-CONF-ACTF-2010/en</w:t>
        </w:r>
      </w:hyperlink>
    </w:p>
  </w:footnote>
  <w:footnote w:id="31">
    <w:p w:rsidR="001D7C2C" w:rsidRPr="00FA6CE1" w:rsidRDefault="001D7C2C" w:rsidP="00FD027D">
      <w:pPr>
        <w:pStyle w:val="FootnoteText"/>
        <w:rPr>
          <w:rStyle w:val="FootnoteTextChar"/>
        </w:rPr>
      </w:pPr>
      <w:r w:rsidRPr="00061F17">
        <w:rPr>
          <w:rStyle w:val="FootnoteReference"/>
          <w:szCs w:val="19"/>
          <w:lang w:val="en-US"/>
        </w:rPr>
        <w:t>1</w:t>
      </w:r>
      <w:r w:rsidRPr="00FA6CE1">
        <w:tab/>
      </w:r>
      <w:r w:rsidRPr="00FA6CE1">
        <w:rPr>
          <w:rStyle w:val="FootnoteTextChar"/>
        </w:rPr>
        <w:t xml:space="preserve">Guidelines for limiting exposure to time-varying electric, magnetic and electromagnetic fields (up to 300 GHz) – </w:t>
      </w:r>
      <w:hyperlink r:id="rId20" w:history="1">
        <w:r w:rsidRPr="008F1427">
          <w:rPr>
            <w:rStyle w:val="Hyperlink"/>
            <w:bCs/>
          </w:rPr>
          <w:t>www.icnirp.de/documents/emfgdl.pdf</w:t>
        </w:r>
      </w:hyperlink>
      <w:r w:rsidRPr="00FA6CE1">
        <w:rPr>
          <w:rStyle w:val="FootnoteTextChar"/>
        </w:rPr>
        <w:t>.</w:t>
      </w:r>
      <w:r>
        <w:rPr>
          <w:rStyle w:val="FootnoteTextChar"/>
        </w:rPr>
        <w:t xml:space="preserve"> </w:t>
      </w:r>
    </w:p>
  </w:footnote>
  <w:footnote w:id="32">
    <w:p w:rsidR="001D7C2C" w:rsidRPr="001D4022" w:rsidRDefault="001D7C2C" w:rsidP="00FD027D">
      <w:pPr>
        <w:pStyle w:val="FootnoteText"/>
        <w:rPr>
          <w:rStyle w:val="FootnoteTextChar"/>
          <w:bCs/>
        </w:rPr>
      </w:pPr>
      <w:r w:rsidRPr="00061F17">
        <w:rPr>
          <w:rStyle w:val="FootnoteReference"/>
          <w:szCs w:val="19"/>
          <w:lang w:val="en-US"/>
        </w:rPr>
        <w:t>2</w:t>
      </w:r>
      <w:r w:rsidRPr="00FA6CE1">
        <w:tab/>
        <w:t>IEEE Std C95.1™-2005, IEEE standard for safety levels with respect to human exposure to radio frequency electromagnetic fields, 3 kHz to 300 GHz</w:t>
      </w:r>
      <w:r w:rsidRPr="001D4022">
        <w:rPr>
          <w:rStyle w:val="FootnoteTextChar"/>
          <w:bCs/>
        </w:rPr>
        <w:t>.</w:t>
      </w:r>
    </w:p>
  </w:footnote>
  <w:footnote w:id="33">
    <w:p w:rsidR="001D7C2C" w:rsidRPr="008B2D4E" w:rsidRDefault="001D7C2C" w:rsidP="001D4022">
      <w:pPr>
        <w:pStyle w:val="FootnoteText"/>
      </w:pPr>
      <w:r w:rsidRPr="008B2D4E">
        <w:rPr>
          <w:rStyle w:val="FootnoteReference"/>
          <w:lang w:val="en-GB"/>
        </w:rPr>
        <w:t>*</w:t>
      </w:r>
      <w:r>
        <w:t xml:space="preserve"> </w:t>
      </w:r>
      <w:r>
        <w:tab/>
      </w:r>
      <w:hyperlink r:id="rId21" w:history="1">
        <w:r w:rsidRPr="008F1427">
          <w:rPr>
            <w:rStyle w:val="Hyperlink"/>
            <w:bCs/>
            <w:szCs w:val="19"/>
          </w:rPr>
          <w:t>www.itu.int/md/D10-RGQ23.1-INF-0004/</w:t>
        </w:r>
      </w:hyperlink>
    </w:p>
  </w:footnote>
  <w:footnote w:id="34">
    <w:p w:rsidR="001D7C2C" w:rsidRPr="008B2D4E" w:rsidRDefault="001D7C2C" w:rsidP="00976B7A">
      <w:pPr>
        <w:pStyle w:val="FootnoteText"/>
      </w:pPr>
      <w:r w:rsidRPr="008B2D4E">
        <w:rPr>
          <w:rStyle w:val="FootnoteReference"/>
          <w:lang w:val="en-GB"/>
        </w:rPr>
        <w:t>*</w:t>
      </w:r>
      <w:r>
        <w:t xml:space="preserve"> </w:t>
      </w:r>
      <w:r>
        <w:tab/>
      </w:r>
      <w:hyperlink r:id="rId22" w:history="1">
        <w:r w:rsidRPr="008F1427">
          <w:rPr>
            <w:rStyle w:val="Hyperlink"/>
            <w:bCs/>
            <w:szCs w:val="19"/>
          </w:rPr>
          <w:t>www.itu.int/ITU-D/CDS/sg/rgqlist.asp?lg=1&amp;sp=2010&amp;rgq=D10-RGQ23.1&amp;stg=1</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C2C" w:rsidRPr="00837668" w:rsidRDefault="001D7C2C" w:rsidP="0083766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C2C" w:rsidRDefault="001D7C2C" w:rsidP="00075AC8">
    <w:pPr>
      <w:pStyle w:val="Header"/>
    </w:pPr>
    <w:r>
      <w:rPr>
        <w:rStyle w:val="PageNumber"/>
        <w:lang w:val="fr-CH"/>
      </w:rPr>
      <w:t>Q</w:t>
    </w:r>
    <w:r w:rsidRPr="002D4FCA">
      <w:rPr>
        <w:lang w:val="fr-CH"/>
      </w:rPr>
      <w:t>uestion</w:t>
    </w:r>
    <w:r>
      <w:rPr>
        <w:lang w:val="fr-CH"/>
      </w:rPr>
      <w:t xml:space="preserve"> number + title</w:t>
    </w:r>
  </w:p>
  <w:p w:rsidR="001D7C2C" w:rsidRPr="00FB79B8" w:rsidRDefault="001D7C2C"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C2C" w:rsidRPr="00837668" w:rsidRDefault="001D7C2C"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C2C" w:rsidRPr="00096D28" w:rsidRDefault="000C6F70" w:rsidP="00B43666">
    <w:pPr>
      <w:pStyle w:val="Header"/>
      <w:rPr>
        <w:lang w:val="es-ES_tradnl"/>
      </w:rPr>
    </w:pPr>
    <w:r w:rsidRPr="000C6F70">
      <w:rPr>
        <w:lang w:val="es-ES_tradnl"/>
      </w:rPr>
      <w:t>C</w:t>
    </w:r>
    <w:r w:rsidR="001D7C2C">
      <w:rPr>
        <w:lang w:val="es-ES_tradnl"/>
      </w:rPr>
      <w:t xml:space="preserve">23/1: </w:t>
    </w:r>
    <w:r w:rsidR="001D7C2C" w:rsidRPr="00D15FE4">
      <w:rPr>
        <w:lang w:val="es-ES_tradnl"/>
      </w:rPr>
      <w:t>Estrategias y políticas relativas a la exposición de las personas a los campos electromagnéticos</w:t>
    </w:r>
  </w:p>
  <w:p w:rsidR="001D7C2C" w:rsidRPr="00B43666" w:rsidRDefault="001D7C2C" w:rsidP="00837668">
    <w:pPr>
      <w:pStyle w:val="Header"/>
      <w:pBdr>
        <w:bottom w:val="none" w:sz="0" w:space="0" w:color="auto"/>
      </w:pBdr>
      <w:rPr>
        <w:lang w:val="es-ES_tradn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C2C" w:rsidRPr="00096D28" w:rsidRDefault="000C6F70" w:rsidP="00837668">
    <w:pPr>
      <w:pStyle w:val="Header"/>
      <w:rPr>
        <w:lang w:val="es-ES_tradnl"/>
      </w:rPr>
    </w:pPr>
    <w:r w:rsidRPr="000C6F70">
      <w:rPr>
        <w:lang w:val="es-ES_tradnl"/>
      </w:rPr>
      <w:t>C</w:t>
    </w:r>
    <w:r w:rsidR="001D7C2C">
      <w:rPr>
        <w:lang w:val="es-ES_tradnl"/>
      </w:rPr>
      <w:t xml:space="preserve">23/1: </w:t>
    </w:r>
    <w:r w:rsidR="001D7C2C" w:rsidRPr="00D15FE4">
      <w:rPr>
        <w:lang w:val="es-ES_tradnl"/>
      </w:rPr>
      <w:t>Estrategias y políticas relativas a la exposición de las personas a los campos electromagnéticos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C2C" w:rsidRPr="00096D28" w:rsidRDefault="000C6F70" w:rsidP="001D4022">
    <w:pPr>
      <w:pStyle w:val="Header"/>
      <w:rPr>
        <w:lang w:val="es-ES_tradnl"/>
      </w:rPr>
    </w:pPr>
    <w:r w:rsidRPr="000C6F70">
      <w:rPr>
        <w:lang w:val="es-ES_tradnl"/>
      </w:rPr>
      <w:t>C</w:t>
    </w:r>
    <w:r w:rsidR="001D7C2C">
      <w:rPr>
        <w:lang w:val="es-ES_tradnl"/>
      </w:rPr>
      <w:t xml:space="preserve">23/1: </w:t>
    </w:r>
    <w:r w:rsidR="001D7C2C" w:rsidRPr="00D15FE4">
      <w:rPr>
        <w:lang w:val="es-ES_tradnl"/>
      </w:rPr>
      <w:t>Estrategias y políticas relativas a la exposición de las personas a los campos electromagnéticos</w:t>
    </w:r>
  </w:p>
  <w:p w:rsidR="001D7C2C" w:rsidRPr="00B43666" w:rsidRDefault="001D7C2C" w:rsidP="001D4022">
    <w:pPr>
      <w:pStyle w:val="Header"/>
      <w:pBdr>
        <w:bottom w:val="none" w:sz="0" w:space="0" w:color="auto"/>
      </w:pBdr>
      <w:rPr>
        <w:lang w:val="es-ES_tradn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C2C" w:rsidRPr="00FD027D" w:rsidRDefault="000C6F70" w:rsidP="000C5108">
    <w:pPr>
      <w:pStyle w:val="Header"/>
      <w:rPr>
        <w:lang w:val="es-ES_tradnl"/>
      </w:rPr>
    </w:pPr>
    <w:r w:rsidRPr="000C6F70">
      <w:rPr>
        <w:lang w:val="es-ES_tradnl"/>
      </w:rPr>
      <w:t>C</w:t>
    </w:r>
    <w:r w:rsidR="001D7C2C">
      <w:rPr>
        <w:lang w:val="es-ES_tradnl"/>
      </w:rPr>
      <w:t xml:space="preserve">23/1: </w:t>
    </w:r>
    <w:r w:rsidR="001D7C2C" w:rsidRPr="00D15FE4">
      <w:rPr>
        <w:lang w:val="es-ES_tradnl"/>
      </w:rPr>
      <w:t>Estrategias y políticas relativas a la exposición de las personas a los campos electromagnéticos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9pt;height:9pt" o:bullet="t">
        <v:imagedata r:id="rId1" o:title="BD10267_"/>
      </v:shape>
    </w:pict>
  </w:numPicBullet>
  <w:abstractNum w:abstractNumId="0">
    <w:nsid w:val="FFFFFF89"/>
    <w:multiLevelType w:val="singleLevel"/>
    <w:tmpl w:val="1F3EE6A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
    <w:nsid w:val="24307A55"/>
    <w:multiLevelType w:val="hybridMultilevel"/>
    <w:tmpl w:val="2EEEAEB4"/>
    <w:lvl w:ilvl="0" w:tplc="D7B6FE3C">
      <w:start w:val="1"/>
      <w:numFmt w:val="decimal"/>
      <w:lvlText w:val="%1."/>
      <w:lvlJc w:val="left"/>
      <w:pPr>
        <w:ind w:left="360" w:hanging="360"/>
      </w:pPr>
      <w:rPr>
        <w:sz w:val="20"/>
        <w:szCs w:val="16"/>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2F516D32"/>
    <w:multiLevelType w:val="hybridMultilevel"/>
    <w:tmpl w:val="DA9C306C"/>
    <w:lvl w:ilvl="0" w:tplc="A1A820CE">
      <w:start w:val="1"/>
      <w:numFmt w:val="upperRoman"/>
      <w:lvlText w:val="(%1)"/>
      <w:lvlJc w:val="left"/>
      <w:pPr>
        <w:ind w:left="2145" w:hanging="720"/>
      </w:pPr>
      <w:rPr>
        <w:rFonts w:hint="default"/>
      </w:rPr>
    </w:lvl>
    <w:lvl w:ilvl="1" w:tplc="40090019" w:tentative="1">
      <w:start w:val="1"/>
      <w:numFmt w:val="lowerLetter"/>
      <w:lvlText w:val="%2."/>
      <w:lvlJc w:val="left"/>
      <w:pPr>
        <w:ind w:left="2505" w:hanging="360"/>
      </w:pPr>
    </w:lvl>
    <w:lvl w:ilvl="2" w:tplc="4009001B" w:tentative="1">
      <w:start w:val="1"/>
      <w:numFmt w:val="lowerRoman"/>
      <w:lvlText w:val="%3."/>
      <w:lvlJc w:val="right"/>
      <w:pPr>
        <w:ind w:left="3225" w:hanging="180"/>
      </w:pPr>
    </w:lvl>
    <w:lvl w:ilvl="3" w:tplc="4009000F" w:tentative="1">
      <w:start w:val="1"/>
      <w:numFmt w:val="decimal"/>
      <w:lvlText w:val="%4."/>
      <w:lvlJc w:val="left"/>
      <w:pPr>
        <w:ind w:left="3945" w:hanging="360"/>
      </w:pPr>
    </w:lvl>
    <w:lvl w:ilvl="4" w:tplc="40090019" w:tentative="1">
      <w:start w:val="1"/>
      <w:numFmt w:val="lowerLetter"/>
      <w:lvlText w:val="%5."/>
      <w:lvlJc w:val="left"/>
      <w:pPr>
        <w:ind w:left="4665" w:hanging="360"/>
      </w:pPr>
    </w:lvl>
    <w:lvl w:ilvl="5" w:tplc="4009001B" w:tentative="1">
      <w:start w:val="1"/>
      <w:numFmt w:val="lowerRoman"/>
      <w:lvlText w:val="%6."/>
      <w:lvlJc w:val="right"/>
      <w:pPr>
        <w:ind w:left="5385" w:hanging="180"/>
      </w:pPr>
    </w:lvl>
    <w:lvl w:ilvl="6" w:tplc="4009000F" w:tentative="1">
      <w:start w:val="1"/>
      <w:numFmt w:val="decimal"/>
      <w:lvlText w:val="%7."/>
      <w:lvlJc w:val="left"/>
      <w:pPr>
        <w:ind w:left="6105" w:hanging="360"/>
      </w:pPr>
    </w:lvl>
    <w:lvl w:ilvl="7" w:tplc="40090019" w:tentative="1">
      <w:start w:val="1"/>
      <w:numFmt w:val="lowerLetter"/>
      <w:lvlText w:val="%8."/>
      <w:lvlJc w:val="left"/>
      <w:pPr>
        <w:ind w:left="6825" w:hanging="360"/>
      </w:pPr>
    </w:lvl>
    <w:lvl w:ilvl="8" w:tplc="4009001B" w:tentative="1">
      <w:start w:val="1"/>
      <w:numFmt w:val="lowerRoman"/>
      <w:lvlText w:val="%9."/>
      <w:lvlJc w:val="right"/>
      <w:pPr>
        <w:ind w:left="7545" w:hanging="180"/>
      </w:pPr>
    </w:lvl>
  </w:abstractNum>
  <w:abstractNum w:abstractNumId="8">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1">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3492229"/>
    <w:multiLevelType w:val="hybridMultilevel"/>
    <w:tmpl w:val="3848A326"/>
    <w:lvl w:ilvl="0" w:tplc="7936B134">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D7C6C53"/>
    <w:multiLevelType w:val="hybridMultilevel"/>
    <w:tmpl w:val="EEDE40B2"/>
    <w:lvl w:ilvl="0" w:tplc="2542BA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6">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15"/>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17"/>
  </w:num>
  <w:num w:numId="3">
    <w:abstractNumId w:val="15"/>
  </w:num>
  <w:num w:numId="4">
    <w:abstractNumId w:val="2"/>
  </w:num>
  <w:num w:numId="5">
    <w:abstractNumId w:val="16"/>
  </w:num>
  <w:num w:numId="6">
    <w:abstractNumId w:val="12"/>
  </w:num>
  <w:num w:numId="7">
    <w:abstractNumId w:val="4"/>
  </w:num>
  <w:num w:numId="8">
    <w:abstractNumId w:val="10"/>
  </w:num>
  <w:num w:numId="9">
    <w:abstractNumId w:val="11"/>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0"/>
  </w:num>
  <w:num w:numId="13">
    <w:abstractNumId w:val="14"/>
  </w:num>
  <w:num w:numId="1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C1A"/>
    <w:rsid w:val="000012C8"/>
    <w:rsid w:val="0000259F"/>
    <w:rsid w:val="00004160"/>
    <w:rsid w:val="00010631"/>
    <w:rsid w:val="00010EEB"/>
    <w:rsid w:val="000135A4"/>
    <w:rsid w:val="00013D6F"/>
    <w:rsid w:val="00013E61"/>
    <w:rsid w:val="00014A90"/>
    <w:rsid w:val="00017323"/>
    <w:rsid w:val="00017645"/>
    <w:rsid w:val="00021824"/>
    <w:rsid w:val="000233CA"/>
    <w:rsid w:val="00023A85"/>
    <w:rsid w:val="000273F7"/>
    <w:rsid w:val="00027E82"/>
    <w:rsid w:val="00031CA2"/>
    <w:rsid w:val="00033090"/>
    <w:rsid w:val="00040A84"/>
    <w:rsid w:val="00041301"/>
    <w:rsid w:val="0004319A"/>
    <w:rsid w:val="0004551C"/>
    <w:rsid w:val="00047D3C"/>
    <w:rsid w:val="0005154A"/>
    <w:rsid w:val="00051DDE"/>
    <w:rsid w:val="000541C8"/>
    <w:rsid w:val="000608E4"/>
    <w:rsid w:val="000614AD"/>
    <w:rsid w:val="0006382C"/>
    <w:rsid w:val="000650DC"/>
    <w:rsid w:val="00066280"/>
    <w:rsid w:val="00070E31"/>
    <w:rsid w:val="00075AC8"/>
    <w:rsid w:val="00075AFE"/>
    <w:rsid w:val="00077618"/>
    <w:rsid w:val="00077AAE"/>
    <w:rsid w:val="00077DE6"/>
    <w:rsid w:val="000806FF"/>
    <w:rsid w:val="000807F7"/>
    <w:rsid w:val="00081922"/>
    <w:rsid w:val="00085DF4"/>
    <w:rsid w:val="00087A33"/>
    <w:rsid w:val="0009006B"/>
    <w:rsid w:val="0009019D"/>
    <w:rsid w:val="00092B20"/>
    <w:rsid w:val="00092F3A"/>
    <w:rsid w:val="00093E66"/>
    <w:rsid w:val="00096433"/>
    <w:rsid w:val="00096922"/>
    <w:rsid w:val="00096D28"/>
    <w:rsid w:val="0009716E"/>
    <w:rsid w:val="00097207"/>
    <w:rsid w:val="00097422"/>
    <w:rsid w:val="00097540"/>
    <w:rsid w:val="000A14B5"/>
    <w:rsid w:val="000A316D"/>
    <w:rsid w:val="000A55BE"/>
    <w:rsid w:val="000A6476"/>
    <w:rsid w:val="000A67CB"/>
    <w:rsid w:val="000A71D3"/>
    <w:rsid w:val="000B40AB"/>
    <w:rsid w:val="000C0D53"/>
    <w:rsid w:val="000C36E9"/>
    <w:rsid w:val="000C5108"/>
    <w:rsid w:val="000C58D2"/>
    <w:rsid w:val="000C6F70"/>
    <w:rsid w:val="000D0DCD"/>
    <w:rsid w:val="000D0F63"/>
    <w:rsid w:val="000E2EB3"/>
    <w:rsid w:val="000E54EF"/>
    <w:rsid w:val="000F0388"/>
    <w:rsid w:val="000F16CC"/>
    <w:rsid w:val="000F2A69"/>
    <w:rsid w:val="000F5307"/>
    <w:rsid w:val="00100D4C"/>
    <w:rsid w:val="001016E4"/>
    <w:rsid w:val="0010381E"/>
    <w:rsid w:val="00103A5D"/>
    <w:rsid w:val="0010485E"/>
    <w:rsid w:val="00104860"/>
    <w:rsid w:val="00104DB4"/>
    <w:rsid w:val="001071F8"/>
    <w:rsid w:val="0011092A"/>
    <w:rsid w:val="00111CA1"/>
    <w:rsid w:val="001131CF"/>
    <w:rsid w:val="00113513"/>
    <w:rsid w:val="00113F18"/>
    <w:rsid w:val="0011585A"/>
    <w:rsid w:val="0011701B"/>
    <w:rsid w:val="00117759"/>
    <w:rsid w:val="001178D8"/>
    <w:rsid w:val="00121F29"/>
    <w:rsid w:val="001227E0"/>
    <w:rsid w:val="001239C8"/>
    <w:rsid w:val="00125968"/>
    <w:rsid w:val="0012680A"/>
    <w:rsid w:val="00126A1E"/>
    <w:rsid w:val="00127AD9"/>
    <w:rsid w:val="00130625"/>
    <w:rsid w:val="001323E2"/>
    <w:rsid w:val="00132571"/>
    <w:rsid w:val="00132ECE"/>
    <w:rsid w:val="00133CDA"/>
    <w:rsid w:val="00134C5A"/>
    <w:rsid w:val="00135581"/>
    <w:rsid w:val="00136E05"/>
    <w:rsid w:val="00137D83"/>
    <w:rsid w:val="00143C19"/>
    <w:rsid w:val="00143D5F"/>
    <w:rsid w:val="00146207"/>
    <w:rsid w:val="001542B4"/>
    <w:rsid w:val="00163055"/>
    <w:rsid w:val="00163120"/>
    <w:rsid w:val="00163F1C"/>
    <w:rsid w:val="00164580"/>
    <w:rsid w:val="00166796"/>
    <w:rsid w:val="00166A4E"/>
    <w:rsid w:val="00167C0D"/>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1C1A"/>
    <w:rsid w:val="00185CE5"/>
    <w:rsid w:val="001878E0"/>
    <w:rsid w:val="0019104B"/>
    <w:rsid w:val="00192284"/>
    <w:rsid w:val="00193E6A"/>
    <w:rsid w:val="00197038"/>
    <w:rsid w:val="001A07A9"/>
    <w:rsid w:val="001A43E1"/>
    <w:rsid w:val="001A4C73"/>
    <w:rsid w:val="001A6578"/>
    <w:rsid w:val="001A768A"/>
    <w:rsid w:val="001A7B18"/>
    <w:rsid w:val="001B0B90"/>
    <w:rsid w:val="001B150C"/>
    <w:rsid w:val="001B1836"/>
    <w:rsid w:val="001B29B0"/>
    <w:rsid w:val="001B3273"/>
    <w:rsid w:val="001C2C22"/>
    <w:rsid w:val="001C3365"/>
    <w:rsid w:val="001C33A5"/>
    <w:rsid w:val="001C476E"/>
    <w:rsid w:val="001C7095"/>
    <w:rsid w:val="001C70BF"/>
    <w:rsid w:val="001D348F"/>
    <w:rsid w:val="001D4022"/>
    <w:rsid w:val="001D4147"/>
    <w:rsid w:val="001D55D5"/>
    <w:rsid w:val="001D6A6E"/>
    <w:rsid w:val="001D795A"/>
    <w:rsid w:val="001D7C2C"/>
    <w:rsid w:val="001E0DF9"/>
    <w:rsid w:val="001E1D38"/>
    <w:rsid w:val="001E6535"/>
    <w:rsid w:val="001F17CE"/>
    <w:rsid w:val="001F39FB"/>
    <w:rsid w:val="001F5A63"/>
    <w:rsid w:val="00203D84"/>
    <w:rsid w:val="00205608"/>
    <w:rsid w:val="0020793F"/>
    <w:rsid w:val="00207DF0"/>
    <w:rsid w:val="00211EAC"/>
    <w:rsid w:val="00217FBE"/>
    <w:rsid w:val="002208F5"/>
    <w:rsid w:val="00225A80"/>
    <w:rsid w:val="0022728A"/>
    <w:rsid w:val="00234760"/>
    <w:rsid w:val="00234E6B"/>
    <w:rsid w:val="00236A97"/>
    <w:rsid w:val="002375B2"/>
    <w:rsid w:val="00243015"/>
    <w:rsid w:val="002438AC"/>
    <w:rsid w:val="0024564C"/>
    <w:rsid w:val="00246157"/>
    <w:rsid w:val="00246785"/>
    <w:rsid w:val="0025181A"/>
    <w:rsid w:val="002556EB"/>
    <w:rsid w:val="00256167"/>
    <w:rsid w:val="00256912"/>
    <w:rsid w:val="00256BEA"/>
    <w:rsid w:val="00262366"/>
    <w:rsid w:val="00262368"/>
    <w:rsid w:val="0027124D"/>
    <w:rsid w:val="0027160A"/>
    <w:rsid w:val="0027183A"/>
    <w:rsid w:val="00271D36"/>
    <w:rsid w:val="00273758"/>
    <w:rsid w:val="002737B9"/>
    <w:rsid w:val="002737D1"/>
    <w:rsid w:val="00274D96"/>
    <w:rsid w:val="00277526"/>
    <w:rsid w:val="0028348F"/>
    <w:rsid w:val="00283C78"/>
    <w:rsid w:val="002856AB"/>
    <w:rsid w:val="00291073"/>
    <w:rsid w:val="00291A51"/>
    <w:rsid w:val="00292D79"/>
    <w:rsid w:val="0029306D"/>
    <w:rsid w:val="00295040"/>
    <w:rsid w:val="002A0464"/>
    <w:rsid w:val="002A12C3"/>
    <w:rsid w:val="002A45D1"/>
    <w:rsid w:val="002A733E"/>
    <w:rsid w:val="002B15C5"/>
    <w:rsid w:val="002B2394"/>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5135"/>
    <w:rsid w:val="002D6E23"/>
    <w:rsid w:val="002D720D"/>
    <w:rsid w:val="002E0961"/>
    <w:rsid w:val="002E1C89"/>
    <w:rsid w:val="002E3A9C"/>
    <w:rsid w:val="002E4E79"/>
    <w:rsid w:val="002F4126"/>
    <w:rsid w:val="002F6FFC"/>
    <w:rsid w:val="003000B4"/>
    <w:rsid w:val="00300A43"/>
    <w:rsid w:val="003010AB"/>
    <w:rsid w:val="00302A0A"/>
    <w:rsid w:val="00304068"/>
    <w:rsid w:val="0030419C"/>
    <w:rsid w:val="00305EA5"/>
    <w:rsid w:val="00310639"/>
    <w:rsid w:val="003132E0"/>
    <w:rsid w:val="00316A00"/>
    <w:rsid w:val="00317F8D"/>
    <w:rsid w:val="00320089"/>
    <w:rsid w:val="00324561"/>
    <w:rsid w:val="00325DD9"/>
    <w:rsid w:val="00330C99"/>
    <w:rsid w:val="00332AB2"/>
    <w:rsid w:val="00332E08"/>
    <w:rsid w:val="00333DEF"/>
    <w:rsid w:val="003340DD"/>
    <w:rsid w:val="003369B6"/>
    <w:rsid w:val="0034180A"/>
    <w:rsid w:val="00344375"/>
    <w:rsid w:val="0034527B"/>
    <w:rsid w:val="00345977"/>
    <w:rsid w:val="003459B2"/>
    <w:rsid w:val="0035061D"/>
    <w:rsid w:val="00350AE1"/>
    <w:rsid w:val="003512B6"/>
    <w:rsid w:val="0035666B"/>
    <w:rsid w:val="003605D0"/>
    <w:rsid w:val="0036211D"/>
    <w:rsid w:val="00362FFF"/>
    <w:rsid w:val="003633BA"/>
    <w:rsid w:val="00363C83"/>
    <w:rsid w:val="003647EF"/>
    <w:rsid w:val="003650C0"/>
    <w:rsid w:val="003664F2"/>
    <w:rsid w:val="00367032"/>
    <w:rsid w:val="003703C0"/>
    <w:rsid w:val="00370573"/>
    <w:rsid w:val="003707AC"/>
    <w:rsid w:val="003723AB"/>
    <w:rsid w:val="0037334A"/>
    <w:rsid w:val="00373A5A"/>
    <w:rsid w:val="00375AAF"/>
    <w:rsid w:val="00382B6B"/>
    <w:rsid w:val="00383BD1"/>
    <w:rsid w:val="00384D7C"/>
    <w:rsid w:val="00385DD4"/>
    <w:rsid w:val="00386439"/>
    <w:rsid w:val="00386601"/>
    <w:rsid w:val="003913F2"/>
    <w:rsid w:val="00395676"/>
    <w:rsid w:val="0039683A"/>
    <w:rsid w:val="00396A3C"/>
    <w:rsid w:val="003A02C1"/>
    <w:rsid w:val="003A39F7"/>
    <w:rsid w:val="003A4C99"/>
    <w:rsid w:val="003B1976"/>
    <w:rsid w:val="003B3164"/>
    <w:rsid w:val="003C1287"/>
    <w:rsid w:val="003C1570"/>
    <w:rsid w:val="003C2542"/>
    <w:rsid w:val="003C4176"/>
    <w:rsid w:val="003C4261"/>
    <w:rsid w:val="003C4ED6"/>
    <w:rsid w:val="003C5D30"/>
    <w:rsid w:val="003C7C81"/>
    <w:rsid w:val="003D0645"/>
    <w:rsid w:val="003D213F"/>
    <w:rsid w:val="003D23ED"/>
    <w:rsid w:val="003D5315"/>
    <w:rsid w:val="003D663E"/>
    <w:rsid w:val="003D67E8"/>
    <w:rsid w:val="003E2209"/>
    <w:rsid w:val="003E2368"/>
    <w:rsid w:val="003E3CD1"/>
    <w:rsid w:val="003E52C2"/>
    <w:rsid w:val="003E7BFD"/>
    <w:rsid w:val="003F433C"/>
    <w:rsid w:val="003F5733"/>
    <w:rsid w:val="003F5FD0"/>
    <w:rsid w:val="003F6086"/>
    <w:rsid w:val="00402A02"/>
    <w:rsid w:val="0040368C"/>
    <w:rsid w:val="00403F4F"/>
    <w:rsid w:val="0040406E"/>
    <w:rsid w:val="00404EDC"/>
    <w:rsid w:val="00406E30"/>
    <w:rsid w:val="00411536"/>
    <w:rsid w:val="0041170E"/>
    <w:rsid w:val="00411F98"/>
    <w:rsid w:val="00412B2E"/>
    <w:rsid w:val="0042073F"/>
    <w:rsid w:val="00424792"/>
    <w:rsid w:val="00424D86"/>
    <w:rsid w:val="004251B1"/>
    <w:rsid w:val="004268E9"/>
    <w:rsid w:val="00433527"/>
    <w:rsid w:val="0043453F"/>
    <w:rsid w:val="004359FB"/>
    <w:rsid w:val="00441ED5"/>
    <w:rsid w:val="004449BD"/>
    <w:rsid w:val="00444AA0"/>
    <w:rsid w:val="00445DD4"/>
    <w:rsid w:val="00446E47"/>
    <w:rsid w:val="004513F0"/>
    <w:rsid w:val="00452B5A"/>
    <w:rsid w:val="0045361B"/>
    <w:rsid w:val="00453C8E"/>
    <w:rsid w:val="004542E7"/>
    <w:rsid w:val="0045440D"/>
    <w:rsid w:val="00455426"/>
    <w:rsid w:val="00455EC2"/>
    <w:rsid w:val="0046015E"/>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5626"/>
    <w:rsid w:val="00485739"/>
    <w:rsid w:val="004866ED"/>
    <w:rsid w:val="0048705D"/>
    <w:rsid w:val="00487149"/>
    <w:rsid w:val="00490E38"/>
    <w:rsid w:val="004941E7"/>
    <w:rsid w:val="004943DC"/>
    <w:rsid w:val="004A0C27"/>
    <w:rsid w:val="004A0FC5"/>
    <w:rsid w:val="004A3217"/>
    <w:rsid w:val="004A3FC4"/>
    <w:rsid w:val="004A718F"/>
    <w:rsid w:val="004A7326"/>
    <w:rsid w:val="004B0478"/>
    <w:rsid w:val="004B080D"/>
    <w:rsid w:val="004B0A0B"/>
    <w:rsid w:val="004B47C7"/>
    <w:rsid w:val="004B5B17"/>
    <w:rsid w:val="004B6316"/>
    <w:rsid w:val="004B6BC1"/>
    <w:rsid w:val="004B76BF"/>
    <w:rsid w:val="004C02FE"/>
    <w:rsid w:val="004C03AA"/>
    <w:rsid w:val="004C0A95"/>
    <w:rsid w:val="004C1694"/>
    <w:rsid w:val="004C5178"/>
    <w:rsid w:val="004C58A8"/>
    <w:rsid w:val="004C71E0"/>
    <w:rsid w:val="004D1772"/>
    <w:rsid w:val="004D32FE"/>
    <w:rsid w:val="004D4A59"/>
    <w:rsid w:val="004E073F"/>
    <w:rsid w:val="004E0ED6"/>
    <w:rsid w:val="004E1270"/>
    <w:rsid w:val="004E3AA9"/>
    <w:rsid w:val="004E471F"/>
    <w:rsid w:val="004E5215"/>
    <w:rsid w:val="004E532D"/>
    <w:rsid w:val="004E5B2C"/>
    <w:rsid w:val="004E65E6"/>
    <w:rsid w:val="004E6D70"/>
    <w:rsid w:val="004F1F13"/>
    <w:rsid w:val="004F2132"/>
    <w:rsid w:val="004F381D"/>
    <w:rsid w:val="005027B2"/>
    <w:rsid w:val="00502C37"/>
    <w:rsid w:val="005046AF"/>
    <w:rsid w:val="00506702"/>
    <w:rsid w:val="0050674F"/>
    <w:rsid w:val="0051048D"/>
    <w:rsid w:val="00515A6A"/>
    <w:rsid w:val="00515D2B"/>
    <w:rsid w:val="00516846"/>
    <w:rsid w:val="00520948"/>
    <w:rsid w:val="00522DCF"/>
    <w:rsid w:val="00526074"/>
    <w:rsid w:val="00532850"/>
    <w:rsid w:val="00537DC3"/>
    <w:rsid w:val="00541179"/>
    <w:rsid w:val="00543044"/>
    <w:rsid w:val="00543AEE"/>
    <w:rsid w:val="00544466"/>
    <w:rsid w:val="00545F0D"/>
    <w:rsid w:val="00547F5F"/>
    <w:rsid w:val="0055091B"/>
    <w:rsid w:val="0055324C"/>
    <w:rsid w:val="00557363"/>
    <w:rsid w:val="00560106"/>
    <w:rsid w:val="00567EAE"/>
    <w:rsid w:val="005702C2"/>
    <w:rsid w:val="00571155"/>
    <w:rsid w:val="00571B3E"/>
    <w:rsid w:val="00572079"/>
    <w:rsid w:val="00574A00"/>
    <w:rsid w:val="0057501D"/>
    <w:rsid w:val="005753E4"/>
    <w:rsid w:val="00580425"/>
    <w:rsid w:val="0058130F"/>
    <w:rsid w:val="00581449"/>
    <w:rsid w:val="00581532"/>
    <w:rsid w:val="005815E2"/>
    <w:rsid w:val="005827CB"/>
    <w:rsid w:val="00584E81"/>
    <w:rsid w:val="00590CB1"/>
    <w:rsid w:val="005965AD"/>
    <w:rsid w:val="00597DC2"/>
    <w:rsid w:val="005A07EF"/>
    <w:rsid w:val="005A2D39"/>
    <w:rsid w:val="005A4319"/>
    <w:rsid w:val="005B2283"/>
    <w:rsid w:val="005C1B6E"/>
    <w:rsid w:val="005C33A1"/>
    <w:rsid w:val="005C39DC"/>
    <w:rsid w:val="005C669F"/>
    <w:rsid w:val="005C6BDA"/>
    <w:rsid w:val="005D73E7"/>
    <w:rsid w:val="005E0123"/>
    <w:rsid w:val="005E151F"/>
    <w:rsid w:val="005E1D56"/>
    <w:rsid w:val="005E5E28"/>
    <w:rsid w:val="005E6524"/>
    <w:rsid w:val="005F2E51"/>
    <w:rsid w:val="005F33E1"/>
    <w:rsid w:val="005F3B9D"/>
    <w:rsid w:val="005F56C9"/>
    <w:rsid w:val="005F64AB"/>
    <w:rsid w:val="005F7A06"/>
    <w:rsid w:val="005F7AAC"/>
    <w:rsid w:val="006023F3"/>
    <w:rsid w:val="00603C3C"/>
    <w:rsid w:val="00604691"/>
    <w:rsid w:val="00604F4D"/>
    <w:rsid w:val="0060618E"/>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5569"/>
    <w:rsid w:val="00645C5A"/>
    <w:rsid w:val="00646133"/>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71F7A"/>
    <w:rsid w:val="00674332"/>
    <w:rsid w:val="00676F90"/>
    <w:rsid w:val="00680BAE"/>
    <w:rsid w:val="0068146F"/>
    <w:rsid w:val="006818E2"/>
    <w:rsid w:val="00684473"/>
    <w:rsid w:val="006879C3"/>
    <w:rsid w:val="00691200"/>
    <w:rsid w:val="00693D4E"/>
    <w:rsid w:val="00695FF7"/>
    <w:rsid w:val="00696AC6"/>
    <w:rsid w:val="006A03DB"/>
    <w:rsid w:val="006A30C4"/>
    <w:rsid w:val="006A365A"/>
    <w:rsid w:val="006A5E44"/>
    <w:rsid w:val="006A6170"/>
    <w:rsid w:val="006A7EBB"/>
    <w:rsid w:val="006B135F"/>
    <w:rsid w:val="006B19EA"/>
    <w:rsid w:val="006B74EE"/>
    <w:rsid w:val="006B7D4F"/>
    <w:rsid w:val="006C0A76"/>
    <w:rsid w:val="006C1356"/>
    <w:rsid w:val="006C197E"/>
    <w:rsid w:val="006C419A"/>
    <w:rsid w:val="006C5AA8"/>
    <w:rsid w:val="006C71F5"/>
    <w:rsid w:val="006D3FA2"/>
    <w:rsid w:val="006D4DF3"/>
    <w:rsid w:val="006D50A1"/>
    <w:rsid w:val="006D53C3"/>
    <w:rsid w:val="006D5844"/>
    <w:rsid w:val="006D6DFB"/>
    <w:rsid w:val="006E2A5C"/>
    <w:rsid w:val="006E4588"/>
    <w:rsid w:val="006E7DBC"/>
    <w:rsid w:val="006F3B2C"/>
    <w:rsid w:val="006F5E93"/>
    <w:rsid w:val="00703D56"/>
    <w:rsid w:val="0070744C"/>
    <w:rsid w:val="007134EA"/>
    <w:rsid w:val="007156B7"/>
    <w:rsid w:val="007202A5"/>
    <w:rsid w:val="00721164"/>
    <w:rsid w:val="007241A0"/>
    <w:rsid w:val="007261B5"/>
    <w:rsid w:val="00727290"/>
    <w:rsid w:val="007304D8"/>
    <w:rsid w:val="007306B9"/>
    <w:rsid w:val="007318D7"/>
    <w:rsid w:val="00734F3C"/>
    <w:rsid w:val="00736BBA"/>
    <w:rsid w:val="007378DC"/>
    <w:rsid w:val="00737D26"/>
    <w:rsid w:val="00740292"/>
    <w:rsid w:val="007417CF"/>
    <w:rsid w:val="007431C5"/>
    <w:rsid w:val="00744125"/>
    <w:rsid w:val="007457D6"/>
    <w:rsid w:val="00750D05"/>
    <w:rsid w:val="00750EB0"/>
    <w:rsid w:val="00751A94"/>
    <w:rsid w:val="00751C9C"/>
    <w:rsid w:val="00753254"/>
    <w:rsid w:val="0075342B"/>
    <w:rsid w:val="00754328"/>
    <w:rsid w:val="00754B44"/>
    <w:rsid w:val="007628CB"/>
    <w:rsid w:val="007633E7"/>
    <w:rsid w:val="00765A3F"/>
    <w:rsid w:val="00770445"/>
    <w:rsid w:val="00776E7C"/>
    <w:rsid w:val="0078113F"/>
    <w:rsid w:val="007814CA"/>
    <w:rsid w:val="0078387C"/>
    <w:rsid w:val="00790AB0"/>
    <w:rsid w:val="007914CE"/>
    <w:rsid w:val="007962E4"/>
    <w:rsid w:val="0079799F"/>
    <w:rsid w:val="007A23B5"/>
    <w:rsid w:val="007A68CA"/>
    <w:rsid w:val="007A7578"/>
    <w:rsid w:val="007A7C0F"/>
    <w:rsid w:val="007B05C3"/>
    <w:rsid w:val="007B1B76"/>
    <w:rsid w:val="007C225B"/>
    <w:rsid w:val="007C5600"/>
    <w:rsid w:val="007D21D5"/>
    <w:rsid w:val="007E077D"/>
    <w:rsid w:val="007E2F21"/>
    <w:rsid w:val="007E66A3"/>
    <w:rsid w:val="007F01E8"/>
    <w:rsid w:val="007F1E9C"/>
    <w:rsid w:val="007F254D"/>
    <w:rsid w:val="007F2B6A"/>
    <w:rsid w:val="007F3EB4"/>
    <w:rsid w:val="007F4820"/>
    <w:rsid w:val="007F56EE"/>
    <w:rsid w:val="007F6D5A"/>
    <w:rsid w:val="008002B8"/>
    <w:rsid w:val="0080095F"/>
    <w:rsid w:val="0080173C"/>
    <w:rsid w:val="00801BC3"/>
    <w:rsid w:val="00802DC4"/>
    <w:rsid w:val="008034CA"/>
    <w:rsid w:val="00805791"/>
    <w:rsid w:val="00806CD5"/>
    <w:rsid w:val="008073E3"/>
    <w:rsid w:val="00807B4B"/>
    <w:rsid w:val="00811082"/>
    <w:rsid w:val="00813042"/>
    <w:rsid w:val="0081371A"/>
    <w:rsid w:val="00813D28"/>
    <w:rsid w:val="008154F1"/>
    <w:rsid w:val="00817765"/>
    <w:rsid w:val="00821809"/>
    <w:rsid w:val="00821C93"/>
    <w:rsid w:val="008228A6"/>
    <w:rsid w:val="0082760E"/>
    <w:rsid w:val="00830CDD"/>
    <w:rsid w:val="00831BCD"/>
    <w:rsid w:val="008325A3"/>
    <w:rsid w:val="00833048"/>
    <w:rsid w:val="00835C1F"/>
    <w:rsid w:val="00835FA4"/>
    <w:rsid w:val="00837668"/>
    <w:rsid w:val="00837C8C"/>
    <w:rsid w:val="00843BE3"/>
    <w:rsid w:val="00844A1C"/>
    <w:rsid w:val="008454C1"/>
    <w:rsid w:val="00845950"/>
    <w:rsid w:val="008520A7"/>
    <w:rsid w:val="0085320B"/>
    <w:rsid w:val="008533D1"/>
    <w:rsid w:val="008538A1"/>
    <w:rsid w:val="00854059"/>
    <w:rsid w:val="008574C0"/>
    <w:rsid w:val="008610F3"/>
    <w:rsid w:val="00863A33"/>
    <w:rsid w:val="00870C66"/>
    <w:rsid w:val="00872CD1"/>
    <w:rsid w:val="008772E4"/>
    <w:rsid w:val="00877D77"/>
    <w:rsid w:val="00880E9F"/>
    <w:rsid w:val="00882B75"/>
    <w:rsid w:val="00882D82"/>
    <w:rsid w:val="00883714"/>
    <w:rsid w:val="008849E6"/>
    <w:rsid w:val="00887FC9"/>
    <w:rsid w:val="00894A7A"/>
    <w:rsid w:val="00894F8A"/>
    <w:rsid w:val="008966E0"/>
    <w:rsid w:val="008A3FEF"/>
    <w:rsid w:val="008A4A76"/>
    <w:rsid w:val="008A69F4"/>
    <w:rsid w:val="008B0C46"/>
    <w:rsid w:val="008B2896"/>
    <w:rsid w:val="008B3E9F"/>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74D4"/>
    <w:rsid w:val="008F3B31"/>
    <w:rsid w:val="008F4E75"/>
    <w:rsid w:val="008F5E41"/>
    <w:rsid w:val="008F6F2C"/>
    <w:rsid w:val="009006C7"/>
    <w:rsid w:val="00900B38"/>
    <w:rsid w:val="00900F1A"/>
    <w:rsid w:val="00905DCC"/>
    <w:rsid w:val="00906678"/>
    <w:rsid w:val="00914407"/>
    <w:rsid w:val="00916FDD"/>
    <w:rsid w:val="00917300"/>
    <w:rsid w:val="00923593"/>
    <w:rsid w:val="009236DE"/>
    <w:rsid w:val="00924F45"/>
    <w:rsid w:val="00926D62"/>
    <w:rsid w:val="009319E4"/>
    <w:rsid w:val="009336CF"/>
    <w:rsid w:val="009431B3"/>
    <w:rsid w:val="00950367"/>
    <w:rsid w:val="00950A55"/>
    <w:rsid w:val="00953BFF"/>
    <w:rsid w:val="009544FE"/>
    <w:rsid w:val="009565F6"/>
    <w:rsid w:val="009613C6"/>
    <w:rsid w:val="00961BA7"/>
    <w:rsid w:val="00963471"/>
    <w:rsid w:val="009652B9"/>
    <w:rsid w:val="00965E79"/>
    <w:rsid w:val="00967B6D"/>
    <w:rsid w:val="00972B2C"/>
    <w:rsid w:val="0097344A"/>
    <w:rsid w:val="0097555D"/>
    <w:rsid w:val="00976B7A"/>
    <w:rsid w:val="00980757"/>
    <w:rsid w:val="009907AA"/>
    <w:rsid w:val="0099234A"/>
    <w:rsid w:val="00993280"/>
    <w:rsid w:val="00995067"/>
    <w:rsid w:val="00995C47"/>
    <w:rsid w:val="009963E7"/>
    <w:rsid w:val="0099699B"/>
    <w:rsid w:val="00996AAA"/>
    <w:rsid w:val="009A026D"/>
    <w:rsid w:val="009A204D"/>
    <w:rsid w:val="009A3923"/>
    <w:rsid w:val="009A4E8F"/>
    <w:rsid w:val="009A7544"/>
    <w:rsid w:val="009B0B5A"/>
    <w:rsid w:val="009B0FB2"/>
    <w:rsid w:val="009B2549"/>
    <w:rsid w:val="009B27F8"/>
    <w:rsid w:val="009B2950"/>
    <w:rsid w:val="009B4A83"/>
    <w:rsid w:val="009B73BF"/>
    <w:rsid w:val="009C1F0D"/>
    <w:rsid w:val="009C280B"/>
    <w:rsid w:val="009C5901"/>
    <w:rsid w:val="009C703E"/>
    <w:rsid w:val="009D0B61"/>
    <w:rsid w:val="009D2085"/>
    <w:rsid w:val="009D26A2"/>
    <w:rsid w:val="009D30B8"/>
    <w:rsid w:val="009D46ED"/>
    <w:rsid w:val="009D7157"/>
    <w:rsid w:val="009E27C2"/>
    <w:rsid w:val="009E2BB9"/>
    <w:rsid w:val="009E3217"/>
    <w:rsid w:val="009E7CB7"/>
    <w:rsid w:val="009F0BDC"/>
    <w:rsid w:val="009F0F18"/>
    <w:rsid w:val="009F158C"/>
    <w:rsid w:val="009F6A42"/>
    <w:rsid w:val="00A01CFB"/>
    <w:rsid w:val="00A057B2"/>
    <w:rsid w:val="00A05D29"/>
    <w:rsid w:val="00A11555"/>
    <w:rsid w:val="00A117DC"/>
    <w:rsid w:val="00A11AC1"/>
    <w:rsid w:val="00A13549"/>
    <w:rsid w:val="00A145D3"/>
    <w:rsid w:val="00A14F47"/>
    <w:rsid w:val="00A158DC"/>
    <w:rsid w:val="00A16E02"/>
    <w:rsid w:val="00A20B07"/>
    <w:rsid w:val="00A232F4"/>
    <w:rsid w:val="00A23985"/>
    <w:rsid w:val="00A24D4D"/>
    <w:rsid w:val="00A26624"/>
    <w:rsid w:val="00A313B7"/>
    <w:rsid w:val="00A32C68"/>
    <w:rsid w:val="00A360D2"/>
    <w:rsid w:val="00A372CC"/>
    <w:rsid w:val="00A401B5"/>
    <w:rsid w:val="00A43AB6"/>
    <w:rsid w:val="00A45700"/>
    <w:rsid w:val="00A46313"/>
    <w:rsid w:val="00A5005B"/>
    <w:rsid w:val="00A56709"/>
    <w:rsid w:val="00A57C96"/>
    <w:rsid w:val="00A621B4"/>
    <w:rsid w:val="00A62CCF"/>
    <w:rsid w:val="00A65BC8"/>
    <w:rsid w:val="00A65FB1"/>
    <w:rsid w:val="00A676A4"/>
    <w:rsid w:val="00A70B8F"/>
    <w:rsid w:val="00A70DE8"/>
    <w:rsid w:val="00A741BD"/>
    <w:rsid w:val="00A76EFC"/>
    <w:rsid w:val="00A8294C"/>
    <w:rsid w:val="00A84115"/>
    <w:rsid w:val="00A84237"/>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2059"/>
    <w:rsid w:val="00AB3F31"/>
    <w:rsid w:val="00AB4812"/>
    <w:rsid w:val="00AC1EE3"/>
    <w:rsid w:val="00AC3A3F"/>
    <w:rsid w:val="00AC661B"/>
    <w:rsid w:val="00AC6E22"/>
    <w:rsid w:val="00AC733C"/>
    <w:rsid w:val="00AD24A5"/>
    <w:rsid w:val="00AD381A"/>
    <w:rsid w:val="00AD58E6"/>
    <w:rsid w:val="00AE0FF0"/>
    <w:rsid w:val="00AE251D"/>
    <w:rsid w:val="00AE2FCB"/>
    <w:rsid w:val="00AE42D9"/>
    <w:rsid w:val="00AE4D94"/>
    <w:rsid w:val="00AE6BCF"/>
    <w:rsid w:val="00AE700F"/>
    <w:rsid w:val="00AF20C4"/>
    <w:rsid w:val="00AF23DD"/>
    <w:rsid w:val="00AF31AB"/>
    <w:rsid w:val="00AF3C2C"/>
    <w:rsid w:val="00AF56F2"/>
    <w:rsid w:val="00AF7B25"/>
    <w:rsid w:val="00B002CC"/>
    <w:rsid w:val="00B01ACF"/>
    <w:rsid w:val="00B01E61"/>
    <w:rsid w:val="00B03387"/>
    <w:rsid w:val="00B065CE"/>
    <w:rsid w:val="00B07DC1"/>
    <w:rsid w:val="00B12998"/>
    <w:rsid w:val="00B1349F"/>
    <w:rsid w:val="00B168B2"/>
    <w:rsid w:val="00B17C55"/>
    <w:rsid w:val="00B218E3"/>
    <w:rsid w:val="00B22D73"/>
    <w:rsid w:val="00B23A08"/>
    <w:rsid w:val="00B26B47"/>
    <w:rsid w:val="00B278EB"/>
    <w:rsid w:val="00B312E9"/>
    <w:rsid w:val="00B33D4C"/>
    <w:rsid w:val="00B36548"/>
    <w:rsid w:val="00B374ED"/>
    <w:rsid w:val="00B406A3"/>
    <w:rsid w:val="00B43666"/>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824FE"/>
    <w:rsid w:val="00B82EE3"/>
    <w:rsid w:val="00B8353D"/>
    <w:rsid w:val="00B84FD8"/>
    <w:rsid w:val="00B860FF"/>
    <w:rsid w:val="00B9372E"/>
    <w:rsid w:val="00B95F33"/>
    <w:rsid w:val="00B967A9"/>
    <w:rsid w:val="00BA0F4A"/>
    <w:rsid w:val="00BA250C"/>
    <w:rsid w:val="00BA58D9"/>
    <w:rsid w:val="00BA6B4C"/>
    <w:rsid w:val="00BA7211"/>
    <w:rsid w:val="00BB21B8"/>
    <w:rsid w:val="00BB2AA7"/>
    <w:rsid w:val="00BB3908"/>
    <w:rsid w:val="00BB4F6E"/>
    <w:rsid w:val="00BB5150"/>
    <w:rsid w:val="00BB6720"/>
    <w:rsid w:val="00BC0628"/>
    <w:rsid w:val="00BC1908"/>
    <w:rsid w:val="00BC21BF"/>
    <w:rsid w:val="00BC66FE"/>
    <w:rsid w:val="00BD1723"/>
    <w:rsid w:val="00BD1D68"/>
    <w:rsid w:val="00BD25E9"/>
    <w:rsid w:val="00BD30ED"/>
    <w:rsid w:val="00BD5189"/>
    <w:rsid w:val="00BD747A"/>
    <w:rsid w:val="00BE267E"/>
    <w:rsid w:val="00BE5333"/>
    <w:rsid w:val="00BE5449"/>
    <w:rsid w:val="00BE5A67"/>
    <w:rsid w:val="00BF08DD"/>
    <w:rsid w:val="00BF3B6A"/>
    <w:rsid w:val="00BF49C7"/>
    <w:rsid w:val="00C0318D"/>
    <w:rsid w:val="00C07C4E"/>
    <w:rsid w:val="00C12B99"/>
    <w:rsid w:val="00C15624"/>
    <w:rsid w:val="00C15BC0"/>
    <w:rsid w:val="00C1663E"/>
    <w:rsid w:val="00C20AA1"/>
    <w:rsid w:val="00C210CC"/>
    <w:rsid w:val="00C21D57"/>
    <w:rsid w:val="00C239F6"/>
    <w:rsid w:val="00C24C0A"/>
    <w:rsid w:val="00C25608"/>
    <w:rsid w:val="00C25E36"/>
    <w:rsid w:val="00C26F81"/>
    <w:rsid w:val="00C3027A"/>
    <w:rsid w:val="00C40B7E"/>
    <w:rsid w:val="00C43E84"/>
    <w:rsid w:val="00C45CD5"/>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8124F"/>
    <w:rsid w:val="00C82870"/>
    <w:rsid w:val="00C84343"/>
    <w:rsid w:val="00C84BA8"/>
    <w:rsid w:val="00C8584A"/>
    <w:rsid w:val="00C8624A"/>
    <w:rsid w:val="00C87756"/>
    <w:rsid w:val="00C95278"/>
    <w:rsid w:val="00C95B2F"/>
    <w:rsid w:val="00CA0E2F"/>
    <w:rsid w:val="00CA2BD7"/>
    <w:rsid w:val="00CA3738"/>
    <w:rsid w:val="00CA42F7"/>
    <w:rsid w:val="00CA5541"/>
    <w:rsid w:val="00CA6969"/>
    <w:rsid w:val="00CA71B7"/>
    <w:rsid w:val="00CB00F3"/>
    <w:rsid w:val="00CB12BA"/>
    <w:rsid w:val="00CB2FFE"/>
    <w:rsid w:val="00CB484E"/>
    <w:rsid w:val="00CB4B53"/>
    <w:rsid w:val="00CB7D21"/>
    <w:rsid w:val="00CB7DA1"/>
    <w:rsid w:val="00CC16B2"/>
    <w:rsid w:val="00CC6596"/>
    <w:rsid w:val="00CD1B01"/>
    <w:rsid w:val="00CD1D5B"/>
    <w:rsid w:val="00CD1E6E"/>
    <w:rsid w:val="00CD341E"/>
    <w:rsid w:val="00CD4791"/>
    <w:rsid w:val="00CD5187"/>
    <w:rsid w:val="00CD7815"/>
    <w:rsid w:val="00CE3E78"/>
    <w:rsid w:val="00CE40B1"/>
    <w:rsid w:val="00CE6775"/>
    <w:rsid w:val="00CE67D7"/>
    <w:rsid w:val="00CE68DB"/>
    <w:rsid w:val="00CE7256"/>
    <w:rsid w:val="00CE76FC"/>
    <w:rsid w:val="00CE77E0"/>
    <w:rsid w:val="00CE7F23"/>
    <w:rsid w:val="00CF1AFB"/>
    <w:rsid w:val="00CF22CE"/>
    <w:rsid w:val="00CF29E9"/>
    <w:rsid w:val="00CF44B9"/>
    <w:rsid w:val="00D15DB8"/>
    <w:rsid w:val="00D16568"/>
    <w:rsid w:val="00D175DD"/>
    <w:rsid w:val="00D22F33"/>
    <w:rsid w:val="00D22F4F"/>
    <w:rsid w:val="00D23E78"/>
    <w:rsid w:val="00D240F2"/>
    <w:rsid w:val="00D24137"/>
    <w:rsid w:val="00D24BFE"/>
    <w:rsid w:val="00D268C0"/>
    <w:rsid w:val="00D27162"/>
    <w:rsid w:val="00D277DC"/>
    <w:rsid w:val="00D31DC3"/>
    <w:rsid w:val="00D329CF"/>
    <w:rsid w:val="00D33EE5"/>
    <w:rsid w:val="00D347B9"/>
    <w:rsid w:val="00D3765F"/>
    <w:rsid w:val="00D429EE"/>
    <w:rsid w:val="00D42E2E"/>
    <w:rsid w:val="00D4571D"/>
    <w:rsid w:val="00D465FD"/>
    <w:rsid w:val="00D46C7B"/>
    <w:rsid w:val="00D47647"/>
    <w:rsid w:val="00D56B5F"/>
    <w:rsid w:val="00D57F4F"/>
    <w:rsid w:val="00D62251"/>
    <w:rsid w:val="00D638A6"/>
    <w:rsid w:val="00D65589"/>
    <w:rsid w:val="00D672EC"/>
    <w:rsid w:val="00D67B5C"/>
    <w:rsid w:val="00D702A7"/>
    <w:rsid w:val="00D71F9C"/>
    <w:rsid w:val="00D75B86"/>
    <w:rsid w:val="00D77BE8"/>
    <w:rsid w:val="00D8213A"/>
    <w:rsid w:val="00D91533"/>
    <w:rsid w:val="00D91F0F"/>
    <w:rsid w:val="00D932DC"/>
    <w:rsid w:val="00D94FEE"/>
    <w:rsid w:val="00D9553B"/>
    <w:rsid w:val="00DA046D"/>
    <w:rsid w:val="00DA269E"/>
    <w:rsid w:val="00DA3ABF"/>
    <w:rsid w:val="00DA4798"/>
    <w:rsid w:val="00DA552F"/>
    <w:rsid w:val="00DA6A48"/>
    <w:rsid w:val="00DB0B42"/>
    <w:rsid w:val="00DB3E84"/>
    <w:rsid w:val="00DB4069"/>
    <w:rsid w:val="00DC2054"/>
    <w:rsid w:val="00DC2326"/>
    <w:rsid w:val="00DC2472"/>
    <w:rsid w:val="00DC33F5"/>
    <w:rsid w:val="00DC3648"/>
    <w:rsid w:val="00DC3E55"/>
    <w:rsid w:val="00DC4711"/>
    <w:rsid w:val="00DC7DFF"/>
    <w:rsid w:val="00DC7F23"/>
    <w:rsid w:val="00DD0C12"/>
    <w:rsid w:val="00DD1E6F"/>
    <w:rsid w:val="00DD6562"/>
    <w:rsid w:val="00DD6798"/>
    <w:rsid w:val="00DD6D3A"/>
    <w:rsid w:val="00DE0F8A"/>
    <w:rsid w:val="00DE23E5"/>
    <w:rsid w:val="00DE495D"/>
    <w:rsid w:val="00DE4C4D"/>
    <w:rsid w:val="00DE4DCD"/>
    <w:rsid w:val="00DE524F"/>
    <w:rsid w:val="00DF3F29"/>
    <w:rsid w:val="00DF421A"/>
    <w:rsid w:val="00E0321A"/>
    <w:rsid w:val="00E04179"/>
    <w:rsid w:val="00E04A9E"/>
    <w:rsid w:val="00E07081"/>
    <w:rsid w:val="00E07E02"/>
    <w:rsid w:val="00E10293"/>
    <w:rsid w:val="00E104D5"/>
    <w:rsid w:val="00E10C23"/>
    <w:rsid w:val="00E12EBA"/>
    <w:rsid w:val="00E12F24"/>
    <w:rsid w:val="00E1439B"/>
    <w:rsid w:val="00E14F1B"/>
    <w:rsid w:val="00E164C5"/>
    <w:rsid w:val="00E219E6"/>
    <w:rsid w:val="00E23A33"/>
    <w:rsid w:val="00E31AAA"/>
    <w:rsid w:val="00E32A54"/>
    <w:rsid w:val="00E32C8A"/>
    <w:rsid w:val="00E3393E"/>
    <w:rsid w:val="00E3399A"/>
    <w:rsid w:val="00E34B38"/>
    <w:rsid w:val="00E354DC"/>
    <w:rsid w:val="00E404E4"/>
    <w:rsid w:val="00E414BD"/>
    <w:rsid w:val="00E41791"/>
    <w:rsid w:val="00E4260B"/>
    <w:rsid w:val="00E46F22"/>
    <w:rsid w:val="00E5077C"/>
    <w:rsid w:val="00E5206D"/>
    <w:rsid w:val="00E52B76"/>
    <w:rsid w:val="00E52CF4"/>
    <w:rsid w:val="00E563C2"/>
    <w:rsid w:val="00E56618"/>
    <w:rsid w:val="00E57724"/>
    <w:rsid w:val="00E578CB"/>
    <w:rsid w:val="00E6026B"/>
    <w:rsid w:val="00E612DB"/>
    <w:rsid w:val="00E618C0"/>
    <w:rsid w:val="00E61F6D"/>
    <w:rsid w:val="00E62DFD"/>
    <w:rsid w:val="00E6584D"/>
    <w:rsid w:val="00E66A52"/>
    <w:rsid w:val="00E673B8"/>
    <w:rsid w:val="00E72086"/>
    <w:rsid w:val="00E72F51"/>
    <w:rsid w:val="00E75855"/>
    <w:rsid w:val="00E76131"/>
    <w:rsid w:val="00E76860"/>
    <w:rsid w:val="00E76ABB"/>
    <w:rsid w:val="00E80E71"/>
    <w:rsid w:val="00E818CE"/>
    <w:rsid w:val="00E861AE"/>
    <w:rsid w:val="00E871BE"/>
    <w:rsid w:val="00E87816"/>
    <w:rsid w:val="00E91AB2"/>
    <w:rsid w:val="00E9227E"/>
    <w:rsid w:val="00E939FF"/>
    <w:rsid w:val="00EA013E"/>
    <w:rsid w:val="00EA04C4"/>
    <w:rsid w:val="00EA1623"/>
    <w:rsid w:val="00EA4D55"/>
    <w:rsid w:val="00EA5633"/>
    <w:rsid w:val="00EA6CB9"/>
    <w:rsid w:val="00EA7CE3"/>
    <w:rsid w:val="00EB05BA"/>
    <w:rsid w:val="00EB3DB6"/>
    <w:rsid w:val="00EB501C"/>
    <w:rsid w:val="00EB5290"/>
    <w:rsid w:val="00EB6490"/>
    <w:rsid w:val="00EC0F11"/>
    <w:rsid w:val="00EC18AD"/>
    <w:rsid w:val="00EC6DCA"/>
    <w:rsid w:val="00ED078D"/>
    <w:rsid w:val="00ED0C71"/>
    <w:rsid w:val="00ED3677"/>
    <w:rsid w:val="00ED411F"/>
    <w:rsid w:val="00ED46A8"/>
    <w:rsid w:val="00ED5945"/>
    <w:rsid w:val="00ED6B25"/>
    <w:rsid w:val="00EE01AD"/>
    <w:rsid w:val="00EE31E5"/>
    <w:rsid w:val="00EE320D"/>
    <w:rsid w:val="00EE350A"/>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074C6"/>
    <w:rsid w:val="00F11861"/>
    <w:rsid w:val="00F11BDE"/>
    <w:rsid w:val="00F131D7"/>
    <w:rsid w:val="00F144EA"/>
    <w:rsid w:val="00F15AF4"/>
    <w:rsid w:val="00F203D8"/>
    <w:rsid w:val="00F20AB2"/>
    <w:rsid w:val="00F21142"/>
    <w:rsid w:val="00F22605"/>
    <w:rsid w:val="00F24754"/>
    <w:rsid w:val="00F261AC"/>
    <w:rsid w:val="00F31503"/>
    <w:rsid w:val="00F31846"/>
    <w:rsid w:val="00F31D8C"/>
    <w:rsid w:val="00F34BB1"/>
    <w:rsid w:val="00F363D1"/>
    <w:rsid w:val="00F377FA"/>
    <w:rsid w:val="00F37F8E"/>
    <w:rsid w:val="00F44873"/>
    <w:rsid w:val="00F52B27"/>
    <w:rsid w:val="00F52ECF"/>
    <w:rsid w:val="00F5419E"/>
    <w:rsid w:val="00F604AE"/>
    <w:rsid w:val="00F608DE"/>
    <w:rsid w:val="00F61491"/>
    <w:rsid w:val="00F620CD"/>
    <w:rsid w:val="00F62B12"/>
    <w:rsid w:val="00F6413F"/>
    <w:rsid w:val="00F6454F"/>
    <w:rsid w:val="00F662DE"/>
    <w:rsid w:val="00F6711C"/>
    <w:rsid w:val="00F679EC"/>
    <w:rsid w:val="00F67C2B"/>
    <w:rsid w:val="00F67C6A"/>
    <w:rsid w:val="00F67CB5"/>
    <w:rsid w:val="00F72C00"/>
    <w:rsid w:val="00F80021"/>
    <w:rsid w:val="00F83630"/>
    <w:rsid w:val="00F853B3"/>
    <w:rsid w:val="00F859AE"/>
    <w:rsid w:val="00F877F1"/>
    <w:rsid w:val="00F9384E"/>
    <w:rsid w:val="00F96852"/>
    <w:rsid w:val="00F9694B"/>
    <w:rsid w:val="00FA0B1A"/>
    <w:rsid w:val="00FA1758"/>
    <w:rsid w:val="00FA17B6"/>
    <w:rsid w:val="00FA470B"/>
    <w:rsid w:val="00FB0769"/>
    <w:rsid w:val="00FB3EE3"/>
    <w:rsid w:val="00FB4C13"/>
    <w:rsid w:val="00FB6739"/>
    <w:rsid w:val="00FB683F"/>
    <w:rsid w:val="00FB73EC"/>
    <w:rsid w:val="00FB75C9"/>
    <w:rsid w:val="00FB79B8"/>
    <w:rsid w:val="00FC0D2F"/>
    <w:rsid w:val="00FC1CA4"/>
    <w:rsid w:val="00FC381D"/>
    <w:rsid w:val="00FC5F36"/>
    <w:rsid w:val="00FC6455"/>
    <w:rsid w:val="00FC672E"/>
    <w:rsid w:val="00FD027D"/>
    <w:rsid w:val="00FD10DD"/>
    <w:rsid w:val="00FD18F9"/>
    <w:rsid w:val="00FD1C92"/>
    <w:rsid w:val="00FD3646"/>
    <w:rsid w:val="00FD369C"/>
    <w:rsid w:val="00FD6576"/>
    <w:rsid w:val="00FD6903"/>
    <w:rsid w:val="00FD7C40"/>
    <w:rsid w:val="00FE0356"/>
    <w:rsid w:val="00FE0FDE"/>
    <w:rsid w:val="00FE1089"/>
    <w:rsid w:val="00FE2943"/>
    <w:rsid w:val="00FE3CDC"/>
    <w:rsid w:val="00FE4239"/>
    <w:rsid w:val="00FE76B1"/>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table of figures" w:uiPriority="99"/>
    <w:lsdException w:name="footnote reference" w:uiPriority="99"/>
    <w:lsdException w:name="endnote reference" w:uiPriority="99"/>
    <w:lsdException w:name="endnote text"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7202A5"/>
    <w:pPr>
      <w:tabs>
        <w:tab w:val="left" w:pos="284"/>
      </w:tabs>
    </w:pPr>
    <w:rPr>
      <w:sz w:val="18"/>
      <w:szCs w:val="18"/>
      <w:lang w:val="en-US"/>
    </w:rPr>
  </w:style>
  <w:style w:type="character" w:customStyle="1" w:styleId="FootnoteTextChar">
    <w:name w:val="Footnote Text Char"/>
    <w:link w:val="FootnoteText"/>
    <w:uiPriority w:val="99"/>
    <w:rsid w:val="007202A5"/>
    <w:rPr>
      <w:rFonts w:ascii="Calibri" w:hAnsi="Calibri"/>
      <w:sz w:val="18"/>
      <w:szCs w:val="18"/>
      <w:lang w:eastAsia="fr-FR"/>
    </w:rPr>
  </w:style>
  <w:style w:type="character" w:styleId="FootnoteReference">
    <w:name w:val="footnote reference"/>
    <w:aliases w:val="Appel note de bas de p"/>
    <w:uiPriority w:val="99"/>
    <w:rsid w:val="004866ED"/>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link w:val="CallChar"/>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181C1A"/>
    <w:pPr>
      <w:spacing w:before="0"/>
      <w:ind w:left="3827" w:hanging="2268"/>
    </w:pPr>
    <w:rPr>
      <w:sz w:val="16"/>
      <w:szCs w:val="16"/>
    </w:rPr>
  </w:style>
  <w:style w:type="paragraph" w:customStyle="1" w:styleId="CEONormal">
    <w:name w:val="CEO_Normal"/>
    <w:link w:val="CEONormalChar"/>
    <w:autoRedefine/>
    <w:rsid w:val="00181C1A"/>
    <w:pPr>
      <w:spacing w:before="120" w:after="40"/>
    </w:pPr>
    <w:rPr>
      <w:rFonts w:ascii="Verdana" w:hAnsi="Verdana"/>
      <w:sz w:val="19"/>
      <w:szCs w:val="19"/>
      <w:lang w:val="en-GB" w:eastAsia="en-US"/>
    </w:rPr>
  </w:style>
  <w:style w:type="paragraph" w:customStyle="1" w:styleId="CEODocTitle2lines-Second">
    <w:name w:val="CEO_DocTitle2lines-Second"/>
    <w:basedOn w:val="CEODocTitle2lines-First"/>
    <w:rsid w:val="00181C1A"/>
    <w:pPr>
      <w:spacing w:before="0" w:after="480"/>
    </w:pPr>
  </w:style>
  <w:style w:type="paragraph" w:customStyle="1" w:styleId="CEODocTitle2lines-First">
    <w:name w:val="CEO_DocTitle2lines-First"/>
    <w:basedOn w:val="CEODocTitle-1line"/>
    <w:next w:val="Normal"/>
    <w:rsid w:val="00181C1A"/>
    <w:pPr>
      <w:spacing w:after="0"/>
    </w:pPr>
  </w:style>
  <w:style w:type="paragraph" w:customStyle="1" w:styleId="CEODocTitle-1line">
    <w:name w:val="CEO_DocTitle-1line"/>
    <w:basedOn w:val="Normal"/>
    <w:next w:val="Normal"/>
    <w:rsid w:val="00181C1A"/>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181C1A"/>
    <w:pPr>
      <w:keepNext/>
      <w:keepLines/>
      <w:numPr>
        <w:numId w:val="0"/>
      </w:numPr>
      <w:spacing w:before="480"/>
    </w:pPr>
  </w:style>
  <w:style w:type="paragraph" w:customStyle="1" w:styleId="CEOcontribution-H123">
    <w:name w:val="CEO_contribution-H123"/>
    <w:basedOn w:val="Normal"/>
    <w:rsid w:val="00181C1A"/>
    <w:pPr>
      <w:numPr>
        <w:numId w:val="9"/>
      </w:numPr>
      <w:tabs>
        <w:tab w:val="clear" w:pos="720"/>
        <w:tab w:val="num" w:pos="567"/>
      </w:tabs>
      <w:spacing w:after="120"/>
      <w:ind w:left="567" w:hanging="567"/>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181C1A"/>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181C1A"/>
    <w:pPr>
      <w:ind w:left="743"/>
    </w:pPr>
    <w:rPr>
      <w:b/>
      <w:bCs/>
      <w:iCs/>
    </w:rPr>
  </w:style>
  <w:style w:type="paragraph" w:customStyle="1" w:styleId="CEOSourceTitle">
    <w:name w:val="CEO_Source_Title"/>
    <w:basedOn w:val="Normal"/>
    <w:rsid w:val="00181C1A"/>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181C1A"/>
    <w:pPr>
      <w:keepNext w:val="0"/>
      <w:numPr>
        <w:ilvl w:val="1"/>
      </w:numPr>
      <w:tabs>
        <w:tab w:val="clear" w:pos="851"/>
        <w:tab w:val="num" w:pos="576"/>
      </w:tabs>
      <w:spacing w:before="120" w:after="120"/>
      <w:ind w:left="567" w:hanging="576"/>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181C1A"/>
    <w:pPr>
      <w:numPr>
        <w:numId w:val="4"/>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181C1A"/>
    <w:pPr>
      <w:numPr>
        <w:numId w:val="0"/>
      </w:numPr>
      <w:ind w:right="12"/>
      <w:jc w:val="right"/>
    </w:pPr>
  </w:style>
  <w:style w:type="paragraph" w:customStyle="1" w:styleId="CEODocDates">
    <w:name w:val="CEO_DocDates"/>
    <w:basedOn w:val="Normal"/>
    <w:next w:val="Normal"/>
    <w:rsid w:val="00181C1A"/>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181C1A"/>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181C1A"/>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181C1A"/>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181C1A"/>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181C1A"/>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181C1A"/>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181C1A"/>
    <w:pPr>
      <w:numPr>
        <w:numId w:val="0"/>
      </w:numPr>
      <w:spacing w:before="360"/>
    </w:pPr>
    <w:rPr>
      <w:b w:val="0"/>
    </w:rPr>
  </w:style>
  <w:style w:type="paragraph" w:customStyle="1" w:styleId="CEOParagraph111">
    <w:name w:val="CEO_Paragraph1.1.1"/>
    <w:basedOn w:val="Heading3"/>
    <w:rsid w:val="00181C1A"/>
    <w:pPr>
      <w:keepNext w:val="0"/>
      <w:numPr>
        <w:ilvl w:val="2"/>
      </w:numPr>
      <w:tabs>
        <w:tab w:val="clear" w:pos="851"/>
        <w:tab w:val="num" w:pos="1418"/>
      </w:tabs>
      <w:spacing w:before="0"/>
      <w:ind w:left="1418" w:hanging="851"/>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181C1A"/>
    <w:pPr>
      <w:numPr>
        <w:ilvl w:val="1"/>
        <w:numId w:val="5"/>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uiPriority w:val="99"/>
    <w:rsid w:val="00181C1A"/>
    <w:pPr>
      <w:numPr>
        <w:numId w:val="6"/>
      </w:num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181C1A"/>
    <w:pPr>
      <w:numPr>
        <w:numId w:val="7"/>
      </w:numPr>
    </w:pPr>
  </w:style>
  <w:style w:type="paragraph" w:customStyle="1" w:styleId="CEOMeetingDates">
    <w:name w:val="CEO_MeetingDates"/>
    <w:basedOn w:val="Normal"/>
    <w:rsid w:val="00181C1A"/>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link w:val="CEOMeetingNameChar"/>
    <w:rsid w:val="00181C1A"/>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181C1A"/>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181C1A"/>
    <w:pPr>
      <w:tabs>
        <w:tab w:val="left" w:pos="2098"/>
      </w:tabs>
      <w:ind w:left="2098" w:hanging="2098"/>
    </w:pPr>
    <w:rPr>
      <w:lang w:val="fr-CH"/>
    </w:rPr>
  </w:style>
  <w:style w:type="paragraph" w:customStyle="1" w:styleId="CEOQuestionDetails">
    <w:name w:val="CEO_QuestionDetails"/>
    <w:basedOn w:val="CEOOriginalLanguage"/>
    <w:rsid w:val="00181C1A"/>
    <w:rPr>
      <w:b w:val="0"/>
      <w:bCs/>
    </w:rPr>
  </w:style>
  <w:style w:type="paragraph" w:customStyle="1" w:styleId="CEOSectorName">
    <w:name w:val="CEO_SectorName"/>
    <w:basedOn w:val="Normal"/>
    <w:rsid w:val="00181C1A"/>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181C1A"/>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181C1A"/>
    <w:pPr>
      <w:spacing w:before="0"/>
    </w:pPr>
  </w:style>
  <w:style w:type="paragraph" w:customStyle="1" w:styleId="CEOSourceTitleDetails">
    <w:name w:val="CEO_SourceTitleDetails"/>
    <w:basedOn w:val="Normal"/>
    <w:rsid w:val="00181C1A"/>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181C1A"/>
    <w:pPr>
      <w:spacing w:before="120"/>
      <w:jc w:val="center"/>
    </w:pPr>
  </w:style>
  <w:style w:type="paragraph" w:customStyle="1" w:styleId="CEOindent-endash">
    <w:name w:val="CEO_indent-endash"/>
    <w:basedOn w:val="CEOEmdashList"/>
    <w:rsid w:val="00181C1A"/>
    <w:pPr>
      <w:numPr>
        <w:numId w:val="8"/>
      </w:numPr>
      <w:tabs>
        <w:tab w:val="clear" w:pos="1134"/>
      </w:tabs>
      <w:ind w:left="855" w:hanging="855"/>
    </w:pPr>
  </w:style>
  <w:style w:type="paragraph" w:customStyle="1" w:styleId="CEOEmdashList">
    <w:name w:val="CEO_EmdashList"/>
    <w:basedOn w:val="CEONormal"/>
    <w:rsid w:val="00181C1A"/>
  </w:style>
  <w:style w:type="paragraph" w:customStyle="1" w:styleId="CEOConsidering">
    <w:name w:val="CEO_Considering"/>
    <w:basedOn w:val="CEONormal"/>
    <w:rsid w:val="00181C1A"/>
    <w:pPr>
      <w:keepNext/>
      <w:keepLines/>
      <w:ind w:left="851"/>
    </w:pPr>
    <w:rPr>
      <w:i/>
      <w:iCs/>
    </w:rPr>
  </w:style>
  <w:style w:type="paragraph" w:customStyle="1" w:styleId="CEOEndBar">
    <w:name w:val="CEO_EndBar"/>
    <w:basedOn w:val="CEONormal"/>
    <w:rsid w:val="00181C1A"/>
    <w:pPr>
      <w:jc w:val="center"/>
    </w:pPr>
  </w:style>
  <w:style w:type="paragraph" w:customStyle="1" w:styleId="CEOExtract">
    <w:name w:val="CEO_Extract"/>
    <w:basedOn w:val="CEONormal"/>
    <w:rsid w:val="00181C1A"/>
    <w:pPr>
      <w:keepNext/>
      <w:keepLines/>
    </w:pPr>
  </w:style>
  <w:style w:type="paragraph" w:customStyle="1" w:styleId="CEOHeader">
    <w:name w:val="CEO_Header"/>
    <w:basedOn w:val="Normal"/>
    <w:rsid w:val="00181C1A"/>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181C1A"/>
    <w:pPr>
      <w:ind w:left="426"/>
    </w:pPr>
  </w:style>
  <w:style w:type="paragraph" w:customStyle="1" w:styleId="CEOLogo">
    <w:name w:val="CEO_Logo"/>
    <w:basedOn w:val="CEONormal"/>
    <w:rsid w:val="00181C1A"/>
    <w:pPr>
      <w:spacing w:before="0"/>
      <w:jc w:val="right"/>
    </w:pPr>
  </w:style>
  <w:style w:type="paragraph" w:customStyle="1" w:styleId="CEOMeetingSTG">
    <w:name w:val="CEO_MeetingSTG"/>
    <w:basedOn w:val="CEOMeetingName"/>
    <w:rsid w:val="00181C1A"/>
    <w:pPr>
      <w:spacing w:before="120" w:after="120"/>
    </w:pPr>
  </w:style>
  <w:style w:type="paragraph" w:customStyle="1" w:styleId="CEORevision">
    <w:name w:val="CEO_Revision"/>
    <w:basedOn w:val="CEONormal"/>
    <w:autoRedefine/>
    <w:rsid w:val="00181C1A"/>
    <w:pPr>
      <w:tabs>
        <w:tab w:val="left" w:pos="1928"/>
      </w:tabs>
    </w:pPr>
    <w:rPr>
      <w:b/>
      <w:sz w:val="18"/>
      <w:szCs w:val="18"/>
    </w:rPr>
  </w:style>
  <w:style w:type="paragraph" w:customStyle="1" w:styleId="CEORevisionNote">
    <w:name w:val="CEO_RevisionNote"/>
    <w:basedOn w:val="CEORevision"/>
    <w:autoRedefine/>
    <w:rsid w:val="00181C1A"/>
    <w:rPr>
      <w:b w:val="0"/>
      <w:i/>
      <w:iCs/>
      <w:lang w:val="en-US"/>
    </w:rPr>
  </w:style>
  <w:style w:type="paragraph" w:customStyle="1" w:styleId="CEOActionRequired">
    <w:name w:val="CEO_ActionRequired"/>
    <w:basedOn w:val="CEONormal"/>
    <w:rsid w:val="00181C1A"/>
    <w:pPr>
      <w:tabs>
        <w:tab w:val="left" w:pos="1928"/>
      </w:tabs>
    </w:pPr>
    <w:rPr>
      <w:b/>
    </w:rPr>
  </w:style>
  <w:style w:type="paragraph" w:customStyle="1" w:styleId="CEOSummaryStartHere">
    <w:name w:val="CEO_Summary_StartHere"/>
    <w:rsid w:val="00181C1A"/>
    <w:pPr>
      <w:spacing w:before="120" w:after="120"/>
      <w:jc w:val="center"/>
    </w:pPr>
    <w:rPr>
      <w:rFonts w:ascii="Verdana" w:eastAsia="SimHei" w:hAnsi="Verdana" w:cs="Simplified Arabic"/>
      <w:bCs/>
      <w:sz w:val="16"/>
      <w:szCs w:val="16"/>
      <w:lang w:val="fr-FR"/>
    </w:rPr>
  </w:style>
  <w:style w:type="paragraph" w:customStyle="1" w:styleId="CEOAbstract">
    <w:name w:val="CEO_Abstract"/>
    <w:rsid w:val="00181C1A"/>
    <w:pPr>
      <w:tabs>
        <w:tab w:val="left" w:pos="2127"/>
      </w:tabs>
      <w:spacing w:before="360" w:after="120"/>
    </w:pPr>
    <w:rPr>
      <w:rFonts w:ascii="Verdana" w:eastAsia="SimHei" w:hAnsi="Verdana" w:cs="Simplified Arabic"/>
      <w:b/>
      <w:sz w:val="19"/>
      <w:szCs w:val="22"/>
      <w:lang w:val="fr-CA"/>
    </w:rPr>
  </w:style>
  <w:style w:type="paragraph" w:customStyle="1" w:styleId="CEOActionRequiredDetails">
    <w:name w:val="CEO_ActionRequiredDetails"/>
    <w:rsid w:val="00181C1A"/>
    <w:pPr>
      <w:spacing w:before="120"/>
    </w:pPr>
    <w:rPr>
      <w:rFonts w:ascii="Verdana" w:hAnsi="Verdana"/>
      <w:bCs/>
      <w:sz w:val="19"/>
      <w:szCs w:val="19"/>
      <w:lang w:val="en-GB" w:eastAsia="en-US"/>
    </w:rPr>
  </w:style>
  <w:style w:type="paragraph" w:customStyle="1" w:styleId="enumlev3">
    <w:name w:val="enumlev3"/>
    <w:basedOn w:val="Normal"/>
    <w:uiPriority w:val="99"/>
    <w:rsid w:val="00181C1A"/>
    <w:pPr>
      <w:tabs>
        <w:tab w:val="left" w:pos="2608"/>
        <w:tab w:val="left" w:pos="3345"/>
      </w:tabs>
      <w:spacing w:before="80"/>
      <w:ind w:left="2268" w:hanging="397"/>
      <w:jc w:val="left"/>
    </w:pPr>
    <w:rPr>
      <w:rFonts w:ascii="Times New Roman" w:hAnsi="Times New Roman"/>
      <w:sz w:val="24"/>
      <w:szCs w:val="24"/>
      <w:lang w:val="en-GB" w:eastAsia="ja-JP"/>
    </w:rPr>
  </w:style>
  <w:style w:type="paragraph" w:styleId="TOCHeading">
    <w:name w:val="TOC Heading"/>
    <w:basedOn w:val="Heading1"/>
    <w:next w:val="Normal"/>
    <w:uiPriority w:val="39"/>
    <w:unhideWhenUsed/>
    <w:qFormat/>
    <w:rsid w:val="00181C1A"/>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en-US"/>
    </w:rPr>
  </w:style>
  <w:style w:type="paragraph" w:styleId="ListParagraph">
    <w:name w:val="List Paragraph"/>
    <w:basedOn w:val="Normal"/>
    <w:uiPriority w:val="34"/>
    <w:qFormat/>
    <w:rsid w:val="00181C1A"/>
    <w:pPr>
      <w:spacing w:after="120"/>
      <w:ind w:left="720"/>
      <w:contextualSpacing/>
      <w:jc w:val="left"/>
    </w:pPr>
    <w:rPr>
      <w:rFonts w:ascii="Verdana" w:eastAsia="SimHei" w:hAnsi="Verdana" w:cs="Simplified Arabic"/>
      <w:bCs/>
      <w:sz w:val="19"/>
      <w:szCs w:val="28"/>
      <w:lang w:val="en-US" w:eastAsia="zh-CN"/>
    </w:rPr>
  </w:style>
  <w:style w:type="character" w:customStyle="1" w:styleId="CEONormalChar">
    <w:name w:val="CEO_Normal Char"/>
    <w:link w:val="CEONormal"/>
    <w:locked/>
    <w:rsid w:val="00181C1A"/>
    <w:rPr>
      <w:rFonts w:ascii="Verdana" w:hAnsi="Verdana"/>
      <w:sz w:val="19"/>
      <w:szCs w:val="19"/>
      <w:lang w:val="en-GB" w:eastAsia="en-US"/>
    </w:rPr>
  </w:style>
  <w:style w:type="character" w:customStyle="1" w:styleId="hps">
    <w:name w:val="hps"/>
    <w:basedOn w:val="DefaultParagraphFont"/>
    <w:rsid w:val="00181C1A"/>
    <w:rPr>
      <w:rFonts w:cs="Times New Roman"/>
    </w:rPr>
  </w:style>
  <w:style w:type="paragraph" w:customStyle="1" w:styleId="RegParagraph">
    <w:name w:val="Reg Paragraph"/>
    <w:basedOn w:val="Normal"/>
    <w:link w:val="RegParagraphChar1"/>
    <w:autoRedefine/>
    <w:rsid w:val="00181C1A"/>
    <w:pPr>
      <w:widowControl w:val="0"/>
      <w:tabs>
        <w:tab w:val="left" w:pos="851"/>
        <w:tab w:val="left" w:pos="1418"/>
        <w:tab w:val="left" w:pos="1985"/>
        <w:tab w:val="left" w:pos="2552"/>
      </w:tabs>
      <w:spacing w:after="120" w:line="276" w:lineRule="auto"/>
      <w:jc w:val="left"/>
    </w:pPr>
    <w:rPr>
      <w:rFonts w:ascii="Verdana" w:eastAsia="Times New Roman" w:hAnsi="Verdana"/>
      <w:kern w:val="28"/>
      <w:sz w:val="19"/>
      <w:szCs w:val="19"/>
      <w:lang w:val="es-ES" w:eastAsia="en-US" w:bidi="he-IL"/>
    </w:rPr>
  </w:style>
  <w:style w:type="paragraph" w:styleId="Caption">
    <w:name w:val="caption"/>
    <w:basedOn w:val="Normal"/>
    <w:next w:val="Normal"/>
    <w:autoRedefine/>
    <w:qFormat/>
    <w:rsid w:val="00181C1A"/>
    <w:pPr>
      <w:widowControl w:val="0"/>
      <w:tabs>
        <w:tab w:val="left" w:pos="794"/>
        <w:tab w:val="right" w:pos="840"/>
        <w:tab w:val="left" w:pos="1191"/>
        <w:tab w:val="left" w:pos="1588"/>
        <w:tab w:val="left" w:pos="1985"/>
      </w:tabs>
      <w:overflowPunct w:val="0"/>
      <w:autoSpaceDE w:val="0"/>
      <w:autoSpaceDN w:val="0"/>
      <w:adjustRightInd w:val="0"/>
      <w:spacing w:after="120"/>
      <w:jc w:val="center"/>
      <w:textAlignment w:val="baseline"/>
    </w:pPr>
    <w:rPr>
      <w:rFonts w:ascii="Verdana" w:eastAsia="Times New Roman" w:hAnsi="Verdana"/>
      <w:b/>
      <w:bCs/>
      <w:sz w:val="19"/>
      <w:szCs w:val="19"/>
      <w:lang w:val="en-GB" w:eastAsia="he-IL" w:bidi="he-IL"/>
    </w:rPr>
  </w:style>
  <w:style w:type="paragraph" w:styleId="BodyText">
    <w:name w:val="Body Text"/>
    <w:basedOn w:val="Normal"/>
    <w:link w:val="BodyTextChar"/>
    <w:autoRedefine/>
    <w:rsid w:val="00181C1A"/>
    <w:pPr>
      <w:tabs>
        <w:tab w:val="left" w:pos="794"/>
        <w:tab w:val="right" w:pos="840"/>
        <w:tab w:val="left" w:pos="1191"/>
        <w:tab w:val="left" w:pos="1588"/>
        <w:tab w:val="left" w:pos="1985"/>
      </w:tabs>
      <w:overflowPunct w:val="0"/>
      <w:autoSpaceDE w:val="0"/>
      <w:autoSpaceDN w:val="0"/>
      <w:adjustRightInd w:val="0"/>
      <w:jc w:val="left"/>
      <w:textAlignment w:val="baseline"/>
    </w:pPr>
    <w:rPr>
      <w:rFonts w:ascii="Times New Roman" w:eastAsia="Times New Roman" w:hAnsi="Times New Roman"/>
      <w:sz w:val="24"/>
      <w:szCs w:val="24"/>
      <w:lang w:val="en-GB" w:eastAsia="he-IL" w:bidi="he-IL"/>
    </w:rPr>
  </w:style>
  <w:style w:type="character" w:customStyle="1" w:styleId="BodyTextChar">
    <w:name w:val="Body Text Char"/>
    <w:basedOn w:val="DefaultParagraphFont"/>
    <w:link w:val="BodyText"/>
    <w:rsid w:val="00181C1A"/>
    <w:rPr>
      <w:rFonts w:eastAsia="Times New Roman"/>
      <w:sz w:val="24"/>
      <w:szCs w:val="24"/>
      <w:lang w:val="en-GB" w:eastAsia="he-IL" w:bidi="he-IL"/>
    </w:rPr>
  </w:style>
  <w:style w:type="character" w:customStyle="1" w:styleId="RegParagraphChar1">
    <w:name w:val="Reg Paragraph Char1"/>
    <w:basedOn w:val="DefaultParagraphFont"/>
    <w:link w:val="RegParagraph"/>
    <w:rsid w:val="00181C1A"/>
    <w:rPr>
      <w:rFonts w:ascii="Verdana" w:eastAsia="Times New Roman" w:hAnsi="Verdana"/>
      <w:kern w:val="28"/>
      <w:sz w:val="19"/>
      <w:szCs w:val="19"/>
      <w:lang w:val="es-ES" w:eastAsia="en-US" w:bidi="he-IL"/>
    </w:rPr>
  </w:style>
  <w:style w:type="character" w:customStyle="1" w:styleId="CharChar">
    <w:name w:val="Char Char"/>
    <w:basedOn w:val="DefaultParagraphFont"/>
    <w:rsid w:val="00181C1A"/>
    <w:rPr>
      <w:sz w:val="24"/>
      <w:szCs w:val="24"/>
      <w:lang w:val="en-GB" w:eastAsia="he-IL" w:bidi="he-IL"/>
    </w:rPr>
  </w:style>
  <w:style w:type="paragraph" w:customStyle="1" w:styleId="Equation">
    <w:name w:val="Equation"/>
    <w:basedOn w:val="Normal"/>
    <w:rsid w:val="00181C1A"/>
    <w:pPr>
      <w:tabs>
        <w:tab w:val="left" w:pos="794"/>
        <w:tab w:val="right" w:pos="840"/>
        <w:tab w:val="center" w:pos="4820"/>
        <w:tab w:val="right" w:pos="9639"/>
      </w:tabs>
      <w:overflowPunct w:val="0"/>
      <w:autoSpaceDE w:val="0"/>
      <w:autoSpaceDN w:val="0"/>
      <w:adjustRightInd w:val="0"/>
    </w:pPr>
    <w:rPr>
      <w:rFonts w:ascii="Times New Roman" w:eastAsia="Times New Roman" w:hAnsi="Times New Roman"/>
      <w:sz w:val="24"/>
      <w:szCs w:val="20"/>
      <w:lang w:eastAsia="en-US"/>
    </w:rPr>
  </w:style>
  <w:style w:type="character" w:customStyle="1" w:styleId="CEOMeetingNameChar">
    <w:name w:val="CEO_MeetingName Char"/>
    <w:basedOn w:val="CEONormalChar"/>
    <w:link w:val="CEOMeetingName"/>
    <w:rsid w:val="00181C1A"/>
    <w:rPr>
      <w:rFonts w:ascii="Verdana" w:eastAsia="SimHei" w:hAnsi="Verdana" w:cs="Simplified Arabic"/>
      <w:b/>
      <w:sz w:val="19"/>
      <w:szCs w:val="19"/>
      <w:lang w:val="en-GB" w:eastAsia="en-US"/>
    </w:rPr>
  </w:style>
  <w:style w:type="character" w:customStyle="1" w:styleId="longtext">
    <w:name w:val="long_text"/>
    <w:basedOn w:val="DefaultParagraphFont"/>
    <w:rsid w:val="00181C1A"/>
  </w:style>
  <w:style w:type="character" w:customStyle="1" w:styleId="atn">
    <w:name w:val="atn"/>
    <w:basedOn w:val="DefaultParagraphFont"/>
    <w:rsid w:val="00181C1A"/>
  </w:style>
  <w:style w:type="paragraph" w:styleId="ListBullet">
    <w:name w:val="List Bullet"/>
    <w:basedOn w:val="Normal"/>
    <w:autoRedefine/>
    <w:rsid w:val="00181C1A"/>
    <w:pPr>
      <w:numPr>
        <w:numId w:val="12"/>
      </w:numPr>
      <w:spacing w:before="0"/>
      <w:jc w:val="left"/>
    </w:pPr>
    <w:rPr>
      <w:rFonts w:ascii="Times New Roman" w:eastAsia="Times New Roman" w:hAnsi="Times New Roman"/>
      <w:sz w:val="24"/>
      <w:szCs w:val="20"/>
      <w:lang w:val="en-US" w:eastAsia="en-US"/>
    </w:rPr>
  </w:style>
  <w:style w:type="paragraph" w:customStyle="1" w:styleId="ceonormal0">
    <w:name w:val="ceonormal"/>
    <w:basedOn w:val="Normal"/>
    <w:rsid w:val="009F0F18"/>
    <w:pPr>
      <w:spacing w:after="120"/>
      <w:jc w:val="left"/>
    </w:pPr>
    <w:rPr>
      <w:rFonts w:ascii="Verdana" w:eastAsia="Times New Roman" w:hAnsi="Verdana"/>
      <w:sz w:val="19"/>
      <w:szCs w:val="19"/>
      <w:lang w:val="en-US" w:eastAsia="en-US"/>
    </w:rPr>
  </w:style>
  <w:style w:type="paragraph" w:customStyle="1" w:styleId="enumlev1">
    <w:name w:val="enumlev1"/>
    <w:basedOn w:val="Normal"/>
    <w:link w:val="enumlev1Char"/>
    <w:qFormat/>
    <w:rsid w:val="009F0F18"/>
    <w:pPr>
      <w:tabs>
        <w:tab w:val="left" w:pos="794"/>
        <w:tab w:val="left" w:pos="1191"/>
        <w:tab w:val="left" w:pos="1588"/>
        <w:tab w:val="left" w:pos="1985"/>
      </w:tabs>
      <w:overflowPunct w:val="0"/>
      <w:autoSpaceDE w:val="0"/>
      <w:autoSpaceDN w:val="0"/>
      <w:adjustRightInd w:val="0"/>
      <w:spacing w:before="80"/>
      <w:ind w:left="794" w:hanging="794"/>
      <w:jc w:val="left"/>
      <w:textAlignment w:val="baseline"/>
    </w:pPr>
    <w:rPr>
      <w:rFonts w:ascii="Trebuchet MS" w:eastAsia="Times New Roman" w:hAnsi="Trebuchet MS"/>
      <w:sz w:val="24"/>
      <w:szCs w:val="20"/>
      <w:lang w:val="en-GB" w:eastAsia="en-US"/>
    </w:rPr>
  </w:style>
  <w:style w:type="character" w:customStyle="1" w:styleId="enumlev1Char">
    <w:name w:val="enumlev1 Char"/>
    <w:basedOn w:val="DefaultParagraphFont"/>
    <w:link w:val="enumlev1"/>
    <w:locked/>
    <w:rsid w:val="009F0F18"/>
    <w:rPr>
      <w:rFonts w:ascii="Trebuchet MS" w:eastAsia="Times New Roman" w:hAnsi="Trebuchet MS"/>
      <w:sz w:val="24"/>
      <w:lang w:val="en-GB" w:eastAsia="en-US"/>
    </w:rPr>
  </w:style>
  <w:style w:type="character" w:customStyle="1" w:styleId="a1">
    <w:name w:val="a1"/>
    <w:basedOn w:val="DefaultParagraphFont"/>
    <w:rsid w:val="009F0F18"/>
    <w:rPr>
      <w:rFonts w:ascii="Trebuchet MS" w:hAnsi="Trebuchet MS"/>
      <w:noProof w:val="0"/>
      <w:color w:val="008000"/>
      <w:lang w:val="en-GB"/>
    </w:rPr>
  </w:style>
  <w:style w:type="paragraph" w:customStyle="1" w:styleId="Pa7">
    <w:name w:val="Pa7"/>
    <w:basedOn w:val="Normal"/>
    <w:next w:val="Normal"/>
    <w:uiPriority w:val="99"/>
    <w:rsid w:val="009F0F18"/>
    <w:pPr>
      <w:autoSpaceDE w:val="0"/>
      <w:autoSpaceDN w:val="0"/>
      <w:adjustRightInd w:val="0"/>
      <w:spacing w:before="0" w:line="201" w:lineRule="atLeast"/>
      <w:jc w:val="left"/>
    </w:pPr>
    <w:rPr>
      <w:rFonts w:ascii="Myriad Pro" w:eastAsiaTheme="minorHAnsi" w:hAnsi="Myriad Pro" w:cstheme="minorBidi"/>
      <w:sz w:val="24"/>
      <w:szCs w:val="24"/>
      <w:lang w:val="tr-TR" w:eastAsia="en-US"/>
    </w:rPr>
  </w:style>
  <w:style w:type="paragraph" w:styleId="NormalWeb">
    <w:name w:val="Normal (Web)"/>
    <w:basedOn w:val="Normal"/>
    <w:next w:val="Normal"/>
    <w:uiPriority w:val="99"/>
    <w:rsid w:val="009F0F18"/>
    <w:pPr>
      <w:autoSpaceDE w:val="0"/>
      <w:autoSpaceDN w:val="0"/>
      <w:adjustRightInd w:val="0"/>
      <w:spacing w:before="0"/>
      <w:jc w:val="left"/>
    </w:pPr>
    <w:rPr>
      <w:rFonts w:ascii="Bookman Old Style" w:eastAsiaTheme="minorHAnsi" w:hAnsi="Bookman Old Style" w:cstheme="minorBidi"/>
      <w:sz w:val="24"/>
      <w:szCs w:val="24"/>
      <w:lang w:val="tr-TR" w:eastAsia="en-US"/>
    </w:rPr>
  </w:style>
  <w:style w:type="character" w:styleId="HTMLCite">
    <w:name w:val="HTML Cite"/>
    <w:basedOn w:val="DefaultParagraphFont"/>
    <w:uiPriority w:val="99"/>
    <w:unhideWhenUsed/>
    <w:rsid w:val="009F0F18"/>
    <w:rPr>
      <w:i/>
      <w:iCs/>
    </w:rPr>
  </w:style>
  <w:style w:type="paragraph" w:styleId="EndnoteText">
    <w:name w:val="endnote text"/>
    <w:basedOn w:val="Normal"/>
    <w:link w:val="EndnoteTextChar"/>
    <w:uiPriority w:val="99"/>
    <w:unhideWhenUsed/>
    <w:rsid w:val="009F0F18"/>
    <w:pPr>
      <w:spacing w:before="0"/>
      <w:jc w:val="left"/>
    </w:pPr>
    <w:rPr>
      <w:rFonts w:asciiTheme="minorHAnsi" w:eastAsiaTheme="minorHAnsi" w:hAnsiTheme="minorHAnsi" w:cstheme="minorBidi"/>
      <w:sz w:val="20"/>
      <w:szCs w:val="20"/>
      <w:lang w:val="tr-TR" w:eastAsia="en-US"/>
    </w:rPr>
  </w:style>
  <w:style w:type="character" w:customStyle="1" w:styleId="EndnoteTextChar">
    <w:name w:val="Endnote Text Char"/>
    <w:basedOn w:val="DefaultParagraphFont"/>
    <w:link w:val="EndnoteText"/>
    <w:uiPriority w:val="99"/>
    <w:rsid w:val="009F0F18"/>
    <w:rPr>
      <w:rFonts w:asciiTheme="minorHAnsi" w:eastAsiaTheme="minorHAnsi" w:hAnsiTheme="minorHAnsi" w:cstheme="minorBidi"/>
      <w:lang w:val="tr-TR" w:eastAsia="en-US"/>
    </w:rPr>
  </w:style>
  <w:style w:type="character" w:styleId="EndnoteReference">
    <w:name w:val="endnote reference"/>
    <w:basedOn w:val="DefaultParagraphFont"/>
    <w:uiPriority w:val="99"/>
    <w:unhideWhenUsed/>
    <w:rsid w:val="009F0F18"/>
    <w:rPr>
      <w:vertAlign w:val="superscript"/>
    </w:rPr>
  </w:style>
  <w:style w:type="paragraph" w:customStyle="1" w:styleId="Heading41">
    <w:name w:val="Heading 41"/>
    <w:basedOn w:val="Normal"/>
    <w:next w:val="Normal"/>
    <w:uiPriority w:val="99"/>
    <w:rsid w:val="009F0F18"/>
    <w:pPr>
      <w:autoSpaceDE w:val="0"/>
      <w:autoSpaceDN w:val="0"/>
      <w:adjustRightInd w:val="0"/>
      <w:spacing w:before="0"/>
      <w:jc w:val="left"/>
    </w:pPr>
    <w:rPr>
      <w:rFonts w:ascii="Bookman Old Style" w:eastAsiaTheme="minorHAnsi" w:hAnsi="Bookman Old Style" w:cstheme="minorBidi"/>
      <w:sz w:val="24"/>
      <w:szCs w:val="24"/>
      <w:lang w:val="tr-TR" w:eastAsia="en-US"/>
    </w:rPr>
  </w:style>
  <w:style w:type="character" w:styleId="Strong">
    <w:name w:val="Strong"/>
    <w:basedOn w:val="DefaultParagraphFont"/>
    <w:uiPriority w:val="22"/>
    <w:qFormat/>
    <w:rsid w:val="009F0F18"/>
    <w:rPr>
      <w:b/>
      <w:bCs/>
    </w:rPr>
  </w:style>
  <w:style w:type="character" w:customStyle="1" w:styleId="apple-converted-space">
    <w:name w:val="apple-converted-space"/>
    <w:basedOn w:val="DefaultParagraphFont"/>
    <w:rsid w:val="009F0F18"/>
  </w:style>
  <w:style w:type="character" w:styleId="Emphasis">
    <w:name w:val="Emphasis"/>
    <w:basedOn w:val="DefaultParagraphFont"/>
    <w:uiPriority w:val="20"/>
    <w:qFormat/>
    <w:rsid w:val="009F0F18"/>
    <w:rPr>
      <w:i/>
      <w:iCs/>
    </w:rPr>
  </w:style>
  <w:style w:type="character" w:styleId="CommentReference">
    <w:name w:val="annotation reference"/>
    <w:basedOn w:val="DefaultParagraphFont"/>
    <w:rsid w:val="009F0F18"/>
    <w:rPr>
      <w:sz w:val="16"/>
      <w:szCs w:val="16"/>
    </w:rPr>
  </w:style>
  <w:style w:type="paragraph" w:styleId="CommentText">
    <w:name w:val="annotation text"/>
    <w:basedOn w:val="Normal"/>
    <w:link w:val="CommentTextChar"/>
    <w:rsid w:val="009F0F18"/>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9F0F18"/>
    <w:rPr>
      <w:rFonts w:ascii="Verdana" w:eastAsia="SimHei" w:hAnsi="Verdana" w:cs="Simplified Arabic"/>
      <w:bCs/>
    </w:rPr>
  </w:style>
  <w:style w:type="character" w:customStyle="1" w:styleId="apple-style-span">
    <w:name w:val="apple-style-span"/>
    <w:basedOn w:val="DefaultParagraphFont"/>
    <w:rsid w:val="009F0F18"/>
  </w:style>
  <w:style w:type="paragraph" w:customStyle="1" w:styleId="FigureNotitle">
    <w:name w:val="Figure_No &amp; title"/>
    <w:basedOn w:val="Normal"/>
    <w:next w:val="Normal"/>
    <w:rsid w:val="009F0F18"/>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ascii="Times New Roman" w:eastAsia="Times New Roman" w:hAnsi="Times New Roman"/>
      <w:b/>
      <w:sz w:val="24"/>
      <w:szCs w:val="20"/>
      <w:lang w:val="en-GB" w:eastAsia="en-US"/>
    </w:rPr>
  </w:style>
  <w:style w:type="paragraph" w:customStyle="1" w:styleId="Title1">
    <w:name w:val="Title 1"/>
    <w:basedOn w:val="Normal"/>
    <w:next w:val="Normal"/>
    <w:rsid w:val="009F0F18"/>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ascii="Times New Roman" w:eastAsia="Times New Roman" w:hAnsi="Times New Roman"/>
      <w:caps/>
      <w:sz w:val="28"/>
      <w:szCs w:val="20"/>
      <w:lang w:eastAsia="en-US"/>
    </w:rPr>
  </w:style>
  <w:style w:type="paragraph" w:styleId="CommentSubject">
    <w:name w:val="annotation subject"/>
    <w:basedOn w:val="CommentText"/>
    <w:next w:val="CommentText"/>
    <w:link w:val="CommentSubjectChar"/>
    <w:rsid w:val="009F0F18"/>
    <w:rPr>
      <w:b/>
    </w:rPr>
  </w:style>
  <w:style w:type="character" w:customStyle="1" w:styleId="CommentSubjectChar">
    <w:name w:val="Comment Subject Char"/>
    <w:basedOn w:val="CommentTextChar"/>
    <w:link w:val="CommentSubject"/>
    <w:rsid w:val="009F0F18"/>
    <w:rPr>
      <w:rFonts w:ascii="Verdana" w:eastAsia="SimHei" w:hAnsi="Verdana" w:cs="Simplified Arabic"/>
      <w:b/>
      <w:bCs/>
    </w:rPr>
  </w:style>
  <w:style w:type="character" w:customStyle="1" w:styleId="CallChar">
    <w:name w:val="Call Char"/>
    <w:link w:val="Call"/>
    <w:uiPriority w:val="99"/>
    <w:rsid w:val="009F0F18"/>
    <w:rPr>
      <w:rFonts w:ascii="Calibri" w:eastAsia="Times New Roman" w:hAnsi="Calibri" w:cs="Times New Roman italic"/>
      <w:i/>
      <w:sz w:val="21"/>
      <w:lang w:val="en-GB" w:eastAsia="en-US"/>
    </w:rPr>
  </w:style>
  <w:style w:type="paragraph" w:customStyle="1" w:styleId="ResNo">
    <w:name w:val="Res_No"/>
    <w:basedOn w:val="Normal"/>
    <w:next w:val="Restitle"/>
    <w:link w:val="ResNoChar"/>
    <w:uiPriority w:val="99"/>
    <w:rsid w:val="009F0F18"/>
    <w:pPr>
      <w:keepNext/>
      <w:keepLines/>
      <w:overflowPunct w:val="0"/>
      <w:autoSpaceDE w:val="0"/>
      <w:autoSpaceDN w:val="0"/>
      <w:adjustRightInd w:val="0"/>
      <w:spacing w:before="0" w:line="280" w:lineRule="exact"/>
      <w:jc w:val="center"/>
      <w:textAlignment w:val="baseline"/>
    </w:pPr>
    <w:rPr>
      <w:rFonts w:ascii="Times New Roman" w:eastAsia="Times New Roman" w:hAnsi="Times New Roman"/>
      <w:caps/>
      <w:sz w:val="28"/>
      <w:szCs w:val="20"/>
      <w:lang w:eastAsia="en-US"/>
    </w:rPr>
  </w:style>
  <w:style w:type="paragraph" w:customStyle="1" w:styleId="Restitle">
    <w:name w:val="Res_title"/>
    <w:basedOn w:val="Normal"/>
    <w:next w:val="Resref"/>
    <w:link w:val="RestitleChar"/>
    <w:uiPriority w:val="99"/>
    <w:rsid w:val="009F0F18"/>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ascii="Times New Roman" w:eastAsia="Times New Roman" w:hAnsi="Times New Roman"/>
      <w:b/>
      <w:sz w:val="28"/>
      <w:szCs w:val="20"/>
      <w:lang w:eastAsia="en-US"/>
    </w:rPr>
  </w:style>
  <w:style w:type="paragraph" w:customStyle="1" w:styleId="Resref">
    <w:name w:val="Res_ref"/>
    <w:basedOn w:val="Normal"/>
    <w:next w:val="Normal"/>
    <w:qFormat/>
    <w:rsid w:val="009F0F18"/>
    <w:pPr>
      <w:keepNext/>
      <w:keepLines/>
      <w:overflowPunct w:val="0"/>
      <w:autoSpaceDE w:val="0"/>
      <w:autoSpaceDN w:val="0"/>
      <w:adjustRightInd w:val="0"/>
      <w:spacing w:before="160" w:line="280" w:lineRule="exact"/>
      <w:jc w:val="center"/>
      <w:textAlignment w:val="baseline"/>
    </w:pPr>
    <w:rPr>
      <w:rFonts w:ascii="Times New Roman" w:eastAsia="Times New Roman" w:hAnsi="Times New Roman"/>
      <w:i/>
      <w:sz w:val="22"/>
      <w:szCs w:val="20"/>
      <w:lang w:eastAsia="en-US"/>
    </w:rPr>
  </w:style>
  <w:style w:type="character" w:customStyle="1" w:styleId="RestitleChar">
    <w:name w:val="Res_title Char"/>
    <w:link w:val="Restitle"/>
    <w:uiPriority w:val="99"/>
    <w:rsid w:val="009F0F18"/>
    <w:rPr>
      <w:rFonts w:eastAsia="Times New Roman"/>
      <w:b/>
      <w:sz w:val="28"/>
      <w:lang w:val="fr-FR" w:eastAsia="en-US"/>
    </w:rPr>
  </w:style>
  <w:style w:type="character" w:customStyle="1" w:styleId="ResNoChar">
    <w:name w:val="Res_No Char"/>
    <w:link w:val="ResNo"/>
    <w:uiPriority w:val="99"/>
    <w:rsid w:val="009F0F18"/>
    <w:rPr>
      <w:rFonts w:eastAsia="Times New Roman"/>
      <w:caps/>
      <w:sz w:val="28"/>
      <w:lang w:val="fr-FR" w:eastAsia="en-US"/>
    </w:rPr>
  </w:style>
  <w:style w:type="paragraph" w:customStyle="1" w:styleId="Normalaftertitle0">
    <w:name w:val="Normal after title"/>
    <w:basedOn w:val="Normal"/>
    <w:next w:val="Normal"/>
    <w:link w:val="NormalaftertitleChar"/>
    <w:uiPriority w:val="99"/>
    <w:rsid w:val="009F0F18"/>
    <w:pPr>
      <w:tabs>
        <w:tab w:val="left" w:pos="1134"/>
        <w:tab w:val="left" w:pos="1871"/>
        <w:tab w:val="left" w:pos="2268"/>
      </w:tabs>
      <w:overflowPunct w:val="0"/>
      <w:autoSpaceDE w:val="0"/>
      <w:autoSpaceDN w:val="0"/>
      <w:adjustRightInd w:val="0"/>
      <w:spacing w:before="280"/>
      <w:textAlignment w:val="baseline"/>
    </w:pPr>
    <w:rPr>
      <w:rFonts w:ascii="Times New Roman" w:eastAsia="Times New Roman" w:hAnsi="Times New Roman"/>
      <w:sz w:val="22"/>
      <w:szCs w:val="20"/>
      <w:lang w:val="en-GB" w:eastAsia="en-US"/>
    </w:rPr>
  </w:style>
  <w:style w:type="character" w:customStyle="1" w:styleId="NormalaftertitleChar">
    <w:name w:val="Normal after title Char"/>
    <w:link w:val="Normalaftertitle0"/>
    <w:uiPriority w:val="99"/>
    <w:locked/>
    <w:rsid w:val="009F0F18"/>
    <w:rPr>
      <w:rFonts w:eastAsia="Times New Roman"/>
      <w:sz w:val="22"/>
      <w:lang w:val="en-GB" w:eastAsia="en-US"/>
    </w:rPr>
  </w:style>
  <w:style w:type="paragraph" w:customStyle="1" w:styleId="FootnoteTextS2">
    <w:name w:val="Footnote Text_S2"/>
    <w:basedOn w:val="FootnoteText"/>
    <w:uiPriority w:val="99"/>
    <w:rsid w:val="009F0F18"/>
    <w:pPr>
      <w:keepLines/>
      <w:tabs>
        <w:tab w:val="clear" w:pos="284"/>
        <w:tab w:val="left" w:pos="851"/>
      </w:tabs>
      <w:overflowPunct w:val="0"/>
      <w:autoSpaceDE w:val="0"/>
      <w:autoSpaceDN w:val="0"/>
      <w:adjustRightInd w:val="0"/>
      <w:jc w:val="left"/>
      <w:textAlignment w:val="baseline"/>
    </w:pPr>
    <w:rPr>
      <w:rFonts w:eastAsia="Times New Roman"/>
      <w:b/>
      <w:sz w:val="24"/>
      <w:szCs w:val="20"/>
      <w:lang w:val="en-GB" w:eastAsia="en-US"/>
    </w:rPr>
  </w:style>
  <w:style w:type="paragraph" w:styleId="NoSpacing">
    <w:name w:val="No Spacing"/>
    <w:qFormat/>
    <w:rsid w:val="009F0F18"/>
    <w:rPr>
      <w:rFonts w:ascii="Calibri" w:eastAsia="Calibri" w:hAnsi="Calibri"/>
      <w:sz w:val="22"/>
      <w:szCs w:val="22"/>
      <w:lang w:eastAsia="en-US"/>
    </w:rPr>
  </w:style>
  <w:style w:type="paragraph" w:customStyle="1" w:styleId="Questionno0">
    <w:name w:val="Question_no"/>
    <w:basedOn w:val="Chapttitle"/>
    <w:link w:val="QuestionnoChar"/>
    <w:qFormat/>
    <w:rsid w:val="00FD027D"/>
    <w:pPr>
      <w:spacing w:before="240"/>
      <w:jc w:val="right"/>
    </w:pPr>
    <w:rPr>
      <w:rFonts w:eastAsia="Times New Roman" w:cs="Calibri"/>
      <w:sz w:val="52"/>
      <w:szCs w:val="52"/>
      <w:lang w:val="en-GB"/>
    </w:rPr>
  </w:style>
  <w:style w:type="character" w:customStyle="1" w:styleId="QuestionnoChar">
    <w:name w:val="Question_no Char"/>
    <w:basedOn w:val="ChapttitleChar"/>
    <w:link w:val="Questionno0"/>
    <w:rsid w:val="00FD027D"/>
    <w:rPr>
      <w:rFonts w:ascii="Calibri" w:eastAsia="Times New Roman" w:hAnsi="Calibri" w:cs="Calibri"/>
      <w:b/>
      <w:bCs/>
      <w:color w:val="005173"/>
      <w:sz w:val="52"/>
      <w:szCs w:val="52"/>
      <w:lang w:val="en-GB" w:eastAsia="fr-FR"/>
    </w:rPr>
  </w:style>
  <w:style w:type="paragraph" w:customStyle="1" w:styleId="enumlev2">
    <w:name w:val="enumlev 2"/>
    <w:basedOn w:val="enumlev1"/>
    <w:qFormat/>
    <w:rsid w:val="00FD027D"/>
    <w:pPr>
      <w:tabs>
        <w:tab w:val="clear" w:pos="794"/>
        <w:tab w:val="clear" w:pos="1191"/>
        <w:tab w:val="clear" w:pos="1588"/>
        <w:tab w:val="clear" w:pos="1985"/>
      </w:tabs>
      <w:overflowPunct/>
      <w:autoSpaceDE/>
      <w:autoSpaceDN/>
      <w:adjustRightInd/>
      <w:spacing w:before="0"/>
      <w:ind w:left="568" w:hanging="284"/>
      <w:jc w:val="both"/>
      <w:textAlignment w:val="auto"/>
    </w:pPr>
    <w:rPr>
      <w:rFonts w:ascii="Calibri" w:eastAsia="SimSun" w:hAnsi="Calibri" w:cs="Calibri"/>
      <w:sz w:val="19"/>
      <w:szCs w:val="22"/>
      <w:lang w:eastAsia="en-GB"/>
    </w:rPr>
  </w:style>
  <w:style w:type="paragraph" w:customStyle="1" w:styleId="Chaptertitle">
    <w:name w:val="Chapter_title"/>
    <w:basedOn w:val="Normal"/>
    <w:qFormat/>
    <w:rsid w:val="00FD027D"/>
    <w:pPr>
      <w:jc w:val="center"/>
    </w:pPr>
    <w:rPr>
      <w:rFonts w:eastAsiaTheme="minorEastAsia" w:cstheme="minorBidi"/>
      <w:b/>
      <w:color w:val="1F9DD9"/>
      <w:sz w:val="40"/>
      <w:lang w:val="en-US" w:eastAsia="zh-CN"/>
    </w:rPr>
  </w:style>
  <w:style w:type="paragraph" w:customStyle="1" w:styleId="HeadingbI">
    <w:name w:val="Heading b+I"/>
    <w:basedOn w:val="enumlev1"/>
    <w:qFormat/>
    <w:rsid w:val="00FD027D"/>
    <w:pPr>
      <w:tabs>
        <w:tab w:val="clear" w:pos="794"/>
        <w:tab w:val="clear" w:pos="1191"/>
        <w:tab w:val="clear" w:pos="1588"/>
        <w:tab w:val="clear" w:pos="1985"/>
      </w:tabs>
      <w:overflowPunct/>
      <w:autoSpaceDE/>
      <w:autoSpaceDN/>
      <w:adjustRightInd/>
      <w:spacing w:before="240"/>
      <w:ind w:left="284" w:hanging="284"/>
      <w:jc w:val="both"/>
      <w:textAlignment w:val="auto"/>
    </w:pPr>
    <w:rPr>
      <w:rFonts w:ascii="Calibri" w:hAnsi="Calibri" w:cs="Helvetica"/>
      <w:b/>
      <w:bCs/>
      <w:i/>
      <w:szCs w:val="28"/>
      <w:lang w:val="en-US" w:eastAsia="fr-FR"/>
    </w:rPr>
  </w:style>
  <w:style w:type="paragraph" w:customStyle="1" w:styleId="Questiontitle0">
    <w:name w:val="Question_title"/>
    <w:basedOn w:val="Questionno0"/>
    <w:qFormat/>
    <w:rsid w:val="00FD027D"/>
    <w:rPr>
      <w:i/>
      <w:sz w:val="48"/>
      <w:lang w:val="en-US"/>
    </w:rPr>
  </w:style>
  <w:style w:type="table" w:customStyle="1" w:styleId="Style1">
    <w:name w:val="Style1"/>
    <w:basedOn w:val="TableNormal"/>
    <w:uiPriority w:val="99"/>
    <w:rsid w:val="00FD027D"/>
    <w:rPr>
      <w:rFonts w:eastAsiaTheme="minorEastAsia"/>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005173"/>
      </w:tcPr>
    </w:tblStylePr>
    <w:tblStylePr w:type="band1Horz">
      <w:tblPr/>
      <w:tcPr>
        <w:shd w:val="clear" w:color="auto" w:fill="E8F8FD"/>
      </w:tcPr>
    </w:tblStylePr>
    <w:tblStylePr w:type="band2Horz">
      <w:tblPr/>
      <w:tcPr>
        <w:shd w:val="clear" w:color="auto" w:fill="FFFFFF" w:themeFill="background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table of figures" w:uiPriority="99"/>
    <w:lsdException w:name="footnote reference" w:uiPriority="99"/>
    <w:lsdException w:name="endnote reference" w:uiPriority="99"/>
    <w:lsdException w:name="endnote text"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uiPriority w:val="9"/>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7202A5"/>
    <w:pPr>
      <w:tabs>
        <w:tab w:val="left" w:pos="284"/>
      </w:tabs>
    </w:pPr>
    <w:rPr>
      <w:sz w:val="18"/>
      <w:szCs w:val="18"/>
      <w:lang w:val="en-US"/>
    </w:rPr>
  </w:style>
  <w:style w:type="character" w:customStyle="1" w:styleId="FootnoteTextChar">
    <w:name w:val="Footnote Text Char"/>
    <w:link w:val="FootnoteText"/>
    <w:uiPriority w:val="99"/>
    <w:rsid w:val="007202A5"/>
    <w:rPr>
      <w:rFonts w:ascii="Calibri" w:hAnsi="Calibri"/>
      <w:sz w:val="18"/>
      <w:szCs w:val="18"/>
      <w:lang w:eastAsia="fr-FR"/>
    </w:rPr>
  </w:style>
  <w:style w:type="character" w:styleId="FootnoteReference">
    <w:name w:val="footnote reference"/>
    <w:aliases w:val="Appel note de bas de p"/>
    <w:uiPriority w:val="99"/>
    <w:rsid w:val="004866ED"/>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link w:val="CallChar"/>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rsid w:val="00181C1A"/>
    <w:pPr>
      <w:spacing w:before="0"/>
      <w:ind w:left="3827" w:hanging="2268"/>
    </w:pPr>
    <w:rPr>
      <w:sz w:val="16"/>
      <w:szCs w:val="16"/>
    </w:rPr>
  </w:style>
  <w:style w:type="paragraph" w:customStyle="1" w:styleId="CEONormal">
    <w:name w:val="CEO_Normal"/>
    <w:link w:val="CEONormalChar"/>
    <w:autoRedefine/>
    <w:rsid w:val="00181C1A"/>
    <w:pPr>
      <w:spacing w:before="120" w:after="40"/>
    </w:pPr>
    <w:rPr>
      <w:rFonts w:ascii="Verdana" w:hAnsi="Verdana"/>
      <w:sz w:val="19"/>
      <w:szCs w:val="19"/>
      <w:lang w:val="en-GB" w:eastAsia="en-US"/>
    </w:rPr>
  </w:style>
  <w:style w:type="paragraph" w:customStyle="1" w:styleId="CEODocTitle2lines-Second">
    <w:name w:val="CEO_DocTitle2lines-Second"/>
    <w:basedOn w:val="CEODocTitle2lines-First"/>
    <w:rsid w:val="00181C1A"/>
    <w:pPr>
      <w:spacing w:before="0" w:after="480"/>
    </w:pPr>
  </w:style>
  <w:style w:type="paragraph" w:customStyle="1" w:styleId="CEODocTitle2lines-First">
    <w:name w:val="CEO_DocTitle2lines-First"/>
    <w:basedOn w:val="CEODocTitle-1line"/>
    <w:next w:val="Normal"/>
    <w:rsid w:val="00181C1A"/>
    <w:pPr>
      <w:spacing w:after="0"/>
    </w:pPr>
  </w:style>
  <w:style w:type="paragraph" w:customStyle="1" w:styleId="CEODocTitle-1line">
    <w:name w:val="CEO_DocTitle-1line"/>
    <w:basedOn w:val="Normal"/>
    <w:next w:val="Normal"/>
    <w:rsid w:val="00181C1A"/>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181C1A"/>
    <w:pPr>
      <w:keepNext/>
      <w:keepLines/>
      <w:numPr>
        <w:numId w:val="0"/>
      </w:numPr>
      <w:spacing w:before="480"/>
    </w:pPr>
  </w:style>
  <w:style w:type="paragraph" w:customStyle="1" w:styleId="CEOcontribution-H123">
    <w:name w:val="CEO_contribution-H123"/>
    <w:basedOn w:val="Normal"/>
    <w:rsid w:val="00181C1A"/>
    <w:pPr>
      <w:numPr>
        <w:numId w:val="9"/>
      </w:numPr>
      <w:tabs>
        <w:tab w:val="clear" w:pos="720"/>
        <w:tab w:val="num" w:pos="567"/>
      </w:tabs>
      <w:spacing w:after="120"/>
      <w:ind w:left="567" w:hanging="567"/>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181C1A"/>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181C1A"/>
    <w:pPr>
      <w:ind w:left="743"/>
    </w:pPr>
    <w:rPr>
      <w:b/>
      <w:bCs/>
      <w:iCs/>
    </w:rPr>
  </w:style>
  <w:style w:type="paragraph" w:customStyle="1" w:styleId="CEOSourceTitle">
    <w:name w:val="CEO_Source_Title"/>
    <w:basedOn w:val="Normal"/>
    <w:rsid w:val="00181C1A"/>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181C1A"/>
    <w:pPr>
      <w:keepNext w:val="0"/>
      <w:numPr>
        <w:ilvl w:val="1"/>
      </w:numPr>
      <w:tabs>
        <w:tab w:val="clear" w:pos="851"/>
        <w:tab w:val="num" w:pos="576"/>
      </w:tabs>
      <w:spacing w:before="120" w:after="120"/>
      <w:ind w:left="567" w:hanging="576"/>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181C1A"/>
    <w:pPr>
      <w:numPr>
        <w:numId w:val="4"/>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181C1A"/>
    <w:pPr>
      <w:numPr>
        <w:numId w:val="0"/>
      </w:numPr>
      <w:ind w:right="12"/>
      <w:jc w:val="right"/>
    </w:pPr>
  </w:style>
  <w:style w:type="paragraph" w:customStyle="1" w:styleId="CEODocDates">
    <w:name w:val="CEO_DocDates"/>
    <w:basedOn w:val="Normal"/>
    <w:next w:val="Normal"/>
    <w:rsid w:val="00181C1A"/>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181C1A"/>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181C1A"/>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181C1A"/>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181C1A"/>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181C1A"/>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181C1A"/>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181C1A"/>
    <w:pPr>
      <w:numPr>
        <w:numId w:val="0"/>
      </w:numPr>
      <w:spacing w:before="360"/>
    </w:pPr>
    <w:rPr>
      <w:b w:val="0"/>
    </w:rPr>
  </w:style>
  <w:style w:type="paragraph" w:customStyle="1" w:styleId="CEOParagraph111">
    <w:name w:val="CEO_Paragraph1.1.1"/>
    <w:basedOn w:val="Heading3"/>
    <w:rsid w:val="00181C1A"/>
    <w:pPr>
      <w:keepNext w:val="0"/>
      <w:numPr>
        <w:ilvl w:val="2"/>
      </w:numPr>
      <w:tabs>
        <w:tab w:val="clear" w:pos="851"/>
        <w:tab w:val="num" w:pos="1418"/>
      </w:tabs>
      <w:spacing w:before="0"/>
      <w:ind w:left="1418" w:hanging="851"/>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181C1A"/>
    <w:pPr>
      <w:numPr>
        <w:ilvl w:val="1"/>
        <w:numId w:val="5"/>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uiPriority w:val="99"/>
    <w:rsid w:val="00181C1A"/>
    <w:pPr>
      <w:numPr>
        <w:numId w:val="6"/>
      </w:num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181C1A"/>
    <w:pPr>
      <w:numPr>
        <w:numId w:val="7"/>
      </w:numPr>
    </w:pPr>
  </w:style>
  <w:style w:type="paragraph" w:customStyle="1" w:styleId="CEOMeetingDates">
    <w:name w:val="CEO_MeetingDates"/>
    <w:basedOn w:val="Normal"/>
    <w:rsid w:val="00181C1A"/>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link w:val="CEOMeetingNameChar"/>
    <w:rsid w:val="00181C1A"/>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181C1A"/>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181C1A"/>
    <w:pPr>
      <w:tabs>
        <w:tab w:val="left" w:pos="2098"/>
      </w:tabs>
      <w:ind w:left="2098" w:hanging="2098"/>
    </w:pPr>
    <w:rPr>
      <w:lang w:val="fr-CH"/>
    </w:rPr>
  </w:style>
  <w:style w:type="paragraph" w:customStyle="1" w:styleId="CEOQuestionDetails">
    <w:name w:val="CEO_QuestionDetails"/>
    <w:basedOn w:val="CEOOriginalLanguage"/>
    <w:rsid w:val="00181C1A"/>
    <w:rPr>
      <w:b w:val="0"/>
      <w:bCs/>
    </w:rPr>
  </w:style>
  <w:style w:type="paragraph" w:customStyle="1" w:styleId="CEOSectorName">
    <w:name w:val="CEO_SectorName"/>
    <w:basedOn w:val="Normal"/>
    <w:rsid w:val="00181C1A"/>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181C1A"/>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181C1A"/>
    <w:pPr>
      <w:spacing w:before="0"/>
    </w:pPr>
  </w:style>
  <w:style w:type="paragraph" w:customStyle="1" w:styleId="CEOSourceTitleDetails">
    <w:name w:val="CEO_SourceTitleDetails"/>
    <w:basedOn w:val="Normal"/>
    <w:rsid w:val="00181C1A"/>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181C1A"/>
    <w:pPr>
      <w:spacing w:before="120"/>
      <w:jc w:val="center"/>
    </w:pPr>
  </w:style>
  <w:style w:type="paragraph" w:customStyle="1" w:styleId="CEOindent-endash">
    <w:name w:val="CEO_indent-endash"/>
    <w:basedOn w:val="CEOEmdashList"/>
    <w:rsid w:val="00181C1A"/>
    <w:pPr>
      <w:numPr>
        <w:numId w:val="8"/>
      </w:numPr>
      <w:tabs>
        <w:tab w:val="clear" w:pos="1134"/>
      </w:tabs>
      <w:ind w:left="855" w:hanging="855"/>
    </w:pPr>
  </w:style>
  <w:style w:type="paragraph" w:customStyle="1" w:styleId="CEOEmdashList">
    <w:name w:val="CEO_EmdashList"/>
    <w:basedOn w:val="CEONormal"/>
    <w:rsid w:val="00181C1A"/>
  </w:style>
  <w:style w:type="paragraph" w:customStyle="1" w:styleId="CEOConsidering">
    <w:name w:val="CEO_Considering"/>
    <w:basedOn w:val="CEONormal"/>
    <w:rsid w:val="00181C1A"/>
    <w:pPr>
      <w:keepNext/>
      <w:keepLines/>
      <w:ind w:left="851"/>
    </w:pPr>
    <w:rPr>
      <w:i/>
      <w:iCs/>
    </w:rPr>
  </w:style>
  <w:style w:type="paragraph" w:customStyle="1" w:styleId="CEOEndBar">
    <w:name w:val="CEO_EndBar"/>
    <w:basedOn w:val="CEONormal"/>
    <w:rsid w:val="00181C1A"/>
    <w:pPr>
      <w:jc w:val="center"/>
    </w:pPr>
  </w:style>
  <w:style w:type="paragraph" w:customStyle="1" w:styleId="CEOExtract">
    <w:name w:val="CEO_Extract"/>
    <w:basedOn w:val="CEONormal"/>
    <w:rsid w:val="00181C1A"/>
    <w:pPr>
      <w:keepNext/>
      <w:keepLines/>
    </w:pPr>
  </w:style>
  <w:style w:type="paragraph" w:customStyle="1" w:styleId="CEOHeader">
    <w:name w:val="CEO_Header"/>
    <w:basedOn w:val="Normal"/>
    <w:rsid w:val="00181C1A"/>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181C1A"/>
    <w:pPr>
      <w:ind w:left="426"/>
    </w:pPr>
  </w:style>
  <w:style w:type="paragraph" w:customStyle="1" w:styleId="CEOLogo">
    <w:name w:val="CEO_Logo"/>
    <w:basedOn w:val="CEONormal"/>
    <w:rsid w:val="00181C1A"/>
    <w:pPr>
      <w:spacing w:before="0"/>
      <w:jc w:val="right"/>
    </w:pPr>
  </w:style>
  <w:style w:type="paragraph" w:customStyle="1" w:styleId="CEOMeetingSTG">
    <w:name w:val="CEO_MeetingSTG"/>
    <w:basedOn w:val="CEOMeetingName"/>
    <w:rsid w:val="00181C1A"/>
    <w:pPr>
      <w:spacing w:before="120" w:after="120"/>
    </w:pPr>
  </w:style>
  <w:style w:type="paragraph" w:customStyle="1" w:styleId="CEORevision">
    <w:name w:val="CEO_Revision"/>
    <w:basedOn w:val="CEONormal"/>
    <w:autoRedefine/>
    <w:rsid w:val="00181C1A"/>
    <w:pPr>
      <w:tabs>
        <w:tab w:val="left" w:pos="1928"/>
      </w:tabs>
    </w:pPr>
    <w:rPr>
      <w:b/>
      <w:sz w:val="18"/>
      <w:szCs w:val="18"/>
    </w:rPr>
  </w:style>
  <w:style w:type="paragraph" w:customStyle="1" w:styleId="CEORevisionNote">
    <w:name w:val="CEO_RevisionNote"/>
    <w:basedOn w:val="CEORevision"/>
    <w:autoRedefine/>
    <w:rsid w:val="00181C1A"/>
    <w:rPr>
      <w:b w:val="0"/>
      <w:i/>
      <w:iCs/>
      <w:lang w:val="en-US"/>
    </w:rPr>
  </w:style>
  <w:style w:type="paragraph" w:customStyle="1" w:styleId="CEOActionRequired">
    <w:name w:val="CEO_ActionRequired"/>
    <w:basedOn w:val="CEONormal"/>
    <w:rsid w:val="00181C1A"/>
    <w:pPr>
      <w:tabs>
        <w:tab w:val="left" w:pos="1928"/>
      </w:tabs>
    </w:pPr>
    <w:rPr>
      <w:b/>
    </w:rPr>
  </w:style>
  <w:style w:type="paragraph" w:customStyle="1" w:styleId="CEOSummaryStartHere">
    <w:name w:val="CEO_Summary_StartHere"/>
    <w:rsid w:val="00181C1A"/>
    <w:pPr>
      <w:spacing w:before="120" w:after="120"/>
      <w:jc w:val="center"/>
    </w:pPr>
    <w:rPr>
      <w:rFonts w:ascii="Verdana" w:eastAsia="SimHei" w:hAnsi="Verdana" w:cs="Simplified Arabic"/>
      <w:bCs/>
      <w:sz w:val="16"/>
      <w:szCs w:val="16"/>
      <w:lang w:val="fr-FR"/>
    </w:rPr>
  </w:style>
  <w:style w:type="paragraph" w:customStyle="1" w:styleId="CEOAbstract">
    <w:name w:val="CEO_Abstract"/>
    <w:rsid w:val="00181C1A"/>
    <w:pPr>
      <w:tabs>
        <w:tab w:val="left" w:pos="2127"/>
      </w:tabs>
      <w:spacing w:before="360" w:after="120"/>
    </w:pPr>
    <w:rPr>
      <w:rFonts w:ascii="Verdana" w:eastAsia="SimHei" w:hAnsi="Verdana" w:cs="Simplified Arabic"/>
      <w:b/>
      <w:sz w:val="19"/>
      <w:szCs w:val="22"/>
      <w:lang w:val="fr-CA"/>
    </w:rPr>
  </w:style>
  <w:style w:type="paragraph" w:customStyle="1" w:styleId="CEOActionRequiredDetails">
    <w:name w:val="CEO_ActionRequiredDetails"/>
    <w:rsid w:val="00181C1A"/>
    <w:pPr>
      <w:spacing w:before="120"/>
    </w:pPr>
    <w:rPr>
      <w:rFonts w:ascii="Verdana" w:hAnsi="Verdana"/>
      <w:bCs/>
      <w:sz w:val="19"/>
      <w:szCs w:val="19"/>
      <w:lang w:val="en-GB" w:eastAsia="en-US"/>
    </w:rPr>
  </w:style>
  <w:style w:type="paragraph" w:customStyle="1" w:styleId="enumlev3">
    <w:name w:val="enumlev3"/>
    <w:basedOn w:val="Normal"/>
    <w:uiPriority w:val="99"/>
    <w:rsid w:val="00181C1A"/>
    <w:pPr>
      <w:tabs>
        <w:tab w:val="left" w:pos="2608"/>
        <w:tab w:val="left" w:pos="3345"/>
      </w:tabs>
      <w:spacing w:before="80"/>
      <w:ind w:left="2268" w:hanging="397"/>
      <w:jc w:val="left"/>
    </w:pPr>
    <w:rPr>
      <w:rFonts w:ascii="Times New Roman" w:hAnsi="Times New Roman"/>
      <w:sz w:val="24"/>
      <w:szCs w:val="24"/>
      <w:lang w:val="en-GB" w:eastAsia="ja-JP"/>
    </w:rPr>
  </w:style>
  <w:style w:type="paragraph" w:styleId="TOCHeading">
    <w:name w:val="TOC Heading"/>
    <w:basedOn w:val="Heading1"/>
    <w:next w:val="Normal"/>
    <w:uiPriority w:val="39"/>
    <w:unhideWhenUsed/>
    <w:qFormat/>
    <w:rsid w:val="00181C1A"/>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en-US"/>
    </w:rPr>
  </w:style>
  <w:style w:type="paragraph" w:styleId="ListParagraph">
    <w:name w:val="List Paragraph"/>
    <w:basedOn w:val="Normal"/>
    <w:uiPriority w:val="34"/>
    <w:qFormat/>
    <w:rsid w:val="00181C1A"/>
    <w:pPr>
      <w:spacing w:after="120"/>
      <w:ind w:left="720"/>
      <w:contextualSpacing/>
      <w:jc w:val="left"/>
    </w:pPr>
    <w:rPr>
      <w:rFonts w:ascii="Verdana" w:eastAsia="SimHei" w:hAnsi="Verdana" w:cs="Simplified Arabic"/>
      <w:bCs/>
      <w:sz w:val="19"/>
      <w:szCs w:val="28"/>
      <w:lang w:val="en-US" w:eastAsia="zh-CN"/>
    </w:rPr>
  </w:style>
  <w:style w:type="character" w:customStyle="1" w:styleId="CEONormalChar">
    <w:name w:val="CEO_Normal Char"/>
    <w:link w:val="CEONormal"/>
    <w:locked/>
    <w:rsid w:val="00181C1A"/>
    <w:rPr>
      <w:rFonts w:ascii="Verdana" w:hAnsi="Verdana"/>
      <w:sz w:val="19"/>
      <w:szCs w:val="19"/>
      <w:lang w:val="en-GB" w:eastAsia="en-US"/>
    </w:rPr>
  </w:style>
  <w:style w:type="character" w:customStyle="1" w:styleId="hps">
    <w:name w:val="hps"/>
    <w:basedOn w:val="DefaultParagraphFont"/>
    <w:rsid w:val="00181C1A"/>
    <w:rPr>
      <w:rFonts w:cs="Times New Roman"/>
    </w:rPr>
  </w:style>
  <w:style w:type="paragraph" w:customStyle="1" w:styleId="RegParagraph">
    <w:name w:val="Reg Paragraph"/>
    <w:basedOn w:val="Normal"/>
    <w:link w:val="RegParagraphChar1"/>
    <w:autoRedefine/>
    <w:rsid w:val="00181C1A"/>
    <w:pPr>
      <w:widowControl w:val="0"/>
      <w:tabs>
        <w:tab w:val="left" w:pos="851"/>
        <w:tab w:val="left" w:pos="1418"/>
        <w:tab w:val="left" w:pos="1985"/>
        <w:tab w:val="left" w:pos="2552"/>
      </w:tabs>
      <w:spacing w:after="120" w:line="276" w:lineRule="auto"/>
      <w:jc w:val="left"/>
    </w:pPr>
    <w:rPr>
      <w:rFonts w:ascii="Verdana" w:eastAsia="Times New Roman" w:hAnsi="Verdana"/>
      <w:kern w:val="28"/>
      <w:sz w:val="19"/>
      <w:szCs w:val="19"/>
      <w:lang w:val="es-ES" w:eastAsia="en-US" w:bidi="he-IL"/>
    </w:rPr>
  </w:style>
  <w:style w:type="paragraph" w:styleId="Caption">
    <w:name w:val="caption"/>
    <w:basedOn w:val="Normal"/>
    <w:next w:val="Normal"/>
    <w:autoRedefine/>
    <w:qFormat/>
    <w:rsid w:val="00181C1A"/>
    <w:pPr>
      <w:widowControl w:val="0"/>
      <w:tabs>
        <w:tab w:val="left" w:pos="794"/>
        <w:tab w:val="right" w:pos="840"/>
        <w:tab w:val="left" w:pos="1191"/>
        <w:tab w:val="left" w:pos="1588"/>
        <w:tab w:val="left" w:pos="1985"/>
      </w:tabs>
      <w:overflowPunct w:val="0"/>
      <w:autoSpaceDE w:val="0"/>
      <w:autoSpaceDN w:val="0"/>
      <w:adjustRightInd w:val="0"/>
      <w:spacing w:after="120"/>
      <w:jc w:val="center"/>
      <w:textAlignment w:val="baseline"/>
    </w:pPr>
    <w:rPr>
      <w:rFonts w:ascii="Verdana" w:eastAsia="Times New Roman" w:hAnsi="Verdana"/>
      <w:b/>
      <w:bCs/>
      <w:sz w:val="19"/>
      <w:szCs w:val="19"/>
      <w:lang w:val="en-GB" w:eastAsia="he-IL" w:bidi="he-IL"/>
    </w:rPr>
  </w:style>
  <w:style w:type="paragraph" w:styleId="BodyText">
    <w:name w:val="Body Text"/>
    <w:basedOn w:val="Normal"/>
    <w:link w:val="BodyTextChar"/>
    <w:autoRedefine/>
    <w:rsid w:val="00181C1A"/>
    <w:pPr>
      <w:tabs>
        <w:tab w:val="left" w:pos="794"/>
        <w:tab w:val="right" w:pos="840"/>
        <w:tab w:val="left" w:pos="1191"/>
        <w:tab w:val="left" w:pos="1588"/>
        <w:tab w:val="left" w:pos="1985"/>
      </w:tabs>
      <w:overflowPunct w:val="0"/>
      <w:autoSpaceDE w:val="0"/>
      <w:autoSpaceDN w:val="0"/>
      <w:adjustRightInd w:val="0"/>
      <w:jc w:val="left"/>
      <w:textAlignment w:val="baseline"/>
    </w:pPr>
    <w:rPr>
      <w:rFonts w:ascii="Times New Roman" w:eastAsia="Times New Roman" w:hAnsi="Times New Roman"/>
      <w:sz w:val="24"/>
      <w:szCs w:val="24"/>
      <w:lang w:val="en-GB" w:eastAsia="he-IL" w:bidi="he-IL"/>
    </w:rPr>
  </w:style>
  <w:style w:type="character" w:customStyle="1" w:styleId="BodyTextChar">
    <w:name w:val="Body Text Char"/>
    <w:basedOn w:val="DefaultParagraphFont"/>
    <w:link w:val="BodyText"/>
    <w:rsid w:val="00181C1A"/>
    <w:rPr>
      <w:rFonts w:eastAsia="Times New Roman"/>
      <w:sz w:val="24"/>
      <w:szCs w:val="24"/>
      <w:lang w:val="en-GB" w:eastAsia="he-IL" w:bidi="he-IL"/>
    </w:rPr>
  </w:style>
  <w:style w:type="character" w:customStyle="1" w:styleId="RegParagraphChar1">
    <w:name w:val="Reg Paragraph Char1"/>
    <w:basedOn w:val="DefaultParagraphFont"/>
    <w:link w:val="RegParagraph"/>
    <w:rsid w:val="00181C1A"/>
    <w:rPr>
      <w:rFonts w:ascii="Verdana" w:eastAsia="Times New Roman" w:hAnsi="Verdana"/>
      <w:kern w:val="28"/>
      <w:sz w:val="19"/>
      <w:szCs w:val="19"/>
      <w:lang w:val="es-ES" w:eastAsia="en-US" w:bidi="he-IL"/>
    </w:rPr>
  </w:style>
  <w:style w:type="character" w:customStyle="1" w:styleId="CharChar">
    <w:name w:val="Char Char"/>
    <w:basedOn w:val="DefaultParagraphFont"/>
    <w:rsid w:val="00181C1A"/>
    <w:rPr>
      <w:sz w:val="24"/>
      <w:szCs w:val="24"/>
      <w:lang w:val="en-GB" w:eastAsia="he-IL" w:bidi="he-IL"/>
    </w:rPr>
  </w:style>
  <w:style w:type="paragraph" w:customStyle="1" w:styleId="Equation">
    <w:name w:val="Equation"/>
    <w:basedOn w:val="Normal"/>
    <w:rsid w:val="00181C1A"/>
    <w:pPr>
      <w:tabs>
        <w:tab w:val="left" w:pos="794"/>
        <w:tab w:val="right" w:pos="840"/>
        <w:tab w:val="center" w:pos="4820"/>
        <w:tab w:val="right" w:pos="9639"/>
      </w:tabs>
      <w:overflowPunct w:val="0"/>
      <w:autoSpaceDE w:val="0"/>
      <w:autoSpaceDN w:val="0"/>
      <w:adjustRightInd w:val="0"/>
    </w:pPr>
    <w:rPr>
      <w:rFonts w:ascii="Times New Roman" w:eastAsia="Times New Roman" w:hAnsi="Times New Roman"/>
      <w:sz w:val="24"/>
      <w:szCs w:val="20"/>
      <w:lang w:eastAsia="en-US"/>
    </w:rPr>
  </w:style>
  <w:style w:type="character" w:customStyle="1" w:styleId="CEOMeetingNameChar">
    <w:name w:val="CEO_MeetingName Char"/>
    <w:basedOn w:val="CEONormalChar"/>
    <w:link w:val="CEOMeetingName"/>
    <w:rsid w:val="00181C1A"/>
    <w:rPr>
      <w:rFonts w:ascii="Verdana" w:eastAsia="SimHei" w:hAnsi="Verdana" w:cs="Simplified Arabic"/>
      <w:b/>
      <w:sz w:val="19"/>
      <w:szCs w:val="19"/>
      <w:lang w:val="en-GB" w:eastAsia="en-US"/>
    </w:rPr>
  </w:style>
  <w:style w:type="character" w:customStyle="1" w:styleId="longtext">
    <w:name w:val="long_text"/>
    <w:basedOn w:val="DefaultParagraphFont"/>
    <w:rsid w:val="00181C1A"/>
  </w:style>
  <w:style w:type="character" w:customStyle="1" w:styleId="atn">
    <w:name w:val="atn"/>
    <w:basedOn w:val="DefaultParagraphFont"/>
    <w:rsid w:val="00181C1A"/>
  </w:style>
  <w:style w:type="paragraph" w:styleId="ListBullet">
    <w:name w:val="List Bullet"/>
    <w:basedOn w:val="Normal"/>
    <w:autoRedefine/>
    <w:rsid w:val="00181C1A"/>
    <w:pPr>
      <w:numPr>
        <w:numId w:val="12"/>
      </w:numPr>
      <w:spacing w:before="0"/>
      <w:jc w:val="left"/>
    </w:pPr>
    <w:rPr>
      <w:rFonts w:ascii="Times New Roman" w:eastAsia="Times New Roman" w:hAnsi="Times New Roman"/>
      <w:sz w:val="24"/>
      <w:szCs w:val="20"/>
      <w:lang w:val="en-US" w:eastAsia="en-US"/>
    </w:rPr>
  </w:style>
  <w:style w:type="paragraph" w:customStyle="1" w:styleId="ceonormal0">
    <w:name w:val="ceonormal"/>
    <w:basedOn w:val="Normal"/>
    <w:rsid w:val="009F0F18"/>
    <w:pPr>
      <w:spacing w:after="120"/>
      <w:jc w:val="left"/>
    </w:pPr>
    <w:rPr>
      <w:rFonts w:ascii="Verdana" w:eastAsia="Times New Roman" w:hAnsi="Verdana"/>
      <w:sz w:val="19"/>
      <w:szCs w:val="19"/>
      <w:lang w:val="en-US" w:eastAsia="en-US"/>
    </w:rPr>
  </w:style>
  <w:style w:type="paragraph" w:customStyle="1" w:styleId="enumlev1">
    <w:name w:val="enumlev1"/>
    <w:basedOn w:val="Normal"/>
    <w:link w:val="enumlev1Char"/>
    <w:qFormat/>
    <w:rsid w:val="009F0F18"/>
    <w:pPr>
      <w:tabs>
        <w:tab w:val="left" w:pos="794"/>
        <w:tab w:val="left" w:pos="1191"/>
        <w:tab w:val="left" w:pos="1588"/>
        <w:tab w:val="left" w:pos="1985"/>
      </w:tabs>
      <w:overflowPunct w:val="0"/>
      <w:autoSpaceDE w:val="0"/>
      <w:autoSpaceDN w:val="0"/>
      <w:adjustRightInd w:val="0"/>
      <w:spacing w:before="80"/>
      <w:ind w:left="794" w:hanging="794"/>
      <w:jc w:val="left"/>
      <w:textAlignment w:val="baseline"/>
    </w:pPr>
    <w:rPr>
      <w:rFonts w:ascii="Trebuchet MS" w:eastAsia="Times New Roman" w:hAnsi="Trebuchet MS"/>
      <w:sz w:val="24"/>
      <w:szCs w:val="20"/>
      <w:lang w:val="en-GB" w:eastAsia="en-US"/>
    </w:rPr>
  </w:style>
  <w:style w:type="character" w:customStyle="1" w:styleId="enumlev1Char">
    <w:name w:val="enumlev1 Char"/>
    <w:basedOn w:val="DefaultParagraphFont"/>
    <w:link w:val="enumlev1"/>
    <w:locked/>
    <w:rsid w:val="009F0F18"/>
    <w:rPr>
      <w:rFonts w:ascii="Trebuchet MS" w:eastAsia="Times New Roman" w:hAnsi="Trebuchet MS"/>
      <w:sz w:val="24"/>
      <w:lang w:val="en-GB" w:eastAsia="en-US"/>
    </w:rPr>
  </w:style>
  <w:style w:type="character" w:customStyle="1" w:styleId="a1">
    <w:name w:val="a1"/>
    <w:basedOn w:val="DefaultParagraphFont"/>
    <w:rsid w:val="009F0F18"/>
    <w:rPr>
      <w:rFonts w:ascii="Trebuchet MS" w:hAnsi="Trebuchet MS"/>
      <w:noProof w:val="0"/>
      <w:color w:val="008000"/>
      <w:lang w:val="en-GB"/>
    </w:rPr>
  </w:style>
  <w:style w:type="paragraph" w:customStyle="1" w:styleId="Pa7">
    <w:name w:val="Pa7"/>
    <w:basedOn w:val="Normal"/>
    <w:next w:val="Normal"/>
    <w:uiPriority w:val="99"/>
    <w:rsid w:val="009F0F18"/>
    <w:pPr>
      <w:autoSpaceDE w:val="0"/>
      <w:autoSpaceDN w:val="0"/>
      <w:adjustRightInd w:val="0"/>
      <w:spacing w:before="0" w:line="201" w:lineRule="atLeast"/>
      <w:jc w:val="left"/>
    </w:pPr>
    <w:rPr>
      <w:rFonts w:ascii="Myriad Pro" w:eastAsiaTheme="minorHAnsi" w:hAnsi="Myriad Pro" w:cstheme="minorBidi"/>
      <w:sz w:val="24"/>
      <w:szCs w:val="24"/>
      <w:lang w:val="tr-TR" w:eastAsia="en-US"/>
    </w:rPr>
  </w:style>
  <w:style w:type="paragraph" w:styleId="NormalWeb">
    <w:name w:val="Normal (Web)"/>
    <w:basedOn w:val="Normal"/>
    <w:next w:val="Normal"/>
    <w:uiPriority w:val="99"/>
    <w:rsid w:val="009F0F18"/>
    <w:pPr>
      <w:autoSpaceDE w:val="0"/>
      <w:autoSpaceDN w:val="0"/>
      <w:adjustRightInd w:val="0"/>
      <w:spacing w:before="0"/>
      <w:jc w:val="left"/>
    </w:pPr>
    <w:rPr>
      <w:rFonts w:ascii="Bookman Old Style" w:eastAsiaTheme="minorHAnsi" w:hAnsi="Bookman Old Style" w:cstheme="minorBidi"/>
      <w:sz w:val="24"/>
      <w:szCs w:val="24"/>
      <w:lang w:val="tr-TR" w:eastAsia="en-US"/>
    </w:rPr>
  </w:style>
  <w:style w:type="character" w:styleId="HTMLCite">
    <w:name w:val="HTML Cite"/>
    <w:basedOn w:val="DefaultParagraphFont"/>
    <w:uiPriority w:val="99"/>
    <w:unhideWhenUsed/>
    <w:rsid w:val="009F0F18"/>
    <w:rPr>
      <w:i/>
      <w:iCs/>
    </w:rPr>
  </w:style>
  <w:style w:type="paragraph" w:styleId="EndnoteText">
    <w:name w:val="endnote text"/>
    <w:basedOn w:val="Normal"/>
    <w:link w:val="EndnoteTextChar"/>
    <w:uiPriority w:val="99"/>
    <w:unhideWhenUsed/>
    <w:rsid w:val="009F0F18"/>
    <w:pPr>
      <w:spacing w:before="0"/>
      <w:jc w:val="left"/>
    </w:pPr>
    <w:rPr>
      <w:rFonts w:asciiTheme="minorHAnsi" w:eastAsiaTheme="minorHAnsi" w:hAnsiTheme="minorHAnsi" w:cstheme="minorBidi"/>
      <w:sz w:val="20"/>
      <w:szCs w:val="20"/>
      <w:lang w:val="tr-TR" w:eastAsia="en-US"/>
    </w:rPr>
  </w:style>
  <w:style w:type="character" w:customStyle="1" w:styleId="EndnoteTextChar">
    <w:name w:val="Endnote Text Char"/>
    <w:basedOn w:val="DefaultParagraphFont"/>
    <w:link w:val="EndnoteText"/>
    <w:uiPriority w:val="99"/>
    <w:rsid w:val="009F0F18"/>
    <w:rPr>
      <w:rFonts w:asciiTheme="minorHAnsi" w:eastAsiaTheme="minorHAnsi" w:hAnsiTheme="minorHAnsi" w:cstheme="minorBidi"/>
      <w:lang w:val="tr-TR" w:eastAsia="en-US"/>
    </w:rPr>
  </w:style>
  <w:style w:type="character" w:styleId="EndnoteReference">
    <w:name w:val="endnote reference"/>
    <w:basedOn w:val="DefaultParagraphFont"/>
    <w:uiPriority w:val="99"/>
    <w:unhideWhenUsed/>
    <w:rsid w:val="009F0F18"/>
    <w:rPr>
      <w:vertAlign w:val="superscript"/>
    </w:rPr>
  </w:style>
  <w:style w:type="paragraph" w:customStyle="1" w:styleId="Heading41">
    <w:name w:val="Heading 41"/>
    <w:basedOn w:val="Normal"/>
    <w:next w:val="Normal"/>
    <w:uiPriority w:val="99"/>
    <w:rsid w:val="009F0F18"/>
    <w:pPr>
      <w:autoSpaceDE w:val="0"/>
      <w:autoSpaceDN w:val="0"/>
      <w:adjustRightInd w:val="0"/>
      <w:spacing w:before="0"/>
      <w:jc w:val="left"/>
    </w:pPr>
    <w:rPr>
      <w:rFonts w:ascii="Bookman Old Style" w:eastAsiaTheme="minorHAnsi" w:hAnsi="Bookman Old Style" w:cstheme="minorBidi"/>
      <w:sz w:val="24"/>
      <w:szCs w:val="24"/>
      <w:lang w:val="tr-TR" w:eastAsia="en-US"/>
    </w:rPr>
  </w:style>
  <w:style w:type="character" w:styleId="Strong">
    <w:name w:val="Strong"/>
    <w:basedOn w:val="DefaultParagraphFont"/>
    <w:uiPriority w:val="22"/>
    <w:qFormat/>
    <w:rsid w:val="009F0F18"/>
    <w:rPr>
      <w:b/>
      <w:bCs/>
    </w:rPr>
  </w:style>
  <w:style w:type="character" w:customStyle="1" w:styleId="apple-converted-space">
    <w:name w:val="apple-converted-space"/>
    <w:basedOn w:val="DefaultParagraphFont"/>
    <w:rsid w:val="009F0F18"/>
  </w:style>
  <w:style w:type="character" w:styleId="Emphasis">
    <w:name w:val="Emphasis"/>
    <w:basedOn w:val="DefaultParagraphFont"/>
    <w:uiPriority w:val="20"/>
    <w:qFormat/>
    <w:rsid w:val="009F0F18"/>
    <w:rPr>
      <w:i/>
      <w:iCs/>
    </w:rPr>
  </w:style>
  <w:style w:type="character" w:styleId="CommentReference">
    <w:name w:val="annotation reference"/>
    <w:basedOn w:val="DefaultParagraphFont"/>
    <w:rsid w:val="009F0F18"/>
    <w:rPr>
      <w:sz w:val="16"/>
      <w:szCs w:val="16"/>
    </w:rPr>
  </w:style>
  <w:style w:type="paragraph" w:styleId="CommentText">
    <w:name w:val="annotation text"/>
    <w:basedOn w:val="Normal"/>
    <w:link w:val="CommentTextChar"/>
    <w:rsid w:val="009F0F18"/>
    <w:pPr>
      <w:spacing w:after="120"/>
      <w:jc w:val="left"/>
    </w:pPr>
    <w:rPr>
      <w:rFonts w:ascii="Verdana" w:eastAsia="SimHei" w:hAnsi="Verdana" w:cs="Simplified Arabic"/>
      <w:bCs/>
      <w:sz w:val="20"/>
      <w:szCs w:val="20"/>
      <w:lang w:val="en-US" w:eastAsia="zh-CN"/>
    </w:rPr>
  </w:style>
  <w:style w:type="character" w:customStyle="1" w:styleId="CommentTextChar">
    <w:name w:val="Comment Text Char"/>
    <w:basedOn w:val="DefaultParagraphFont"/>
    <w:link w:val="CommentText"/>
    <w:rsid w:val="009F0F18"/>
    <w:rPr>
      <w:rFonts w:ascii="Verdana" w:eastAsia="SimHei" w:hAnsi="Verdana" w:cs="Simplified Arabic"/>
      <w:bCs/>
    </w:rPr>
  </w:style>
  <w:style w:type="character" w:customStyle="1" w:styleId="apple-style-span">
    <w:name w:val="apple-style-span"/>
    <w:basedOn w:val="DefaultParagraphFont"/>
    <w:rsid w:val="009F0F18"/>
  </w:style>
  <w:style w:type="paragraph" w:customStyle="1" w:styleId="FigureNotitle">
    <w:name w:val="Figure_No &amp; title"/>
    <w:basedOn w:val="Normal"/>
    <w:next w:val="Normal"/>
    <w:rsid w:val="009F0F18"/>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ascii="Times New Roman" w:eastAsia="Times New Roman" w:hAnsi="Times New Roman"/>
      <w:b/>
      <w:sz w:val="24"/>
      <w:szCs w:val="20"/>
      <w:lang w:val="en-GB" w:eastAsia="en-US"/>
    </w:rPr>
  </w:style>
  <w:style w:type="paragraph" w:customStyle="1" w:styleId="Title1">
    <w:name w:val="Title 1"/>
    <w:basedOn w:val="Normal"/>
    <w:next w:val="Normal"/>
    <w:rsid w:val="009F0F18"/>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ascii="Times New Roman" w:eastAsia="Times New Roman" w:hAnsi="Times New Roman"/>
      <w:caps/>
      <w:sz w:val="28"/>
      <w:szCs w:val="20"/>
      <w:lang w:eastAsia="en-US"/>
    </w:rPr>
  </w:style>
  <w:style w:type="paragraph" w:styleId="CommentSubject">
    <w:name w:val="annotation subject"/>
    <w:basedOn w:val="CommentText"/>
    <w:next w:val="CommentText"/>
    <w:link w:val="CommentSubjectChar"/>
    <w:rsid w:val="009F0F18"/>
    <w:rPr>
      <w:b/>
    </w:rPr>
  </w:style>
  <w:style w:type="character" w:customStyle="1" w:styleId="CommentSubjectChar">
    <w:name w:val="Comment Subject Char"/>
    <w:basedOn w:val="CommentTextChar"/>
    <w:link w:val="CommentSubject"/>
    <w:rsid w:val="009F0F18"/>
    <w:rPr>
      <w:rFonts w:ascii="Verdana" w:eastAsia="SimHei" w:hAnsi="Verdana" w:cs="Simplified Arabic"/>
      <w:b/>
      <w:bCs/>
    </w:rPr>
  </w:style>
  <w:style w:type="character" w:customStyle="1" w:styleId="CallChar">
    <w:name w:val="Call Char"/>
    <w:link w:val="Call"/>
    <w:uiPriority w:val="99"/>
    <w:rsid w:val="009F0F18"/>
    <w:rPr>
      <w:rFonts w:ascii="Calibri" w:eastAsia="Times New Roman" w:hAnsi="Calibri" w:cs="Times New Roman italic"/>
      <w:i/>
      <w:sz w:val="21"/>
      <w:lang w:val="en-GB" w:eastAsia="en-US"/>
    </w:rPr>
  </w:style>
  <w:style w:type="paragraph" w:customStyle="1" w:styleId="ResNo">
    <w:name w:val="Res_No"/>
    <w:basedOn w:val="Normal"/>
    <w:next w:val="Restitle"/>
    <w:link w:val="ResNoChar"/>
    <w:uiPriority w:val="99"/>
    <w:rsid w:val="009F0F18"/>
    <w:pPr>
      <w:keepNext/>
      <w:keepLines/>
      <w:overflowPunct w:val="0"/>
      <w:autoSpaceDE w:val="0"/>
      <w:autoSpaceDN w:val="0"/>
      <w:adjustRightInd w:val="0"/>
      <w:spacing w:before="0" w:line="280" w:lineRule="exact"/>
      <w:jc w:val="center"/>
      <w:textAlignment w:val="baseline"/>
    </w:pPr>
    <w:rPr>
      <w:rFonts w:ascii="Times New Roman" w:eastAsia="Times New Roman" w:hAnsi="Times New Roman"/>
      <w:caps/>
      <w:sz w:val="28"/>
      <w:szCs w:val="20"/>
      <w:lang w:eastAsia="en-US"/>
    </w:rPr>
  </w:style>
  <w:style w:type="paragraph" w:customStyle="1" w:styleId="Restitle">
    <w:name w:val="Res_title"/>
    <w:basedOn w:val="Normal"/>
    <w:next w:val="Resref"/>
    <w:link w:val="RestitleChar"/>
    <w:uiPriority w:val="99"/>
    <w:rsid w:val="009F0F18"/>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ascii="Times New Roman" w:eastAsia="Times New Roman" w:hAnsi="Times New Roman"/>
      <w:b/>
      <w:sz w:val="28"/>
      <w:szCs w:val="20"/>
      <w:lang w:eastAsia="en-US"/>
    </w:rPr>
  </w:style>
  <w:style w:type="paragraph" w:customStyle="1" w:styleId="Resref">
    <w:name w:val="Res_ref"/>
    <w:basedOn w:val="Normal"/>
    <w:next w:val="Normal"/>
    <w:qFormat/>
    <w:rsid w:val="009F0F18"/>
    <w:pPr>
      <w:keepNext/>
      <w:keepLines/>
      <w:overflowPunct w:val="0"/>
      <w:autoSpaceDE w:val="0"/>
      <w:autoSpaceDN w:val="0"/>
      <w:adjustRightInd w:val="0"/>
      <w:spacing w:before="160" w:line="280" w:lineRule="exact"/>
      <w:jc w:val="center"/>
      <w:textAlignment w:val="baseline"/>
    </w:pPr>
    <w:rPr>
      <w:rFonts w:ascii="Times New Roman" w:eastAsia="Times New Roman" w:hAnsi="Times New Roman"/>
      <w:i/>
      <w:sz w:val="22"/>
      <w:szCs w:val="20"/>
      <w:lang w:eastAsia="en-US"/>
    </w:rPr>
  </w:style>
  <w:style w:type="character" w:customStyle="1" w:styleId="RestitleChar">
    <w:name w:val="Res_title Char"/>
    <w:link w:val="Restitle"/>
    <w:uiPriority w:val="99"/>
    <w:rsid w:val="009F0F18"/>
    <w:rPr>
      <w:rFonts w:eastAsia="Times New Roman"/>
      <w:b/>
      <w:sz w:val="28"/>
      <w:lang w:val="fr-FR" w:eastAsia="en-US"/>
    </w:rPr>
  </w:style>
  <w:style w:type="character" w:customStyle="1" w:styleId="ResNoChar">
    <w:name w:val="Res_No Char"/>
    <w:link w:val="ResNo"/>
    <w:uiPriority w:val="99"/>
    <w:rsid w:val="009F0F18"/>
    <w:rPr>
      <w:rFonts w:eastAsia="Times New Roman"/>
      <w:caps/>
      <w:sz w:val="28"/>
      <w:lang w:val="fr-FR" w:eastAsia="en-US"/>
    </w:rPr>
  </w:style>
  <w:style w:type="paragraph" w:customStyle="1" w:styleId="Normalaftertitle0">
    <w:name w:val="Normal after title"/>
    <w:basedOn w:val="Normal"/>
    <w:next w:val="Normal"/>
    <w:link w:val="NormalaftertitleChar"/>
    <w:uiPriority w:val="99"/>
    <w:rsid w:val="009F0F18"/>
    <w:pPr>
      <w:tabs>
        <w:tab w:val="left" w:pos="1134"/>
        <w:tab w:val="left" w:pos="1871"/>
        <w:tab w:val="left" w:pos="2268"/>
      </w:tabs>
      <w:overflowPunct w:val="0"/>
      <w:autoSpaceDE w:val="0"/>
      <w:autoSpaceDN w:val="0"/>
      <w:adjustRightInd w:val="0"/>
      <w:spacing w:before="280"/>
      <w:textAlignment w:val="baseline"/>
    </w:pPr>
    <w:rPr>
      <w:rFonts w:ascii="Times New Roman" w:eastAsia="Times New Roman" w:hAnsi="Times New Roman"/>
      <w:sz w:val="22"/>
      <w:szCs w:val="20"/>
      <w:lang w:val="en-GB" w:eastAsia="en-US"/>
    </w:rPr>
  </w:style>
  <w:style w:type="character" w:customStyle="1" w:styleId="NormalaftertitleChar">
    <w:name w:val="Normal after title Char"/>
    <w:link w:val="Normalaftertitle0"/>
    <w:uiPriority w:val="99"/>
    <w:locked/>
    <w:rsid w:val="009F0F18"/>
    <w:rPr>
      <w:rFonts w:eastAsia="Times New Roman"/>
      <w:sz w:val="22"/>
      <w:lang w:val="en-GB" w:eastAsia="en-US"/>
    </w:rPr>
  </w:style>
  <w:style w:type="paragraph" w:customStyle="1" w:styleId="FootnoteTextS2">
    <w:name w:val="Footnote Text_S2"/>
    <w:basedOn w:val="FootnoteText"/>
    <w:uiPriority w:val="99"/>
    <w:rsid w:val="009F0F18"/>
    <w:pPr>
      <w:keepLines/>
      <w:tabs>
        <w:tab w:val="clear" w:pos="284"/>
        <w:tab w:val="left" w:pos="851"/>
      </w:tabs>
      <w:overflowPunct w:val="0"/>
      <w:autoSpaceDE w:val="0"/>
      <w:autoSpaceDN w:val="0"/>
      <w:adjustRightInd w:val="0"/>
      <w:jc w:val="left"/>
      <w:textAlignment w:val="baseline"/>
    </w:pPr>
    <w:rPr>
      <w:rFonts w:eastAsia="Times New Roman"/>
      <w:b/>
      <w:sz w:val="24"/>
      <w:szCs w:val="20"/>
      <w:lang w:val="en-GB" w:eastAsia="en-US"/>
    </w:rPr>
  </w:style>
  <w:style w:type="paragraph" w:styleId="NoSpacing">
    <w:name w:val="No Spacing"/>
    <w:qFormat/>
    <w:rsid w:val="009F0F18"/>
    <w:rPr>
      <w:rFonts w:ascii="Calibri" w:eastAsia="Calibri" w:hAnsi="Calibri"/>
      <w:sz w:val="22"/>
      <w:szCs w:val="22"/>
      <w:lang w:eastAsia="en-US"/>
    </w:rPr>
  </w:style>
  <w:style w:type="paragraph" w:customStyle="1" w:styleId="Questionno0">
    <w:name w:val="Question_no"/>
    <w:basedOn w:val="Chapttitle"/>
    <w:link w:val="QuestionnoChar"/>
    <w:qFormat/>
    <w:rsid w:val="00FD027D"/>
    <w:pPr>
      <w:spacing w:before="240"/>
      <w:jc w:val="right"/>
    </w:pPr>
    <w:rPr>
      <w:rFonts w:eastAsia="Times New Roman" w:cs="Calibri"/>
      <w:sz w:val="52"/>
      <w:szCs w:val="52"/>
      <w:lang w:val="en-GB"/>
    </w:rPr>
  </w:style>
  <w:style w:type="character" w:customStyle="1" w:styleId="QuestionnoChar">
    <w:name w:val="Question_no Char"/>
    <w:basedOn w:val="ChapttitleChar"/>
    <w:link w:val="Questionno0"/>
    <w:rsid w:val="00FD027D"/>
    <w:rPr>
      <w:rFonts w:ascii="Calibri" w:eastAsia="Times New Roman" w:hAnsi="Calibri" w:cs="Calibri"/>
      <w:b/>
      <w:bCs/>
      <w:color w:val="005173"/>
      <w:sz w:val="52"/>
      <w:szCs w:val="52"/>
      <w:lang w:val="en-GB" w:eastAsia="fr-FR"/>
    </w:rPr>
  </w:style>
  <w:style w:type="paragraph" w:customStyle="1" w:styleId="enumlev2">
    <w:name w:val="enumlev 2"/>
    <w:basedOn w:val="enumlev1"/>
    <w:qFormat/>
    <w:rsid w:val="00FD027D"/>
    <w:pPr>
      <w:tabs>
        <w:tab w:val="clear" w:pos="794"/>
        <w:tab w:val="clear" w:pos="1191"/>
        <w:tab w:val="clear" w:pos="1588"/>
        <w:tab w:val="clear" w:pos="1985"/>
      </w:tabs>
      <w:overflowPunct/>
      <w:autoSpaceDE/>
      <w:autoSpaceDN/>
      <w:adjustRightInd/>
      <w:spacing w:before="0"/>
      <w:ind w:left="568" w:hanging="284"/>
      <w:jc w:val="both"/>
      <w:textAlignment w:val="auto"/>
    </w:pPr>
    <w:rPr>
      <w:rFonts w:ascii="Calibri" w:eastAsia="SimSun" w:hAnsi="Calibri" w:cs="Calibri"/>
      <w:sz w:val="19"/>
      <w:szCs w:val="22"/>
      <w:lang w:eastAsia="en-GB"/>
    </w:rPr>
  </w:style>
  <w:style w:type="paragraph" w:customStyle="1" w:styleId="Chaptertitle">
    <w:name w:val="Chapter_title"/>
    <w:basedOn w:val="Normal"/>
    <w:qFormat/>
    <w:rsid w:val="00FD027D"/>
    <w:pPr>
      <w:jc w:val="center"/>
    </w:pPr>
    <w:rPr>
      <w:rFonts w:eastAsiaTheme="minorEastAsia" w:cstheme="minorBidi"/>
      <w:b/>
      <w:color w:val="1F9DD9"/>
      <w:sz w:val="40"/>
      <w:lang w:val="en-US" w:eastAsia="zh-CN"/>
    </w:rPr>
  </w:style>
  <w:style w:type="paragraph" w:customStyle="1" w:styleId="HeadingbI">
    <w:name w:val="Heading b+I"/>
    <w:basedOn w:val="enumlev1"/>
    <w:qFormat/>
    <w:rsid w:val="00FD027D"/>
    <w:pPr>
      <w:tabs>
        <w:tab w:val="clear" w:pos="794"/>
        <w:tab w:val="clear" w:pos="1191"/>
        <w:tab w:val="clear" w:pos="1588"/>
        <w:tab w:val="clear" w:pos="1985"/>
      </w:tabs>
      <w:overflowPunct/>
      <w:autoSpaceDE/>
      <w:autoSpaceDN/>
      <w:adjustRightInd/>
      <w:spacing w:before="240"/>
      <w:ind w:left="284" w:hanging="284"/>
      <w:jc w:val="both"/>
      <w:textAlignment w:val="auto"/>
    </w:pPr>
    <w:rPr>
      <w:rFonts w:ascii="Calibri" w:hAnsi="Calibri" w:cs="Helvetica"/>
      <w:b/>
      <w:bCs/>
      <w:i/>
      <w:szCs w:val="28"/>
      <w:lang w:val="en-US" w:eastAsia="fr-FR"/>
    </w:rPr>
  </w:style>
  <w:style w:type="paragraph" w:customStyle="1" w:styleId="Questiontitle0">
    <w:name w:val="Question_title"/>
    <w:basedOn w:val="Questionno0"/>
    <w:qFormat/>
    <w:rsid w:val="00FD027D"/>
    <w:rPr>
      <w:i/>
      <w:sz w:val="48"/>
      <w:lang w:val="en-US"/>
    </w:rPr>
  </w:style>
  <w:style w:type="table" w:customStyle="1" w:styleId="Style1">
    <w:name w:val="Style1"/>
    <w:basedOn w:val="TableNormal"/>
    <w:uiPriority w:val="99"/>
    <w:rsid w:val="00FD027D"/>
    <w:rPr>
      <w:rFonts w:eastAsiaTheme="minorEastAsia"/>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005173"/>
      </w:tcPr>
    </w:tblStylePr>
    <w:tblStylePr w:type="band1Horz">
      <w:tblPr/>
      <w:tcPr>
        <w:shd w:val="clear" w:color="auto" w:fill="E8F8FD"/>
      </w:tcPr>
    </w:tblStylePr>
    <w:tblStylePr w:type="band2Horz">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footer" Target="footer8.xml"/><Relationship Id="rId21" Type="http://schemas.openxmlformats.org/officeDocument/2006/relationships/image" Target="media/image4.png"/><Relationship Id="rId42" Type="http://schemas.openxmlformats.org/officeDocument/2006/relationships/image" Target="media/image10.emf"/><Relationship Id="rId47" Type="http://schemas.openxmlformats.org/officeDocument/2006/relationships/hyperlink" Target="http://www.itu.int/md/D10-SG01-C-0088/" TargetMode="External"/><Relationship Id="rId63" Type="http://schemas.openxmlformats.org/officeDocument/2006/relationships/hyperlink" Target="http://transition.fcc.gov/Bureaus/Engineering_Technology/Documents/bulletins/oet65/oet65.pdf" TargetMode="External"/><Relationship Id="rId68" Type="http://schemas.openxmlformats.org/officeDocument/2006/relationships/hyperlink" Target="http://ecfr.gpoaccess.gov/cgi/t/text/text-idx?c=ecfr&amp;sid=e28e4f93164e296912c3ab9b5964ddde&amp;rgn=div8&amp;view=text&amp;node=47:1.0.1.1.3.9.226.62&amp;idno=47" TargetMode="External"/><Relationship Id="rId84" Type="http://schemas.openxmlformats.org/officeDocument/2006/relationships/hyperlink" Target="http://www.itu.int/rec/R-REC-BS/recommendation.asp?lang=en&amp;parent=R-REC-BS.1698" TargetMode="External"/><Relationship Id="rId89" Type="http://schemas.openxmlformats.org/officeDocument/2006/relationships/hyperlink" Target="http://www.itu.int/ITU-T/recommendations/rec.aspx?rec=9140&amp;lang=en" TargetMode="External"/><Relationship Id="rId112" Type="http://schemas.openxmlformats.org/officeDocument/2006/relationships/hyperlink" Target="http://www.who.int/mediacentre/factsheets/fs193/en/index.html" TargetMode="External"/><Relationship Id="rId16" Type="http://schemas.openxmlformats.org/officeDocument/2006/relationships/header" Target="header4.xml"/><Relationship Id="rId107" Type="http://schemas.openxmlformats.org/officeDocument/2006/relationships/hyperlink" Target="http://www.hpa.org.uk/webc/HPAwebFile/HPAweb_C/1194947415497" TargetMode="External"/><Relationship Id="rId11" Type="http://schemas.openxmlformats.org/officeDocument/2006/relationships/header" Target="header2.xml"/><Relationship Id="rId32" Type="http://schemas.openxmlformats.org/officeDocument/2006/relationships/hyperlink" Target="http://www.dot.gov.in/" TargetMode="External"/><Relationship Id="rId37" Type="http://schemas.openxmlformats.org/officeDocument/2006/relationships/package" Target="embeddings/Microsoft_Excel_Worksheet2.xlsx"/><Relationship Id="rId53" Type="http://schemas.openxmlformats.org/officeDocument/2006/relationships/hyperlink" Target="http://www.itu.int/md/D10-SG01-C-0228/" TargetMode="External"/><Relationship Id="rId58" Type="http://schemas.openxmlformats.org/officeDocument/2006/relationships/hyperlink" Target="http://www.cenelec.org" TargetMode="External"/><Relationship Id="rId74" Type="http://schemas.openxmlformats.org/officeDocument/2006/relationships/hyperlink" Target="http://monographs.iarc.fr/ENG/Monographs/vol102/index.php" TargetMode="External"/><Relationship Id="rId79" Type="http://schemas.openxmlformats.org/officeDocument/2006/relationships/hyperlink" Target="http://webstore.iec.ch/webstore/webstore.nsf/artnum/045152!opendocument" TargetMode="External"/><Relationship Id="rId102" Type="http://schemas.openxmlformats.org/officeDocument/2006/relationships/hyperlink" Target="http://www.comcas.org/" TargetMode="External"/><Relationship Id="rId5" Type="http://schemas.openxmlformats.org/officeDocument/2006/relationships/settings" Target="settings.xml"/><Relationship Id="rId61" Type="http://schemas.openxmlformats.org/officeDocument/2006/relationships/hyperlink" Target="http://ec.europa.eu/enterprise/sectors/electrical/files/lv/rec519_en.pdf" TargetMode="External"/><Relationship Id="rId82" Type="http://schemas.openxmlformats.org/officeDocument/2006/relationships/hyperlink" Target="http://standards.ieee.org/getieee/C95/download/C95.1-2005.pdf" TargetMode="External"/><Relationship Id="rId90" Type="http://schemas.openxmlformats.org/officeDocument/2006/relationships/hyperlink" Target="http://www.itu.int/rec/T-REC-K.70-201105-I!Amd2" TargetMode="External"/><Relationship Id="rId95" Type="http://schemas.openxmlformats.org/officeDocument/2006/relationships/hyperlink" Target="http://www.who.int/docstore/peh-emf/EMFStandards/who-0102/Asia/Japan_files/table_ja.htm"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chart" Target="charts/chart1.xml"/><Relationship Id="rId30" Type="http://schemas.openxmlformats.org/officeDocument/2006/relationships/hyperlink" Target="http://www.dot.gov.in/2013/DOT%20Advt%20modified%201%20Dec%202012-final-hindi%20version.pdf" TargetMode="External"/><Relationship Id="rId35" Type="http://schemas.openxmlformats.org/officeDocument/2006/relationships/package" Target="embeddings/Microsoft_Excel_Worksheet1.xlsx"/><Relationship Id="rId43" Type="http://schemas.openxmlformats.org/officeDocument/2006/relationships/package" Target="embeddings/Microsoft_Excel_Worksheet5.xlsx"/><Relationship Id="rId48" Type="http://schemas.openxmlformats.org/officeDocument/2006/relationships/hyperlink" Target="http://www.itu.int/md/D10-SG01-C-0181/" TargetMode="External"/><Relationship Id="rId56" Type="http://schemas.openxmlformats.org/officeDocument/2006/relationships/hyperlink" Target="http://grouper.ieee.org/groups/scc28" TargetMode="External"/><Relationship Id="rId64" Type="http://schemas.openxmlformats.org/officeDocument/2006/relationships/hyperlink" Target="http://transition.fcc.gov/Bureaus/Engineering_Technology/Documents/bulletins/oet65/oet65c.pdf" TargetMode="External"/><Relationship Id="rId69" Type="http://schemas.openxmlformats.org/officeDocument/2006/relationships/hyperlink" Target="http://transition.fcc.gov/Daily_Releases/Daily_Business/2013/db0329/FCC-13-39A1.pdf" TargetMode="External"/><Relationship Id="rId77" Type="http://schemas.openxmlformats.org/officeDocument/2006/relationships/hyperlink" Target="http://www.icnirp.de/documents/RFReview.pdf" TargetMode="External"/><Relationship Id="rId100" Type="http://schemas.openxmlformats.org/officeDocument/2006/relationships/hyperlink" Target="http://www.itu.int/rec/dologin_pub.asp?lang=e&amp;id=T-REC-K.52-200412-I!!PDF-E&amp;type=items" TargetMode="External"/><Relationship Id="rId105" Type="http://schemas.openxmlformats.org/officeDocument/2006/relationships/hyperlink" Target="http://www.itu.int/worl2011" TargetMode="External"/><Relationship Id="rId113" Type="http://schemas.openxmlformats.org/officeDocument/2006/relationships/hyperlink" Target="http://www.who.int/docstore/peh-emf/EMFStandards/who-0102/Worldmap5.htm" TargetMode="External"/><Relationship Id="rId118"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hyperlink" Target="http://www.itu.int/md/D10-RGQ23.1-C-0015/" TargetMode="External"/><Relationship Id="rId72" Type="http://schemas.openxmlformats.org/officeDocument/2006/relationships/hyperlink" Target="http://monographs.iarc.fr/ENG/Monographs/vol102/mono102.pdf" TargetMode="External"/><Relationship Id="rId80" Type="http://schemas.openxmlformats.org/officeDocument/2006/relationships/hyperlink" Target="http://webbooks.net/freestuff/C95.1.pdf" TargetMode="External"/><Relationship Id="rId85" Type="http://schemas.openxmlformats.org/officeDocument/2006/relationships/hyperlink" Target="http://www.itu.int/pub/publications.aspx?lang=en&amp;parent=R-HDB-23-2011http://www.itu.int/pub/publications.aspx?lang=en&amp;parent=R-HDB-23-2011" TargetMode="External"/><Relationship Id="rId93" Type="http://schemas.openxmlformats.org/officeDocument/2006/relationships/hyperlink" Target="http://www.itu.int/rec/T-REC-K.70-201302-P!Amd3" TargetMode="External"/><Relationship Id="rId98" Type="http://schemas.openxmlformats.org/officeDocument/2006/relationships/hyperlink" Target="http://www.jmoe.org/download.php?file=13673436230.pdf&amp;nome=Volume%2012%20-%20Number%201%20-%20Estimating%20the%20Location%20of%20Maximum%20Exposure%20to%20Electromagnetic%20Fields%20Associated%20with%20a%20Radiocommunication%20Station.pdf"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6.xml"/><Relationship Id="rId33" Type="http://schemas.openxmlformats.org/officeDocument/2006/relationships/hyperlink" Target="http://www.dot.gov.in" TargetMode="External"/><Relationship Id="rId38" Type="http://schemas.openxmlformats.org/officeDocument/2006/relationships/image" Target="media/image8.emf"/><Relationship Id="rId46" Type="http://schemas.openxmlformats.org/officeDocument/2006/relationships/hyperlink" Target="http://www.itu.int/md/D10-SG01-INF-0034/" TargetMode="External"/><Relationship Id="rId59" Type="http://schemas.openxmlformats.org/officeDocument/2006/relationships/hyperlink" Target="http://www.sviva.gov.il/subjectsEnv/Radiation/Communication_Facilities/cellular/Documents/shidur_selulariim_peilim_1.xls" TargetMode="External"/><Relationship Id="rId67" Type="http://schemas.openxmlformats.org/officeDocument/2006/relationships/hyperlink" Target="http://www.gpo.gov/fdsys/pkg/CFR-2011-title47-vol1/xml/CFR-2011-title47-vol1-sec1-1310.xml" TargetMode="External"/><Relationship Id="rId103" Type="http://schemas.openxmlformats.org/officeDocument/2006/relationships/hyperlink" Target="http://www.mtt-tpms.org/symposia_v6/COMCAS2009/fileuploads/292-JI4GGWYnIdKk-2.pdf" TargetMode="External"/><Relationship Id="rId108" Type="http://schemas.openxmlformats.org/officeDocument/2006/relationships/hyperlink" Target="http://www.google.co.il/url?sa=t&amp;rct=j&amp;q=&amp;esrc=s&amp;frm=1&amp;source=web&amp;cd=1&amp;ved=0CB4QFjAA&amp;url=http%3A%2F%2Fwww.bakom.admin.ch%2Fdokumentation%2Fzahlen%2F00545%2F00547%2F00548%2Findex.html%3Fdownload%3DNHzLpZeg7t%2Clnp6I0NTU042l2Z6ln1ad1IZn4Z2qZpnO2Yuq2Z6gpJCDdH17f2ym162epYbg2c_JjKbNoKSn6A--%26lang%3Den&amp;ei=WbE3ULXVCpHbsgbWiYGoDA&amp;usg=AFQjCNFuJG5xOzk810Klg1-bnuVDTGjpjA&amp;sig2=8YVPSTt9ddkxjJl8D-HZ4w" TargetMode="External"/><Relationship Id="rId116" Type="http://schemas.openxmlformats.org/officeDocument/2006/relationships/footer" Target="footer7.xml"/><Relationship Id="rId20" Type="http://schemas.openxmlformats.org/officeDocument/2006/relationships/image" Target="media/image3.png"/><Relationship Id="rId41" Type="http://schemas.openxmlformats.org/officeDocument/2006/relationships/package" Target="embeddings/Microsoft_Excel_Worksheet4.xlsx"/><Relationship Id="rId54" Type="http://schemas.openxmlformats.org/officeDocument/2006/relationships/hyperlink" Target="https://www.itu.int/md/D10-SG01-C-0278/" TargetMode="External"/><Relationship Id="rId62" Type="http://schemas.openxmlformats.org/officeDocument/2006/relationships/hyperlink" Target="http://eur-lex.europa.eu/LexUriServ/LexUriServ.do?uri=OJ:L:2004:184:0001:0009:EN:PDF" TargetMode="External"/><Relationship Id="rId70" Type="http://schemas.openxmlformats.org/officeDocument/2006/relationships/hyperlink" Target="http://catedra-coitt.euitt.upm.es/web_salud_medioamb/Informes/informes_PDF/rf/HealthCanada/99ehd237.pdf" TargetMode="External"/><Relationship Id="rId75" Type="http://schemas.openxmlformats.org/officeDocument/2006/relationships/hyperlink" Target="http://www.icnirp.de/documents/emfgdl.pdf" TargetMode="External"/><Relationship Id="rId83" Type="http://schemas.openxmlformats.org/officeDocument/2006/relationships/hyperlink" Target="http://www.itu.int/pub/R-HDB-23-2011" TargetMode="External"/><Relationship Id="rId88" Type="http://schemas.openxmlformats.org/officeDocument/2006/relationships/hyperlink" Target="http://www.itu.int/ITU-T/recommendations/rec.aspx?rec=9139" TargetMode="External"/><Relationship Id="rId91" Type="http://schemas.openxmlformats.org/officeDocument/2006/relationships/hyperlink" Target="http://www.itu.int/ITU-T/recommendations/rec.aspx?rec=9140&amp;lang=en" TargetMode="External"/><Relationship Id="rId96" Type="http://schemas.openxmlformats.org/officeDocument/2006/relationships/hyperlink" Target="http://www.tele.soumu.go.jp/resource/j/ele/body/emf_pamphlet.pdf" TargetMode="External"/><Relationship Id="rId111" Type="http://schemas.openxmlformats.org/officeDocument/2006/relationships/hyperlink" Target="http://www.who.int/mediacentre/factsheets/fs193/en/index.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mailto:hectormario.carril@ties.itu.int" TargetMode="External"/><Relationship Id="rId28" Type="http://schemas.openxmlformats.org/officeDocument/2006/relationships/chart" Target="charts/chart2.xml"/><Relationship Id="rId36" Type="http://schemas.openxmlformats.org/officeDocument/2006/relationships/image" Target="media/image7.emf"/><Relationship Id="rId49" Type="http://schemas.openxmlformats.org/officeDocument/2006/relationships/hyperlink" Target="http://www.itu.int/md/D10-SG01-C-0135/" TargetMode="External"/><Relationship Id="rId57" Type="http://schemas.openxmlformats.org/officeDocument/2006/relationships/hyperlink" Target="http://www.iec.ch/" TargetMode="External"/><Relationship Id="rId106" Type="http://schemas.openxmlformats.org/officeDocument/2006/relationships/hyperlink" Target="http://old.sviva.gov.il/bin/en.jsp?enPage=e_BlankPage&amp;enDisplay=view&amp;enDispWhat=Object&amp;enDispWho=Articals%5el6805&amp;enZone=non_ionizing" TargetMode="External"/><Relationship Id="rId114" Type="http://schemas.openxmlformats.org/officeDocument/2006/relationships/hyperlink" Target="http://www.itu.int/ITU-D/ict/facts/2011/material/ICTFactsFigures2011.pdf" TargetMode="External"/><Relationship Id="rId119" Type="http://schemas.openxmlformats.org/officeDocument/2006/relationships/footer" Target="footer9.xml"/><Relationship Id="rId10" Type="http://schemas.openxmlformats.org/officeDocument/2006/relationships/header" Target="header1.xml"/><Relationship Id="rId31" Type="http://schemas.openxmlformats.org/officeDocument/2006/relationships/hyperlink" Target="http://www.dot.gov.in/2013/DOT%20Advt%20modified%201%20Dec%202012-final-hindi%20version.pdf" TargetMode="External"/><Relationship Id="rId44" Type="http://schemas.openxmlformats.org/officeDocument/2006/relationships/image" Target="media/image11.emf"/><Relationship Id="rId52" Type="http://schemas.openxmlformats.org/officeDocument/2006/relationships/hyperlink" Target="http://www.itu.int/md/D10-SG01-INF-0018/" TargetMode="External"/><Relationship Id="rId60" Type="http://schemas.openxmlformats.org/officeDocument/2006/relationships/hyperlink" Target="http://www.cenelec.eu/dyn/www/f?p=104:110:3556960516540125::::FSP_PROJECT:14880" TargetMode="External"/><Relationship Id="rId65" Type="http://schemas.openxmlformats.org/officeDocument/2006/relationships/hyperlink" Target="http://transition.fcc.gov/Bureaus/Engineering_Technology/Documents/bulletins/oet65/oet65b.pdf" TargetMode="External"/><Relationship Id="rId73" Type="http://schemas.openxmlformats.org/officeDocument/2006/relationships/hyperlink" Target="http://monographs.iarc.fr/ENG/Monographs/vol102/mono102.pdf" TargetMode="External"/><Relationship Id="rId78" Type="http://schemas.openxmlformats.org/officeDocument/2006/relationships/hyperlink" Target="http://webstore.iec.ch/webstore/webstore.nsf/artnum/033746" TargetMode="External"/><Relationship Id="rId81" Type="http://schemas.openxmlformats.org/officeDocument/2006/relationships/hyperlink" Target="http://standards.ieee.org/findstds/standard/1528-2003.html" TargetMode="External"/><Relationship Id="rId86" Type="http://schemas.openxmlformats.org/officeDocument/2006/relationships/hyperlink" Target="http://www.itu.int/ITU-T/studygroups/com05/" TargetMode="External"/><Relationship Id="rId94" Type="http://schemas.openxmlformats.org/officeDocument/2006/relationships/hyperlink" Target="http://www.itu.int/rec/T-REC-K.91-201205-I" TargetMode="External"/><Relationship Id="rId99" Type="http://schemas.openxmlformats.org/officeDocument/2006/relationships/hyperlink" Target="http://eprints.mdx.ac.uk/133/2/MazarAug08.pdf" TargetMode="External"/><Relationship Id="rId101" Type="http://schemas.openxmlformats.org/officeDocument/2006/relationships/hyperlink" Target="http://www.mtt-tpms.org/symposia_v6/COMCAS2009/fileuploads/292-JI4GGWYnIdKk-2.pdf"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package" Target="embeddings/Microsoft_Excel_Worksheet3.xlsx"/><Relationship Id="rId109" Type="http://schemas.openxmlformats.org/officeDocument/2006/relationships/hyperlink" Target="http://oem.bmj.com/content/66/8/550.full.pdf+html" TargetMode="External"/><Relationship Id="rId34" Type="http://schemas.openxmlformats.org/officeDocument/2006/relationships/image" Target="media/image6.emf"/><Relationship Id="rId50" Type="http://schemas.openxmlformats.org/officeDocument/2006/relationships/hyperlink" Target="http://www.itu.int/md/D10-SG01-C-0082" TargetMode="External"/><Relationship Id="rId55" Type="http://schemas.openxmlformats.org/officeDocument/2006/relationships/hyperlink" Target="http://www.icnirp.org" TargetMode="External"/><Relationship Id="rId76" Type="http://schemas.openxmlformats.org/officeDocument/2006/relationships/hyperlink" Target="http://www.icnirp.de/documents/StatementEMF.pdf" TargetMode="External"/><Relationship Id="rId97" Type="http://schemas.openxmlformats.org/officeDocument/2006/relationships/hyperlink" Target="http://www.tele.soumu.go.jp/resource/j/ele/body/emf_pamphlet.pdf" TargetMode="External"/><Relationship Id="rId104" Type="http://schemas.openxmlformats.org/officeDocument/2006/relationships/hyperlink" Target="http://www.ituworld2011.com/published/ituworld2011/sessions/TS11/TS11_Nghinamundova-A%20Comparison%20Between%20European%20and%20North%20American%20Wireless%20Regulations-Mazar.pdf" TargetMode="Externa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iarc.fr/en/media-centre/pr/2011/pdfs/pr208_E.pdf" TargetMode="External"/><Relationship Id="rId92" Type="http://schemas.openxmlformats.org/officeDocument/2006/relationships/hyperlink" Target="http://www.itu.int/rec/T-REC-K.70-201105-I!Amd2" TargetMode="External"/><Relationship Id="rId2" Type="http://schemas.openxmlformats.org/officeDocument/2006/relationships/numbering" Target="numbering.xml"/><Relationship Id="rId29" Type="http://schemas.openxmlformats.org/officeDocument/2006/relationships/hyperlink" Target="http://www.dot.gov.in/2013/Eng_final.pdf%20dated%2015-01-2013.pdf" TargetMode="External"/><Relationship Id="rId24" Type="http://schemas.openxmlformats.org/officeDocument/2006/relationships/hyperlink" Target="mailto:miguel.alcaine@itu.int" TargetMode="External"/><Relationship Id="rId40" Type="http://schemas.openxmlformats.org/officeDocument/2006/relationships/image" Target="media/image9.emf"/><Relationship Id="rId45" Type="http://schemas.openxmlformats.org/officeDocument/2006/relationships/package" Target="embeddings/Microsoft_Excel_Worksheet6.xlsx"/><Relationship Id="rId66" Type="http://schemas.openxmlformats.org/officeDocument/2006/relationships/hyperlink" Target="http://transition.fcc.gov/Bureaus/Engineering_Technology/Documents/bulletins/oet65/oet65c.pdf" TargetMode="External"/><Relationship Id="rId87" Type="http://schemas.openxmlformats.org/officeDocument/2006/relationships/hyperlink" Target="http://www.itu.int/rec/T-REC-K.52-200412-I" TargetMode="External"/><Relationship Id="rId110" Type="http://schemas.openxmlformats.org/officeDocument/2006/relationships/hyperlink" Target="http://whqlibdoc.who.int/publications/2007/9789241595612_eng.pdf" TargetMode="External"/><Relationship Id="rId115" Type="http://schemas.openxmlformats.org/officeDocument/2006/relationships/hyperlink" Target="http://www.itu.int/en/ITU-D/Statistics/Documents/facts/ICTFactsFigures2013.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dot.gov.in/sites/default/files/TEC%20Test%20Procedure%20EMFields%20From%20BTS%20Antennae.pdf" TargetMode="External"/><Relationship Id="rId13" Type="http://schemas.openxmlformats.org/officeDocument/2006/relationships/hyperlink" Target="http://www.who.int/entity/peh-emf/standards/emf_model/en/index.html" TargetMode="External"/><Relationship Id="rId18" Type="http://schemas.openxmlformats.org/officeDocument/2006/relationships/hyperlink" Target="http://www.itu.int/ITU-D/conferences/wtdc/2010/pdf/WTDC10_DraftPreliminaryReport.pdf" TargetMode="External"/><Relationship Id="rId3" Type="http://schemas.openxmlformats.org/officeDocument/2006/relationships/hyperlink" Target="http://www.dot.gov.in/access-services/journey-emf" TargetMode="External"/><Relationship Id="rId21" Type="http://schemas.openxmlformats.org/officeDocument/2006/relationships/hyperlink" Target="http://www.itu.int/md/D10-RGQ23.1-INF-0004/" TargetMode="External"/><Relationship Id="rId7" Type="http://schemas.openxmlformats.org/officeDocument/2006/relationships/hyperlink" Target="http://www.dot.gov.in/sites/default/files/Mobile%20Communication-Radio%20Waves%20and%20Safety%2010th%20sept%2012%20final.pdf" TargetMode="External"/><Relationship Id="rId12" Type="http://schemas.openxmlformats.org/officeDocument/2006/relationships/hyperlink" Target="http://www.who.int/peh-emf/standards/framework/en/index.html" TargetMode="External"/><Relationship Id="rId17" Type="http://schemas.openxmlformats.org/officeDocument/2006/relationships/hyperlink" Target="http://www.itu.int/pub/T-RES-T.72-2012" TargetMode="External"/><Relationship Id="rId2" Type="http://schemas.openxmlformats.org/officeDocument/2006/relationships/hyperlink" Target="http://www.who.int/docstore/peh-emf/publications/facts_press/EMF-Precaution.htm" TargetMode="External"/><Relationship Id="rId16" Type="http://schemas.openxmlformats.org/officeDocument/2006/relationships/hyperlink" Target="http://www.itu.int/ITU-D/study_groups/SGP_2010-2014/doc/rgq/2010/D10-RGQ23.1-en.pdf" TargetMode="External"/><Relationship Id="rId20" Type="http://schemas.openxmlformats.org/officeDocument/2006/relationships/hyperlink" Target="http://www.icnirp.de/documents/emfgdl.pdf" TargetMode="External"/><Relationship Id="rId1" Type="http://schemas.openxmlformats.org/officeDocument/2006/relationships/hyperlink" Target="http://www.itu.int/en/ITUT/climatechange/emf-1305/Documents/Turin-Call-to-Action.pdf" TargetMode="External"/><Relationship Id="rId6" Type="http://schemas.openxmlformats.org/officeDocument/2006/relationships/hyperlink" Target="http://www.dot.gov.in/sites/default/files/Precautionary%20Guidelines%20for%20mobile%20Users.pdf" TargetMode="External"/><Relationship Id="rId11" Type="http://schemas.openxmlformats.org/officeDocument/2006/relationships/hyperlink" Target="http://www.itu.int/en/ITU-T/climatechange/emf-1305/Documents/Presentations/s3p5-RKBhatnagar.pdf" TargetMode="External"/><Relationship Id="rId5" Type="http://schemas.openxmlformats.org/officeDocument/2006/relationships/hyperlink" Target="http://www.dot.gov.in/sites/default/files/Advisory%20Guidelines%20For%20State%20Govts%20effective%20from%2001-08-13.pdf" TargetMode="External"/><Relationship Id="rId15" Type="http://schemas.openxmlformats.org/officeDocument/2006/relationships/hyperlink" Target="http://eprints.mdx.ac.uk/133/2/MazarAug08.pdf" TargetMode="External"/><Relationship Id="rId10" Type="http://schemas.openxmlformats.org/officeDocument/2006/relationships/hyperlink" Target="http://www.itu.int/en/ITU-T/climatechange/emf-1305/Documents/Presentations/s2part2p3-RKBhatnagar.pdf" TargetMode="External"/><Relationship Id="rId19" Type="http://schemas.openxmlformats.org/officeDocument/2006/relationships/hyperlink" Target="http://www.itu.int/pub/S-CONF-ACTF-2010/en" TargetMode="External"/><Relationship Id="rId4" Type="http://schemas.openxmlformats.org/officeDocument/2006/relationships/hyperlink" Target="http://www.dot.gov.in/sites/default/files/Revision%20of%20SAR%20Limit%20mobile%20handsets.pdf" TargetMode="External"/><Relationship Id="rId9" Type="http://schemas.openxmlformats.org/officeDocument/2006/relationships/hyperlink" Target="http://www.dot.gov.in/sites/default/files/748%20circular.pdf" TargetMode="External"/><Relationship Id="rId14" Type="http://schemas.openxmlformats.org/officeDocument/2006/relationships/hyperlink" Target="http://www.itu.int/pub/R-HDB-23-2011" TargetMode="External"/><Relationship Id="rId22" Type="http://schemas.openxmlformats.org/officeDocument/2006/relationships/hyperlink" Target="http://www.itu.int/ITU-D/CDS/sg/rgqlist.asp?lg=1&amp;sp=2010&amp;rgq=D10-RGQ23.1&amp;stg=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Documents\Question-(SG-1).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My%20Documents\BOOK\Agregate5_3Yuval.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My%20Documents\BOOK\Agregate5_3Yuv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80272864664965"/>
          <c:y val="0.11209739958975694"/>
          <c:w val="0.8457798911988067"/>
          <c:h val="0.71641791044776049"/>
        </c:manualLayout>
      </c:layout>
      <c:scatterChart>
        <c:scatterStyle val="lineMarker"/>
        <c:varyColors val="0"/>
        <c:ser>
          <c:idx val="0"/>
          <c:order val="0"/>
          <c:tx>
            <c:v>occupational</c:v>
          </c:tx>
          <c:spPr>
            <a:ln w="19050">
              <a:solidFill>
                <a:srgbClr val="006600"/>
              </a:solidFill>
              <a:prstDash val="sysDash"/>
            </a:ln>
          </c:spPr>
          <c:marker>
            <c:symbol val="diamond"/>
            <c:size val="8"/>
            <c:spPr>
              <a:solidFill>
                <a:srgbClr val="000080"/>
              </a:solidFill>
              <a:ln>
                <a:solidFill>
                  <a:srgbClr val="000080"/>
                </a:solidFill>
                <a:prstDash val="solid"/>
              </a:ln>
            </c:spPr>
          </c:marker>
          <c:dPt>
            <c:idx val="5"/>
            <c:bubble3D val="0"/>
            <c:spPr>
              <a:ln w="19050">
                <a:solidFill>
                  <a:srgbClr val="006600"/>
                </a:solidFill>
                <a:prstDash val="sysDot"/>
              </a:ln>
            </c:spPr>
          </c:dPt>
          <c:dLbls>
            <c:dLbl>
              <c:idx val="2"/>
              <c:delete val="1"/>
            </c:dLbl>
            <c:dLbl>
              <c:idx val="3"/>
              <c:delete val="1"/>
            </c:dLbl>
            <c:dLbl>
              <c:idx val="7"/>
              <c:delete val="1"/>
            </c:dLbl>
            <c:spPr>
              <a:noFill/>
              <a:ln w="25400">
                <a:noFill/>
              </a:ln>
            </c:spPr>
            <c:txPr>
              <a:bodyPr/>
              <a:lstStyle/>
              <a:p>
                <a:pPr>
                  <a:defRPr lang="he-IL"/>
                </a:pPr>
                <a:endParaRPr lang="en-US"/>
              </a:p>
            </c:txPr>
            <c:dLblPos val="b"/>
            <c:showLegendKey val="0"/>
            <c:showVal val="1"/>
            <c:showCatName val="0"/>
            <c:showSerName val="0"/>
            <c:showPercent val="0"/>
            <c:showBubbleSize val="0"/>
            <c:showLeaderLines val="0"/>
          </c:dLbls>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1"/>
          <c:order val="1"/>
          <c:tx>
            <c:v>general public</c:v>
          </c:tx>
          <c:spPr>
            <a:ln w="19050"/>
          </c:spPr>
          <c:dLbls>
            <c:dLbl>
              <c:idx val="2"/>
              <c:layout>
                <c:manualLayout>
                  <c:x val="-2.4912112880336016E-2"/>
                  <c:y val="-5.331782178512158E-2"/>
                </c:manualLayout>
              </c:layout>
              <c:dLblPos val="r"/>
              <c:showLegendKey val="0"/>
              <c:showVal val="1"/>
              <c:showCatName val="0"/>
              <c:showSerName val="0"/>
              <c:showPercent val="0"/>
              <c:showBubbleSize val="0"/>
            </c:dLbl>
            <c:dLbl>
              <c:idx val="3"/>
              <c:delete val="1"/>
            </c:dLbl>
            <c:dLbl>
              <c:idx val="4"/>
              <c:delete val="1"/>
            </c:dLbl>
            <c:spPr>
              <a:noFill/>
              <a:ln w="25400">
                <a:noFill/>
              </a:ln>
            </c:spPr>
            <c:txPr>
              <a:bodyPr/>
              <a:lstStyle/>
              <a:p>
                <a:pPr>
                  <a:defRPr lang="he-IL"/>
                </a:pPr>
                <a:endParaRPr lang="en-US"/>
              </a:p>
            </c:txPr>
            <c:dLblPos val="t"/>
            <c:showLegendKey val="0"/>
            <c:showVal val="1"/>
            <c:showCatName val="0"/>
            <c:showSerName val="0"/>
            <c:showPercent val="0"/>
            <c:showBubbleSize val="0"/>
            <c:showLeaderLines val="0"/>
          </c:dLbls>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
          <c:order val="2"/>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3"/>
          <c:order val="3"/>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4"/>
          <c:order val="4"/>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5"/>
          <c:order val="5"/>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6"/>
          <c:order val="6"/>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7"/>
          <c:order val="7"/>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8"/>
          <c:order val="8"/>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9"/>
          <c:order val="9"/>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10"/>
          <c:order val="10"/>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11"/>
          <c:order val="11"/>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12"/>
          <c:order val="12"/>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13"/>
          <c:order val="13"/>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14"/>
          <c:order val="14"/>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15"/>
          <c:order val="15"/>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16"/>
          <c:order val="16"/>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levels'!$I$7</c:f>
              <c:numCache>
                <c:formatCode>General</c:formatCode>
                <c:ptCount val="1"/>
                <c:pt idx="0">
                  <c:v>0</c:v>
                </c:pt>
              </c:numCache>
            </c:numRef>
          </c:yVal>
          <c:smooth val="0"/>
        </c:ser>
        <c:ser>
          <c:idx val="17"/>
          <c:order val="17"/>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levels'!$I$7</c:f>
              <c:numCache>
                <c:formatCode>General</c:formatCode>
                <c:ptCount val="1"/>
                <c:pt idx="0">
                  <c:v>0</c:v>
                </c:pt>
              </c:numCache>
            </c:numRef>
          </c:yVal>
          <c:smooth val="0"/>
        </c:ser>
        <c:ser>
          <c:idx val="18"/>
          <c:order val="18"/>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19"/>
          <c:order val="19"/>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0"/>
          <c:order val="20"/>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21"/>
          <c:order val="21"/>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2"/>
          <c:order val="22"/>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23"/>
          <c:order val="23"/>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4"/>
          <c:order val="24"/>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25"/>
          <c:order val="25"/>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6"/>
          <c:order val="26"/>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27"/>
          <c:order val="27"/>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28"/>
          <c:order val="28"/>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29"/>
          <c:order val="29"/>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30"/>
          <c:order val="30"/>
          <c:tx>
            <c:v>occupational</c:v>
          </c:tx>
          <c:spPr>
            <a:ln w="19050">
              <a:solidFill>
                <a:srgbClr val="006600"/>
              </a:solidFill>
              <a:prstDash val="sys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31"/>
          <c:order val="31"/>
          <c:tx>
            <c:v>general public</c:v>
          </c:tx>
          <c:spPr>
            <a:ln w="19050"/>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32"/>
          <c:order val="32"/>
          <c:tx>
            <c:v>occupational</c:v>
          </c:tx>
          <c:spPr>
            <a:ln w="19050">
              <a:solidFill>
                <a:srgbClr val="006600"/>
              </a:solidFill>
              <a:prstDash val="dash"/>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levels'!$C$5:$L$5</c:f>
              <c:numCache>
                <c:formatCode>_(* #,##0_);_(* \(#,##0\);_(* "-"_);_(@_)</c:formatCode>
                <c:ptCount val="10"/>
                <c:pt idx="0">
                  <c:v>10000</c:v>
                </c:pt>
                <c:pt idx="1">
                  <c:v>10000</c:v>
                </c:pt>
                <c:pt idx="2" formatCode="0">
                  <c:v>304</c:v>
                </c:pt>
                <c:pt idx="3" formatCode="0">
                  <c:v>250</c:v>
                </c:pt>
                <c:pt idx="4" formatCode="0">
                  <c:v>87</c:v>
                </c:pt>
                <c:pt idx="5" formatCode="0">
                  <c:v>87</c:v>
                </c:pt>
                <c:pt idx="6" formatCode="0">
                  <c:v>28</c:v>
                </c:pt>
                <c:pt idx="7" formatCode="0">
                  <c:v>28</c:v>
                </c:pt>
                <c:pt idx="8" formatCode="0">
                  <c:v>61</c:v>
                </c:pt>
                <c:pt idx="9" formatCode="0">
                  <c:v>61</c:v>
                </c:pt>
              </c:numCache>
            </c:numRef>
          </c:yVal>
          <c:smooth val="0"/>
        </c:ser>
        <c:ser>
          <c:idx val="33"/>
          <c:order val="33"/>
          <c:tx>
            <c:v>general public</c:v>
          </c:tx>
          <c:spPr>
            <a:ln w="19050">
              <a:solidFill>
                <a:srgbClr val="C00000"/>
              </a:solidFill>
            </a:ln>
          </c:spPr>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levels'!$C$6:$L$6</c:f>
              <c:numCache>
                <c:formatCode>#,##0</c:formatCode>
                <c:ptCount val="10"/>
                <c:pt idx="0">
                  <c:v>20000</c:v>
                </c:pt>
                <c:pt idx="1">
                  <c:v>20000</c:v>
                </c:pt>
                <c:pt idx="2" formatCode="General">
                  <c:v>610</c:v>
                </c:pt>
                <c:pt idx="3" formatCode="General">
                  <c:v>610</c:v>
                </c:pt>
                <c:pt idx="4" formatCode="General">
                  <c:v>610</c:v>
                </c:pt>
                <c:pt idx="5" formatCode="General">
                  <c:v>610</c:v>
                </c:pt>
                <c:pt idx="6" formatCode="General">
                  <c:v>61</c:v>
                </c:pt>
                <c:pt idx="7" formatCode="General">
                  <c:v>61</c:v>
                </c:pt>
                <c:pt idx="8" formatCode="General">
                  <c:v>137</c:v>
                </c:pt>
                <c:pt idx="9" formatCode="General">
                  <c:v>137</c:v>
                </c:pt>
              </c:numCache>
            </c:numRef>
          </c:yVal>
          <c:smooth val="0"/>
        </c:ser>
        <c:ser>
          <c:idx val="34"/>
          <c:order val="34"/>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levels'!$I$7</c:f>
              <c:numCache>
                <c:formatCode>General</c:formatCode>
                <c:ptCount val="1"/>
                <c:pt idx="0">
                  <c:v>0</c:v>
                </c:pt>
              </c:numCache>
            </c:numRef>
          </c:yVal>
          <c:smooth val="0"/>
        </c:ser>
        <c:ser>
          <c:idx val="35"/>
          <c:order val="35"/>
          <c:xVal>
            <c:numRef>
              <c:f>'ICNIRP levels'!$C$3:$L$3</c:f>
              <c:numCache>
                <c:formatCode>General</c:formatCode>
                <c:ptCount val="10"/>
                <c:pt idx="0">
                  <c:v>1</c:v>
                </c:pt>
                <c:pt idx="1">
                  <c:v>25</c:v>
                </c:pt>
                <c:pt idx="2">
                  <c:v>820</c:v>
                </c:pt>
                <c:pt idx="3">
                  <c:v>1000</c:v>
                </c:pt>
                <c:pt idx="4">
                  <c:v>3000</c:v>
                </c:pt>
                <c:pt idx="5">
                  <c:v>1000000</c:v>
                </c:pt>
                <c:pt idx="6">
                  <c:v>10000000</c:v>
                </c:pt>
                <c:pt idx="7">
                  <c:v>400000000</c:v>
                </c:pt>
                <c:pt idx="8" formatCode="_(* #,##0_);_(* \(#,##0\);_(* &quot;-&quot;??_);_(@_)">
                  <c:v>2000000000</c:v>
                </c:pt>
                <c:pt idx="9" formatCode="0.00E+00">
                  <c:v>300000000000</c:v>
                </c:pt>
              </c:numCache>
            </c:numRef>
          </c:xVal>
          <c:yVal>
            <c:numRef>
              <c:f>'ICNIRP levels'!$I$7</c:f>
              <c:numCache>
                <c:formatCode>General</c:formatCode>
                <c:ptCount val="1"/>
                <c:pt idx="0">
                  <c:v>0</c:v>
                </c:pt>
              </c:numCache>
            </c:numRef>
          </c:yVal>
          <c:smooth val="0"/>
        </c:ser>
        <c:dLbls>
          <c:showLegendKey val="0"/>
          <c:showVal val="0"/>
          <c:showCatName val="0"/>
          <c:showSerName val="0"/>
          <c:showPercent val="0"/>
          <c:showBubbleSize val="0"/>
        </c:dLbls>
        <c:axId val="69728128"/>
        <c:axId val="69808128"/>
      </c:scatterChart>
      <c:valAx>
        <c:axId val="69728128"/>
        <c:scaling>
          <c:logBase val="10"/>
          <c:orientation val="minMax"/>
        </c:scaling>
        <c:delete val="1"/>
        <c:axPos val="b"/>
        <c:majorGridlines>
          <c:spPr>
            <a:ln w="317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prstDash val="sysDash"/>
            </a:ln>
          </c:spPr>
        </c:majorGridlines>
        <c:title>
          <c:tx>
            <c:rich>
              <a:bodyPr/>
              <a:lstStyle/>
              <a:p>
                <a:pPr>
                  <a:defRPr lang="he-IL"/>
                </a:pPr>
                <a:r>
                  <a:rPr lang="en-US"/>
                  <a:t>Frequency</a:t>
                </a:r>
              </a:p>
            </c:rich>
          </c:tx>
          <c:layout>
            <c:manualLayout>
              <c:xMode val="edge"/>
              <c:yMode val="edge"/>
              <c:x val="0.44062682268883102"/>
              <c:y val="0.92808980192354862"/>
            </c:manualLayout>
          </c:layout>
          <c:overlay val="0"/>
          <c:spPr>
            <a:noFill/>
            <a:ln w="25400">
              <a:noFill/>
            </a:ln>
          </c:spPr>
        </c:title>
        <c:numFmt formatCode="General" sourceLinked="0"/>
        <c:majorTickMark val="in"/>
        <c:minorTickMark val="in"/>
        <c:tickLblPos val="none"/>
        <c:crossAx val="69808128"/>
        <c:crossesAt val="1"/>
        <c:crossBetween val="midCat"/>
      </c:valAx>
      <c:valAx>
        <c:axId val="69808128"/>
        <c:scaling>
          <c:logBase val="10"/>
          <c:orientation val="minMax"/>
          <c:max val="50000"/>
        </c:scaling>
        <c:delete val="0"/>
        <c:axPos val="l"/>
        <c:title>
          <c:tx>
            <c:rich>
              <a:bodyPr/>
              <a:lstStyle/>
              <a:p>
                <a:pPr>
                  <a:defRPr lang="he-IL"/>
                </a:pPr>
                <a:r>
                  <a:rPr lang="en-US"/>
                  <a:t>E(v/m)</a:t>
                </a:r>
              </a:p>
            </c:rich>
          </c:tx>
          <c:layout>
            <c:manualLayout>
              <c:xMode val="edge"/>
              <c:yMode val="edge"/>
              <c:x val="2.5974085255153406E-2"/>
              <c:y val="0.37313442503491784"/>
            </c:manualLayout>
          </c:layout>
          <c:overlay val="0"/>
          <c:spPr>
            <a:noFill/>
            <a:ln w="25400">
              <a:noFill/>
            </a:ln>
          </c:spPr>
        </c:title>
        <c:numFmt formatCode="#,##0" sourceLinked="0"/>
        <c:majorTickMark val="out"/>
        <c:minorTickMark val="in"/>
        <c:tickLblPos val="nextTo"/>
        <c:spPr>
          <a:ln w="3175">
            <a:solidFill>
              <a:srgbClr val="000000"/>
            </a:solidFill>
            <a:prstDash val="solid"/>
          </a:ln>
        </c:spPr>
        <c:txPr>
          <a:bodyPr rot="0" vert="horz"/>
          <a:lstStyle/>
          <a:p>
            <a:pPr>
              <a:defRPr lang="he-IL"/>
            </a:pPr>
            <a:endParaRPr lang="en-US"/>
          </a:p>
        </c:txPr>
        <c:crossAx val="69728128"/>
        <c:crosses val="autoZero"/>
        <c:crossBetween val="midCat"/>
      </c:valAx>
      <c:spPr>
        <a:noFill/>
        <a:ln w="12700">
          <a:solidFill>
            <a:srgbClr val="808080"/>
          </a:solidFill>
          <a:prstDash val="solid"/>
        </a:ln>
      </c:spPr>
    </c:plotArea>
    <c:plotVisOnly val="1"/>
    <c:dispBlanksAs val="gap"/>
    <c:showDLblsOverMax val="0"/>
  </c:chart>
  <c:spPr>
    <a:solidFill>
      <a:srgbClr val="FFFFFF"/>
    </a:solidFill>
    <a:ln w="3175">
      <a:solidFill>
        <a:srgbClr val="006600"/>
      </a:solidFill>
      <a:prstDash val="solid"/>
    </a:ln>
  </c:spPr>
  <c:txPr>
    <a:bodyPr/>
    <a:lstStyle/>
    <a:p>
      <a:pPr>
        <a:defRPr sz="975" b="0" i="0" u="none" strike="noStrike" baseline="0">
          <a:solidFill>
            <a:srgbClr val="000000"/>
          </a:solidFill>
          <a:latin typeface="Times New Roman" pitchFamily="18" charset="0"/>
          <a:ea typeface="Arial"/>
          <a:cs typeface="Times New Roman" pitchFamily="18"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531787693205007E-2"/>
          <c:y val="7.9445462041989892E-2"/>
          <c:w val="0.88026372344246007"/>
          <c:h val="0.71391842420871365"/>
        </c:manualLayout>
      </c:layout>
      <c:scatterChart>
        <c:scatterStyle val="lineMarker"/>
        <c:varyColors val="0"/>
        <c:ser>
          <c:idx val="1"/>
          <c:order val="0"/>
          <c:tx>
            <c:strRef>
              <c:f>'ICNIRP levels'!$E$68</c:f>
              <c:strCache>
                <c:ptCount val="1"/>
                <c:pt idx="0">
                  <c:v>general public exposure</c:v>
                </c:pt>
              </c:strCache>
            </c:strRef>
          </c:tx>
          <c:spPr>
            <a:ln w="19050">
              <a:solidFill>
                <a:srgbClr val="006600"/>
              </a:solidFill>
              <a:prstDash val="dash"/>
            </a:ln>
          </c:spPr>
          <c:dLbls>
            <c:spPr>
              <a:noFill/>
              <a:ln w="25400">
                <a:noFill/>
              </a:ln>
            </c:spPr>
            <c:txPr>
              <a:bodyPr/>
              <a:lstStyle/>
              <a:p>
                <a:pPr>
                  <a:defRPr lang="he-IL"/>
                </a:pPr>
                <a:endParaRPr lang="en-US"/>
              </a:p>
            </c:txPr>
            <c:dLblPos val="b"/>
            <c:showLegendKey val="0"/>
            <c:showVal val="1"/>
            <c:showCatName val="1"/>
            <c:showSerName val="0"/>
            <c:showPercent val="0"/>
            <c:showBubbleSize val="0"/>
            <c:showLeaderLines val="0"/>
          </c:dLbls>
          <c:xVal>
            <c:numRef>
              <c:f>'ICNIRP levels'!$C$35:$F$35</c:f>
              <c:numCache>
                <c:formatCode>General</c:formatCode>
                <c:ptCount val="4"/>
                <c:pt idx="0">
                  <c:v>10</c:v>
                </c:pt>
                <c:pt idx="1">
                  <c:v>400</c:v>
                </c:pt>
                <c:pt idx="2" formatCode="_(* #,##0_);_(* \(#,##0\);_(* &quot;-&quot;??_);_(@_)">
                  <c:v>2000</c:v>
                </c:pt>
                <c:pt idx="3" formatCode="_(* #,##0_);_(* \(#,##0\);_(* &quot;-&quot;??_);_(@_)">
                  <c:v>300000</c:v>
                </c:pt>
              </c:numCache>
            </c:numRef>
          </c:xVal>
          <c:yVal>
            <c:numRef>
              <c:f>'ICNIRP levels'!$C$36:$F$36</c:f>
              <c:numCache>
                <c:formatCode>_(* #,##0_);_(* \(#,##0\);_(* "-"_);_(@_)</c:formatCode>
                <c:ptCount val="4"/>
                <c:pt idx="0">
                  <c:v>2</c:v>
                </c:pt>
                <c:pt idx="1">
                  <c:v>2</c:v>
                </c:pt>
                <c:pt idx="2" formatCode="General">
                  <c:v>10</c:v>
                </c:pt>
                <c:pt idx="3" formatCode="General">
                  <c:v>10</c:v>
                </c:pt>
              </c:numCache>
            </c:numRef>
          </c:yVal>
          <c:smooth val="0"/>
        </c:ser>
        <c:ser>
          <c:idx val="0"/>
          <c:order val="1"/>
          <c:tx>
            <c:strRef>
              <c:f>'ICNIRP levels'!$E$69</c:f>
              <c:strCache>
                <c:ptCount val="1"/>
                <c:pt idx="0">
                  <c:v>occupational  exposure</c:v>
                </c:pt>
              </c:strCache>
            </c:strRef>
          </c:tx>
          <c:spPr>
            <a:ln w="19050">
              <a:solidFill>
                <a:srgbClr val="FF0000"/>
              </a:solidFill>
            </a:ln>
          </c:spPr>
          <c:dLbls>
            <c:spPr>
              <a:noFill/>
              <a:ln w="25400">
                <a:noFill/>
              </a:ln>
            </c:spPr>
            <c:txPr>
              <a:bodyPr/>
              <a:lstStyle/>
              <a:p>
                <a:pPr>
                  <a:defRPr lang="he-IL"/>
                </a:pPr>
                <a:endParaRPr lang="en-US"/>
              </a:p>
            </c:txPr>
            <c:dLblPos val="b"/>
            <c:showLegendKey val="0"/>
            <c:showVal val="1"/>
            <c:showCatName val="0"/>
            <c:showSerName val="0"/>
            <c:showPercent val="0"/>
            <c:showBubbleSize val="0"/>
            <c:separator>, </c:separator>
            <c:showLeaderLines val="0"/>
          </c:dLbls>
          <c:xVal>
            <c:numRef>
              <c:f>'ICNIRP levels'!$C$35:$F$35</c:f>
              <c:numCache>
                <c:formatCode>General</c:formatCode>
                <c:ptCount val="4"/>
                <c:pt idx="0">
                  <c:v>10</c:v>
                </c:pt>
                <c:pt idx="1">
                  <c:v>400</c:v>
                </c:pt>
                <c:pt idx="2" formatCode="_(* #,##0_);_(* \(#,##0\);_(* &quot;-&quot;??_);_(@_)">
                  <c:v>2000</c:v>
                </c:pt>
                <c:pt idx="3" formatCode="_(* #,##0_);_(* \(#,##0\);_(* &quot;-&quot;??_);_(@_)">
                  <c:v>300000</c:v>
                </c:pt>
              </c:numCache>
            </c:numRef>
          </c:xVal>
          <c:yVal>
            <c:numRef>
              <c:f>'ICNIRP levels'!$C$37:$F$37</c:f>
              <c:numCache>
                <c:formatCode>General</c:formatCode>
                <c:ptCount val="4"/>
                <c:pt idx="0">
                  <c:v>10</c:v>
                </c:pt>
                <c:pt idx="1">
                  <c:v>10</c:v>
                </c:pt>
                <c:pt idx="2">
                  <c:v>50</c:v>
                </c:pt>
                <c:pt idx="3">
                  <c:v>50</c:v>
                </c:pt>
              </c:numCache>
            </c:numRef>
          </c:yVal>
          <c:smooth val="0"/>
        </c:ser>
        <c:dLbls>
          <c:showLegendKey val="0"/>
          <c:showVal val="0"/>
          <c:showCatName val="0"/>
          <c:showSerName val="0"/>
          <c:showPercent val="0"/>
          <c:showBubbleSize val="0"/>
        </c:dLbls>
        <c:axId val="69827584"/>
        <c:axId val="69829760"/>
      </c:scatterChart>
      <c:valAx>
        <c:axId val="69827584"/>
        <c:scaling>
          <c:logBase val="10"/>
          <c:orientation val="minMax"/>
          <c:min val="10"/>
        </c:scaling>
        <c:delete val="0"/>
        <c:axPos val="b"/>
        <c:majorGridlines>
          <c:spPr>
            <a:ln w="3175">
              <a:solidFill>
                <a:srgbClr val="000000"/>
              </a:solidFill>
              <a:prstDash val="sysDash"/>
            </a:ln>
          </c:spPr>
        </c:majorGridlines>
        <c:title>
          <c:tx>
            <c:rich>
              <a:bodyPr/>
              <a:lstStyle/>
              <a:p>
                <a:pPr>
                  <a:defRPr lang="he-IL"/>
                </a:pPr>
                <a:r>
                  <a:rPr lang="en-US"/>
                  <a:t>Frequency (MHz)</a:t>
                </a:r>
              </a:p>
            </c:rich>
          </c:tx>
          <c:layout>
            <c:manualLayout>
              <c:xMode val="edge"/>
              <c:yMode val="edge"/>
              <c:x val="0.43831205967675202"/>
              <c:y val="0.8865672125174584"/>
            </c:manualLayout>
          </c:layout>
          <c:overlay val="0"/>
          <c:spPr>
            <a:noFill/>
            <a:ln w="25400">
              <a:noFill/>
            </a:ln>
          </c:spPr>
        </c:title>
        <c:numFmt formatCode="#,##0" sourceLinked="0"/>
        <c:majorTickMark val="out"/>
        <c:minorTickMark val="in"/>
        <c:tickLblPos val="nextTo"/>
        <c:spPr>
          <a:ln w="3175">
            <a:solidFill>
              <a:srgbClr val="000000"/>
            </a:solidFill>
            <a:prstDash val="solid"/>
          </a:ln>
        </c:spPr>
        <c:txPr>
          <a:bodyPr rot="0" vert="horz"/>
          <a:lstStyle/>
          <a:p>
            <a:pPr>
              <a:defRPr lang="he-IL" sz="975" b="0" i="0" u="none" strike="noStrike" baseline="0">
                <a:solidFill>
                  <a:srgbClr val="000000"/>
                </a:solidFill>
                <a:latin typeface="Arial"/>
                <a:ea typeface="Arial"/>
                <a:cs typeface="Arial"/>
              </a:defRPr>
            </a:pPr>
            <a:endParaRPr lang="en-US"/>
          </a:p>
        </c:txPr>
        <c:crossAx val="69829760"/>
        <c:crosses val="autoZero"/>
        <c:crossBetween val="midCat"/>
        <c:minorUnit val="10"/>
      </c:valAx>
      <c:valAx>
        <c:axId val="69829760"/>
        <c:scaling>
          <c:logBase val="10"/>
          <c:orientation val="minMax"/>
          <c:max val="100"/>
        </c:scaling>
        <c:delete val="0"/>
        <c:axPos val="l"/>
        <c:title>
          <c:tx>
            <c:rich>
              <a:bodyPr/>
              <a:lstStyle/>
              <a:p>
                <a:pPr>
                  <a:defRPr lang="he-IL" sz="1000"/>
                </a:pPr>
                <a:r>
                  <a:rPr lang="en-US" sz="1000"/>
                  <a:t>Power    Density (W/m</a:t>
                </a:r>
                <a:r>
                  <a:rPr lang="en-US" sz="1000" baseline="30000"/>
                  <a:t>2</a:t>
                </a:r>
                <a:r>
                  <a:rPr lang="en-US" sz="1000"/>
                  <a:t>)</a:t>
                </a:r>
              </a:p>
            </c:rich>
          </c:tx>
          <c:layout>
            <c:manualLayout>
              <c:xMode val="edge"/>
              <c:yMode val="edge"/>
              <c:x val="2.102107028288139E-3"/>
              <c:y val="0.11093714652674903"/>
            </c:manualLayout>
          </c:layout>
          <c:overlay val="0"/>
          <c:spPr>
            <a:noFill/>
            <a:ln w="25400">
              <a:noFill/>
            </a:ln>
          </c:spPr>
        </c:title>
        <c:numFmt formatCode="0" sourceLinked="0"/>
        <c:majorTickMark val="out"/>
        <c:minorTickMark val="in"/>
        <c:tickLblPos val="nextTo"/>
        <c:spPr>
          <a:ln w="3175">
            <a:solidFill>
              <a:srgbClr val="000000"/>
            </a:solidFill>
            <a:prstDash val="solid"/>
          </a:ln>
        </c:spPr>
        <c:txPr>
          <a:bodyPr rot="0" vert="horz"/>
          <a:lstStyle/>
          <a:p>
            <a:pPr>
              <a:defRPr lang="he-IL" sz="800"/>
            </a:pPr>
            <a:endParaRPr lang="en-US"/>
          </a:p>
        </c:txPr>
        <c:crossAx val="69827584"/>
        <c:crosses val="autoZero"/>
        <c:crossBetween val="midCat"/>
        <c:majorUnit val="10"/>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975" b="0" i="0" u="none" strike="noStrike" baseline="0">
          <a:solidFill>
            <a:srgbClr val="000000"/>
          </a:solidFill>
          <a:latin typeface="Times New Roman" pitchFamily="18" charset="0"/>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0.81535</cdr:x>
      <cdr:y>0.67291</cdr:y>
    </cdr:from>
    <cdr:to>
      <cdr:x>0.95917</cdr:x>
      <cdr:y>0.73099</cdr:y>
    </cdr:to>
    <cdr:sp macro="" textlink="">
      <cdr:nvSpPr>
        <cdr:cNvPr id="23553" name="Text Box 1"/>
        <cdr:cNvSpPr txBox="1">
          <a:spLocks xmlns:a="http://schemas.openxmlformats.org/drawingml/2006/main" noChangeArrowheads="1"/>
        </cdr:cNvSpPr>
      </cdr:nvSpPr>
      <cdr:spPr bwMode="auto">
        <a:xfrm xmlns:a="http://schemas.openxmlformats.org/drawingml/2006/main">
          <a:off x="5906235" y="2444133"/>
          <a:ext cx="1041770" cy="21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r" rtl="0">
            <a:defRPr sz="1000"/>
          </a:pPr>
          <a:r>
            <a:rPr lang="en-GB" sz="1200">
              <a:solidFill>
                <a:srgbClr val="006600"/>
              </a:solidFill>
              <a:effectLst/>
              <a:latin typeface="+mn-lt"/>
              <a:ea typeface="+mn-ea"/>
              <a:cs typeface="+mn-cs"/>
            </a:rPr>
            <a:t>public exposure</a:t>
          </a:r>
          <a:endParaRPr lang="en-US" sz="1200">
            <a:solidFill>
              <a:srgbClr val="006600"/>
            </a:solidFill>
          </a:endParaRPr>
        </a:p>
      </cdr:txBody>
    </cdr:sp>
  </cdr:relSizeAnchor>
  <cdr:relSizeAnchor xmlns:cdr="http://schemas.openxmlformats.org/drawingml/2006/chartDrawing">
    <cdr:from>
      <cdr:x>0.76307</cdr:x>
      <cdr:y>0.2302</cdr:y>
    </cdr:from>
    <cdr:to>
      <cdr:x>0.96111</cdr:x>
      <cdr:y>0.28828</cdr:y>
    </cdr:to>
    <cdr:sp macro="" textlink="">
      <cdr:nvSpPr>
        <cdr:cNvPr id="4" name="Text Box 1"/>
        <cdr:cNvSpPr txBox="1">
          <a:spLocks xmlns:a="http://schemas.openxmlformats.org/drawingml/2006/main" noChangeArrowheads="1"/>
        </cdr:cNvSpPr>
      </cdr:nvSpPr>
      <cdr:spPr bwMode="auto">
        <a:xfrm xmlns:a="http://schemas.openxmlformats.org/drawingml/2006/main">
          <a:off x="5527523" y="836143"/>
          <a:ext cx="1434560" cy="2109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none" lIns="18288" tIns="22860" rIns="0" bIns="0" anchor="t" upright="1">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rtl="0">
            <a:defRPr sz="1000"/>
          </a:pPr>
          <a:r>
            <a:rPr lang="en-GB" sz="1200">
              <a:solidFill>
                <a:srgbClr val="FF0000"/>
              </a:solidFill>
              <a:effectLst/>
              <a:latin typeface="+mn-lt"/>
              <a:ea typeface="+mn-ea"/>
              <a:cs typeface="+mn-cs"/>
            </a:rPr>
            <a:t>occupational exposure</a:t>
          </a:r>
          <a:endParaRPr lang="en-US" sz="1200">
            <a:solidFill>
              <a:srgbClr val="FF0000"/>
            </a:solidFill>
          </a:endParaRPr>
        </a:p>
      </cdr:txBody>
    </cdr:sp>
  </cdr:relSizeAnchor>
  <cdr:relSizeAnchor xmlns:cdr="http://schemas.openxmlformats.org/drawingml/2006/chartDrawing">
    <cdr:from>
      <cdr:x>0.11352</cdr:x>
      <cdr:y>0.88127</cdr:y>
    </cdr:from>
    <cdr:to>
      <cdr:x>0.16562</cdr:x>
      <cdr:y>0.94651</cdr:y>
    </cdr:to>
    <cdr:sp macro="" textlink="">
      <cdr:nvSpPr>
        <cdr:cNvPr id="6" name="Text Box 2"/>
        <cdr:cNvSpPr txBox="1">
          <a:spLocks xmlns:a="http://schemas.openxmlformats.org/drawingml/2006/main" noChangeArrowheads="1"/>
        </cdr:cNvSpPr>
      </cdr:nvSpPr>
      <cdr:spPr bwMode="auto">
        <a:xfrm xmlns:a="http://schemas.openxmlformats.org/drawingml/2006/main">
          <a:off x="622815" y="2425891"/>
          <a:ext cx="285847" cy="1796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0.12278</cdr:x>
      <cdr:y>0.89972</cdr:y>
    </cdr:from>
    <cdr:to>
      <cdr:x>0.17488</cdr:x>
      <cdr:y>0.96497</cdr:y>
    </cdr:to>
    <cdr:sp macro="" textlink="">
      <cdr:nvSpPr>
        <cdr:cNvPr id="7" name="Text Box 2"/>
        <cdr:cNvSpPr txBox="1">
          <a:spLocks xmlns:a="http://schemas.openxmlformats.org/drawingml/2006/main" noChangeArrowheads="1"/>
        </cdr:cNvSpPr>
      </cdr:nvSpPr>
      <cdr:spPr bwMode="auto">
        <a:xfrm xmlns:a="http://schemas.openxmlformats.org/drawingml/2006/main">
          <a:off x="673615" y="2476691"/>
          <a:ext cx="285847" cy="1796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0.11352</cdr:x>
      <cdr:y>0.88127</cdr:y>
    </cdr:from>
    <cdr:to>
      <cdr:x>0.16562</cdr:x>
      <cdr:y>0.94651</cdr:y>
    </cdr:to>
    <cdr:sp macro="" textlink="">
      <cdr:nvSpPr>
        <cdr:cNvPr id="8" name="Text Box 2"/>
        <cdr:cNvSpPr txBox="1">
          <a:spLocks xmlns:a="http://schemas.openxmlformats.org/drawingml/2006/main" noChangeArrowheads="1"/>
        </cdr:cNvSpPr>
      </cdr:nvSpPr>
      <cdr:spPr bwMode="auto">
        <a:xfrm xmlns:a="http://schemas.openxmlformats.org/drawingml/2006/main">
          <a:off x="622815" y="2425891"/>
          <a:ext cx="285847" cy="1796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userShapes>
</file>

<file path=word/drawings/drawing2.xml><?xml version="1.0" encoding="utf-8"?>
<c:userShapes xmlns:c="http://schemas.openxmlformats.org/drawingml/2006/chart">
  <cdr:relSizeAnchor xmlns:cdr="http://schemas.openxmlformats.org/drawingml/2006/chartDrawing">
    <cdr:from>
      <cdr:x>0.74672</cdr:x>
      <cdr:y>0.53846</cdr:y>
    </cdr:from>
    <cdr:to>
      <cdr:x>0.94572</cdr:x>
      <cdr:y>0.69783</cdr:y>
    </cdr:to>
    <cdr:sp macro="" textlink="">
      <cdr:nvSpPr>
        <cdr:cNvPr id="2" name="Text Box 1"/>
        <cdr:cNvSpPr txBox="1"/>
      </cdr:nvSpPr>
      <cdr:spPr>
        <a:xfrm xmlns:a="http://schemas.openxmlformats.org/drawingml/2006/main">
          <a:off x="4096811" y="1475740"/>
          <a:ext cx="1091774" cy="436786"/>
        </a:xfrm>
        <a:prstGeom xmlns:a="http://schemas.openxmlformats.org/drawingml/2006/main" prst="rect">
          <a:avLst/>
        </a:prstGeom>
      </cdr:spPr>
      <cdr:txBody>
        <a:bodyPr xmlns:a="http://schemas.openxmlformats.org/drawingml/2006/main" vertOverflow="clip" wrap="none" rtlCol="0">
          <a:spAutoFit/>
        </a:bodyPr>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a:solidFill>
                <a:srgbClr val="006600"/>
              </a:solidFill>
              <a:effectLst/>
              <a:latin typeface="+mn-lt"/>
              <a:ea typeface="+mn-ea"/>
              <a:cs typeface="+mn-cs"/>
            </a:rPr>
            <a:t>public</a:t>
          </a:r>
          <a:r>
            <a:rPr lang="en-US" sz="1100">
              <a:effectLst/>
              <a:latin typeface="+mn-lt"/>
              <a:ea typeface="+mn-ea"/>
              <a:cs typeface="+mn-cs"/>
            </a:rPr>
            <a:t> </a:t>
          </a:r>
          <a:r>
            <a:rPr lang="en-US" sz="1100">
              <a:solidFill>
                <a:srgbClr val="006600"/>
              </a:solidFill>
              <a:effectLst/>
              <a:latin typeface="+mn-lt"/>
              <a:ea typeface="+mn-ea"/>
              <a:cs typeface="+mn-cs"/>
            </a:rPr>
            <a:t>exposure</a:t>
          </a:r>
        </a:p>
        <a:p xmlns:a="http://schemas.openxmlformats.org/drawingml/2006/main">
          <a:endParaRPr lang="en-US" sz="1100"/>
        </a:p>
      </cdr:txBody>
    </cdr:sp>
  </cdr:relSizeAnchor>
  <cdr:relSizeAnchor xmlns:cdr="http://schemas.openxmlformats.org/drawingml/2006/chartDrawing">
    <cdr:from>
      <cdr:x>0.67033</cdr:x>
      <cdr:y>0.0797</cdr:y>
    </cdr:from>
    <cdr:to>
      <cdr:x>0.94637</cdr:x>
      <cdr:y>0.17623</cdr:y>
    </cdr:to>
    <cdr:sp macro="" textlink="">
      <cdr:nvSpPr>
        <cdr:cNvPr id="3" name="Text Box 2"/>
        <cdr:cNvSpPr txBox="1"/>
      </cdr:nvSpPr>
      <cdr:spPr>
        <a:xfrm xmlns:a="http://schemas.openxmlformats.org/drawingml/2006/main">
          <a:off x="3677707" y="218440"/>
          <a:ext cx="1514453" cy="264560"/>
        </a:xfrm>
        <a:prstGeom xmlns:a="http://schemas.openxmlformats.org/drawingml/2006/main" prst="rect">
          <a:avLst/>
        </a:prstGeom>
      </cdr:spPr>
      <cdr:txBody>
        <a:bodyPr xmlns:a="http://schemas.openxmlformats.org/drawingml/2006/main" vertOverflow="clip" wrap="none" rtlCol="0">
          <a:spAutoFit/>
        </a:bodyPr>
        <a:lstStyle xmlns:a="http://schemas.openxmlformats.org/drawingml/2006/main"/>
        <a:p xmlns:a="http://schemas.openxmlformats.org/drawingml/2006/main">
          <a:pPr algn="r"/>
          <a:r>
            <a:rPr lang="en-US" sz="1100">
              <a:solidFill>
                <a:srgbClr val="FF0000"/>
              </a:solidFill>
              <a:effectLst/>
              <a:latin typeface="+mn-lt"/>
              <a:ea typeface="+mn-ea"/>
              <a:cs typeface="+mn-cs"/>
            </a:rPr>
            <a:t>occupational  exposure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CC5D9-EB4E-4DB9-B403-BD76999C5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Question-(SG-1).dotx</Template>
  <TotalTime>429</TotalTime>
  <Pages>61</Pages>
  <Words>20026</Words>
  <Characters>120203</Characters>
  <Application>Microsoft Office Word</Application>
  <DocSecurity>0</DocSecurity>
  <Lines>1001</Lines>
  <Paragraphs>279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139950</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Catalano Moreira, Rossana</dc:creator>
  <cp:lastModifiedBy>Catalano Moreira, Rossana</cp:lastModifiedBy>
  <cp:revision>79</cp:revision>
  <cp:lastPrinted>2011-08-04T14:12:00Z</cp:lastPrinted>
  <dcterms:created xsi:type="dcterms:W3CDTF">2014-01-14T15:11:00Z</dcterms:created>
  <dcterms:modified xsi:type="dcterms:W3CDTF">2014-01-17T15:29:00Z</dcterms:modified>
</cp:coreProperties>
</file>