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734" w:rsidRDefault="004F0734" w:rsidP="00C15B34">
      <w:bookmarkStart w:id="0" w:name="_Toc360171154"/>
      <w:bookmarkStart w:id="1" w:name="_Toc374691806"/>
      <w:bookmarkStart w:id="2" w:name="_Toc303604611"/>
      <w:bookmarkStart w:id="3" w:name="_Toc303690909"/>
    </w:p>
    <w:p w:rsidR="004F0734" w:rsidRDefault="004F0734" w:rsidP="00C15B34"/>
    <w:p w:rsidR="00C15B34" w:rsidRDefault="00C15B34" w:rsidP="00C15B34"/>
    <w:p w:rsidR="00C729F1" w:rsidRPr="004017E4" w:rsidRDefault="004017E4" w:rsidP="004017E4">
      <w:pPr>
        <w:pStyle w:val="Questionno"/>
        <w:rPr>
          <w:lang w:val="ru-RU"/>
        </w:rPr>
      </w:pPr>
      <w:bookmarkStart w:id="4" w:name="_Toc377482085"/>
      <w:r w:rsidRPr="004017E4">
        <w:rPr>
          <w:lang w:val="ru-RU"/>
        </w:rPr>
        <w:t>ВОПРОС 23/1</w:t>
      </w:r>
      <w:r w:rsidR="00C729F1" w:rsidRPr="004017E4">
        <w:rPr>
          <w:lang w:val="ru-RU"/>
        </w:rPr>
        <w:t>:</w:t>
      </w:r>
      <w:bookmarkEnd w:id="0"/>
      <w:bookmarkEnd w:id="1"/>
      <w:bookmarkEnd w:id="4"/>
    </w:p>
    <w:p w:rsidR="00C729F1" w:rsidRPr="004017E4" w:rsidRDefault="004017E4" w:rsidP="004017E4">
      <w:pPr>
        <w:pStyle w:val="Questiontitle"/>
        <w:rPr>
          <w:lang w:val="ru-RU"/>
        </w:rPr>
      </w:pPr>
      <w:bookmarkStart w:id="5" w:name="_Toc377482086"/>
      <w:r w:rsidRPr="004017E4">
        <w:rPr>
          <w:lang w:val="ru-RU"/>
        </w:rPr>
        <w:t>Стратегии и политика, касающиеся воздействия электромагнитных полей на человека</w:t>
      </w:r>
      <w:bookmarkEnd w:id="5"/>
    </w:p>
    <w:p w:rsidR="008B2896" w:rsidRPr="004017E4" w:rsidRDefault="008B2896" w:rsidP="00C15B34">
      <w:pPr>
        <w:rPr>
          <w:lang w:val="ru-RU"/>
        </w:rPr>
      </w:pPr>
    </w:p>
    <w:p w:rsidR="004A3FC4" w:rsidRPr="004017E4" w:rsidRDefault="004A3FC4" w:rsidP="00C15B34">
      <w:pPr>
        <w:rPr>
          <w:sz w:val="28"/>
          <w:szCs w:val="18"/>
          <w:lang w:val="ru-RU"/>
        </w:rPr>
      </w:pPr>
    </w:p>
    <w:p w:rsidR="008B2896" w:rsidRPr="004017E4" w:rsidRDefault="008B2896" w:rsidP="00C15B34">
      <w:pPr>
        <w:rPr>
          <w:i/>
          <w:iCs/>
          <w:sz w:val="24"/>
          <w:szCs w:val="18"/>
          <w:lang w:val="ru-RU"/>
        </w:rPr>
      </w:pPr>
    </w:p>
    <w:bookmarkEnd w:id="2"/>
    <w:bookmarkEnd w:id="3"/>
    <w:p w:rsidR="00B824FE" w:rsidRPr="004017E4" w:rsidRDefault="00B824FE" w:rsidP="00C15B34">
      <w:pPr>
        <w:rPr>
          <w:lang w:val="ru-RU"/>
        </w:rPr>
      </w:pPr>
    </w:p>
    <w:p w:rsidR="00B824FE" w:rsidRPr="004017E4" w:rsidRDefault="00B824FE" w:rsidP="00C7150D">
      <w:pPr>
        <w:rPr>
          <w:noProof/>
          <w:u w:color="E36C0A"/>
          <w:lang w:val="ru-RU" w:eastAsia="zh-CN"/>
        </w:rPr>
      </w:pPr>
    </w:p>
    <w:p w:rsidR="00C7150D" w:rsidRPr="004017E4" w:rsidRDefault="00C7150D" w:rsidP="00C7150D">
      <w:pPr>
        <w:rPr>
          <w:noProof/>
          <w:u w:color="E36C0A"/>
          <w:lang w:val="ru-RU" w:eastAsia="zh-CN"/>
        </w:rPr>
      </w:pPr>
    </w:p>
    <w:p w:rsidR="00C7150D" w:rsidRPr="004017E4" w:rsidRDefault="00C7150D" w:rsidP="00C7150D">
      <w:pPr>
        <w:rPr>
          <w:noProof/>
          <w:u w:color="E36C0A"/>
          <w:lang w:val="ru-RU" w:eastAsia="zh-CN"/>
        </w:rPr>
      </w:pPr>
    </w:p>
    <w:p w:rsidR="00C7150D" w:rsidRPr="004017E4" w:rsidRDefault="00C7150D" w:rsidP="00C7150D">
      <w:pPr>
        <w:rPr>
          <w:noProof/>
          <w:u w:color="E36C0A"/>
          <w:lang w:val="ru-RU" w:eastAsia="zh-CN"/>
        </w:rPr>
      </w:pPr>
    </w:p>
    <w:p w:rsidR="00C7150D" w:rsidRPr="004017E4" w:rsidRDefault="00C7150D" w:rsidP="00C7150D">
      <w:pPr>
        <w:rPr>
          <w:noProof/>
          <w:u w:color="E36C0A"/>
          <w:lang w:val="ru-RU" w:eastAsia="zh-CN"/>
        </w:rPr>
      </w:pPr>
    </w:p>
    <w:p w:rsidR="00C7150D" w:rsidRPr="004017E4" w:rsidRDefault="00C7150D" w:rsidP="00C7150D">
      <w:pPr>
        <w:rPr>
          <w:noProof/>
          <w:u w:color="E36C0A"/>
          <w:lang w:val="ru-RU" w:eastAsia="zh-CN"/>
        </w:rPr>
      </w:pPr>
    </w:p>
    <w:p w:rsidR="00C7150D" w:rsidRPr="004017E4" w:rsidRDefault="00C7150D" w:rsidP="00C7150D">
      <w:pPr>
        <w:rPr>
          <w:noProof/>
          <w:u w:color="E36C0A"/>
          <w:lang w:val="ru-RU" w:eastAsia="zh-CN"/>
        </w:rPr>
      </w:pPr>
    </w:p>
    <w:p w:rsidR="00C7150D" w:rsidRPr="004017E4" w:rsidRDefault="00C7150D" w:rsidP="00C7150D">
      <w:pPr>
        <w:rPr>
          <w:noProof/>
          <w:u w:color="E36C0A"/>
          <w:lang w:val="ru-RU" w:eastAsia="zh-CN"/>
        </w:rPr>
      </w:pPr>
    </w:p>
    <w:p w:rsidR="00C7150D" w:rsidRPr="004017E4" w:rsidRDefault="00C7150D" w:rsidP="00C7150D">
      <w:pPr>
        <w:rPr>
          <w:noProof/>
          <w:u w:color="E36C0A"/>
          <w:lang w:val="ru-RU" w:eastAsia="zh-CN"/>
        </w:rPr>
      </w:pPr>
    </w:p>
    <w:p w:rsidR="00C7150D" w:rsidRPr="004017E4" w:rsidRDefault="00C7150D" w:rsidP="00C7150D">
      <w:pPr>
        <w:rPr>
          <w:u w:color="E36C0A"/>
          <w:lang w:val="ru-RU"/>
        </w:rPr>
      </w:pPr>
    </w:p>
    <w:p w:rsidR="00C7150D" w:rsidRPr="004017E4" w:rsidRDefault="00C7150D" w:rsidP="00C7150D">
      <w:pPr>
        <w:rPr>
          <w:u w:color="E36C0A"/>
          <w:lang w:val="ru-RU"/>
        </w:rPr>
      </w:pPr>
    </w:p>
    <w:p w:rsidR="00C7150D" w:rsidRPr="004017E4" w:rsidRDefault="00C7150D" w:rsidP="00C7150D">
      <w:pPr>
        <w:rPr>
          <w:u w:color="E36C0A"/>
          <w:lang w:val="ru-RU"/>
        </w:rPr>
      </w:pPr>
    </w:p>
    <w:p w:rsidR="00C7150D" w:rsidRPr="004017E4" w:rsidRDefault="00C7150D" w:rsidP="00C7150D">
      <w:pPr>
        <w:rPr>
          <w:u w:color="E36C0A"/>
          <w:lang w:val="ru-RU"/>
        </w:rPr>
      </w:pPr>
    </w:p>
    <w:p w:rsidR="0080173C" w:rsidRPr="004017E4" w:rsidRDefault="0080173C" w:rsidP="00C7150D">
      <w:pPr>
        <w:rPr>
          <w:u w:color="E36C0A"/>
          <w:lang w:val="ru-RU"/>
        </w:rPr>
      </w:pPr>
    </w:p>
    <w:p w:rsidR="00B824FE" w:rsidRPr="004017E4" w:rsidRDefault="00B824FE" w:rsidP="00B824FE">
      <w:pPr>
        <w:rPr>
          <w:rFonts w:eastAsia="Times New Roman"/>
          <w:lang w:val="ru-RU"/>
        </w:rPr>
      </w:pPr>
    </w:p>
    <w:p w:rsidR="00B824FE" w:rsidRPr="004017E4" w:rsidRDefault="00B824FE" w:rsidP="00B824FE">
      <w:pPr>
        <w:rPr>
          <w:rFonts w:eastAsia="Times New Roman"/>
          <w:lang w:val="ru-RU"/>
        </w:rPr>
      </w:pPr>
    </w:p>
    <w:p w:rsidR="008E64AB" w:rsidRPr="004017E4" w:rsidRDefault="008E64AB">
      <w:pPr>
        <w:spacing w:before="0"/>
        <w:jc w:val="left"/>
        <w:rPr>
          <w:lang w:val="ru-RU"/>
        </w:rPr>
      </w:pPr>
      <w:r w:rsidRPr="004017E4">
        <w:rPr>
          <w:lang w:val="ru-RU"/>
        </w:rPr>
        <w:br w:type="page"/>
      </w:r>
      <w:r w:rsidR="00B70822" w:rsidRPr="00B70822">
        <w:rPr>
          <w:noProof/>
          <w:lang w:val="ru-RU" w:eastAsia="zh-CN"/>
        </w:rPr>
        <w:drawing>
          <wp:anchor distT="0" distB="0" distL="114300" distR="114300" simplePos="0" relativeHeight="251658240" behindDoc="0" locked="0" layoutInCell="1" allowOverlap="1" wp14:anchorId="7B3998AC" wp14:editId="6BA304EA">
            <wp:simplePos x="0" y="0"/>
            <wp:positionH relativeFrom="margin">
              <wp:align>right</wp:align>
            </wp:positionH>
            <wp:positionV relativeFrom="margin">
              <wp:align>bottom</wp:align>
            </wp:positionV>
            <wp:extent cx="723900" cy="819150"/>
            <wp:effectExtent l="0" t="0" r="0" b="0"/>
            <wp:wrapSquare wrapText="bothSides"/>
            <wp:docPr id="14"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5805" cy="818515"/>
                    </a:xfrm>
                    <a:prstGeom prst="rect">
                      <a:avLst/>
                    </a:prstGeom>
                  </pic:spPr>
                </pic:pic>
              </a:graphicData>
            </a:graphic>
          </wp:anchor>
        </w:drawing>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395676" w:rsidRPr="00E57763" w:rsidTr="00C15B34">
        <w:tc>
          <w:tcPr>
            <w:tcW w:w="9072" w:type="dxa"/>
            <w:shd w:val="clear" w:color="auto" w:fill="E8F8FD"/>
          </w:tcPr>
          <w:p w:rsidR="004017E4" w:rsidRPr="004017E4" w:rsidRDefault="004017E4" w:rsidP="004017E4">
            <w:pPr>
              <w:spacing w:after="120"/>
              <w:rPr>
                <w:b/>
                <w:bCs/>
                <w:lang w:val="ru-RU"/>
              </w:rPr>
            </w:pPr>
            <w:r w:rsidRPr="002E3A1A">
              <w:rPr>
                <w:b/>
                <w:bCs/>
                <w:lang w:val="ru-RU"/>
              </w:rPr>
              <w:lastRenderedPageBreak/>
              <w:t>Исследовательские</w:t>
            </w:r>
            <w:r w:rsidRPr="004017E4">
              <w:rPr>
                <w:b/>
                <w:bCs/>
                <w:lang w:val="ru-RU"/>
              </w:rPr>
              <w:t xml:space="preserve"> </w:t>
            </w:r>
            <w:r w:rsidRPr="002E3A1A">
              <w:rPr>
                <w:b/>
                <w:bCs/>
                <w:lang w:val="ru-RU"/>
              </w:rPr>
              <w:t>комиссии</w:t>
            </w:r>
            <w:r w:rsidRPr="004017E4">
              <w:rPr>
                <w:b/>
                <w:bCs/>
                <w:lang w:val="ru-RU"/>
              </w:rPr>
              <w:t xml:space="preserve"> </w:t>
            </w:r>
            <w:r w:rsidRPr="002E3A1A">
              <w:rPr>
                <w:b/>
                <w:bCs/>
                <w:lang w:val="ru-RU"/>
              </w:rPr>
              <w:t>МСЭ</w:t>
            </w:r>
            <w:r w:rsidRPr="004017E4">
              <w:rPr>
                <w:b/>
                <w:bCs/>
                <w:lang w:val="ru-RU"/>
              </w:rPr>
              <w:t>-</w:t>
            </w:r>
            <w:r w:rsidRPr="00845544">
              <w:rPr>
                <w:b/>
                <w:bCs/>
              </w:rPr>
              <w:t>D</w:t>
            </w:r>
          </w:p>
          <w:p w:rsidR="004017E4" w:rsidRPr="00845544" w:rsidRDefault="004017E4" w:rsidP="004017E4">
            <w:pPr>
              <w:spacing w:after="120"/>
              <w:rPr>
                <w:lang w:val="ru-RU"/>
              </w:rPr>
            </w:pPr>
            <w:r w:rsidRPr="00845544">
              <w:rPr>
                <w:lang w:val="ru-RU"/>
              </w:rPr>
              <w:t>Для обеспечения выполнения программы по обмену знаниями и созданию потенциала Бюро развития электросвязи исследовательские комиссии МСЭ-</w:t>
            </w:r>
            <w:r w:rsidRPr="002E3A1A">
              <w:rPr>
                <w:lang w:val="es-ES_tradnl"/>
              </w:rPr>
              <w:t>D</w:t>
            </w:r>
            <w:r w:rsidRPr="00845544">
              <w:rPr>
                <w:lang w:val="ru-RU"/>
              </w:rPr>
              <w:t xml:space="preserve"> оказывают поддержку странам в достижении ими своих целей развития. Выступая в качестве катализатора в создании, применении знаний и обмене знаниями в области ИКТ в целях сокращения масштабов нищеты и обеспечения социально-экономического развития; исследовательские комиссии МСЭ-</w:t>
            </w:r>
            <w:r w:rsidRPr="002E3A1A">
              <w:rPr>
                <w:lang w:val="es-ES_tradnl"/>
              </w:rPr>
              <w:t>D</w:t>
            </w:r>
            <w:r w:rsidRPr="00845544">
              <w:rPr>
                <w:lang w:val="ru-RU"/>
              </w:rPr>
              <w:t xml:space="preserve"> помогают стимулировать создание в Государствах-Членах условий для использования знаний для более эффективного достижения целей развития.</w:t>
            </w:r>
          </w:p>
          <w:p w:rsidR="004017E4" w:rsidRPr="00845544" w:rsidRDefault="004017E4" w:rsidP="004017E4">
            <w:pPr>
              <w:spacing w:after="120"/>
              <w:rPr>
                <w:b/>
                <w:bCs/>
                <w:lang w:val="ru-RU"/>
              </w:rPr>
            </w:pPr>
            <w:r w:rsidRPr="00845544">
              <w:rPr>
                <w:b/>
                <w:bCs/>
                <w:lang w:val="ru-RU"/>
              </w:rPr>
              <w:t>Платформа знаний</w:t>
            </w:r>
          </w:p>
          <w:p w:rsidR="004017E4" w:rsidRPr="00845544" w:rsidRDefault="004017E4" w:rsidP="004017E4">
            <w:pPr>
              <w:spacing w:after="120"/>
              <w:rPr>
                <w:lang w:val="ru-RU"/>
              </w:rPr>
            </w:pPr>
            <w:r w:rsidRPr="00845544">
              <w:rPr>
                <w:lang w:val="ru-RU"/>
              </w:rPr>
              <w:t>Результаты работы, согласованные в исследовательских комиссиях МСЭ-</w:t>
            </w:r>
            <w:r w:rsidRPr="002E3A1A">
              <w:rPr>
                <w:lang w:val="es-ES_tradnl"/>
              </w:rPr>
              <w:t>D</w:t>
            </w:r>
            <w:r w:rsidRPr="00845544">
              <w:rPr>
                <w:lang w:val="ru-RU"/>
              </w:rPr>
              <w:t>, и соответствующие справочные материалы используются в качестве исходных документов при реализации политики, стратегий, проектов и специальных инициатив в 193 Государствах − Членах МСЭ. Эти виды деятельности служат также для укрепления базы совместно используемых знаний Членов МСЭ.</w:t>
            </w:r>
          </w:p>
          <w:p w:rsidR="004017E4" w:rsidRPr="002E3A1A" w:rsidRDefault="004017E4" w:rsidP="004017E4">
            <w:pPr>
              <w:spacing w:after="120"/>
              <w:rPr>
                <w:b/>
                <w:bCs/>
                <w:lang w:val="ru-RU"/>
              </w:rPr>
            </w:pPr>
            <w:r w:rsidRPr="002E3A1A">
              <w:rPr>
                <w:b/>
                <w:bCs/>
                <w:lang w:val="ru-RU"/>
              </w:rPr>
              <w:t>Платформа для обмена информацией и знаниями</w:t>
            </w:r>
          </w:p>
          <w:p w:rsidR="004017E4" w:rsidRPr="00845544" w:rsidRDefault="004017E4" w:rsidP="004017E4">
            <w:pPr>
              <w:spacing w:after="120"/>
              <w:rPr>
                <w:lang w:val="ru-RU"/>
              </w:rPr>
            </w:pPr>
            <w:r w:rsidRPr="00845544">
              <w:rPr>
                <w:lang w:val="ru-RU"/>
              </w:rPr>
              <w:t>Обмен темами, представляющими общий интерес, осуществляется путем участия в очных собраниях, на электронном форуме, а также путем дистанционного участия в атмосфере, благоприятной для открытого обсуждения и обмена информацией.</w:t>
            </w:r>
          </w:p>
          <w:p w:rsidR="004017E4" w:rsidRPr="002E3A1A" w:rsidRDefault="004017E4" w:rsidP="004017E4">
            <w:pPr>
              <w:spacing w:after="120"/>
              <w:rPr>
                <w:b/>
                <w:bCs/>
                <w:lang w:val="ru-RU"/>
              </w:rPr>
            </w:pPr>
            <w:r w:rsidRPr="002E3A1A">
              <w:rPr>
                <w:b/>
                <w:bCs/>
                <w:lang w:val="ru-RU"/>
              </w:rPr>
              <w:t>Хранилище информации</w:t>
            </w:r>
          </w:p>
          <w:p w:rsidR="004017E4" w:rsidRPr="00845544" w:rsidRDefault="004017E4" w:rsidP="004017E4">
            <w:pPr>
              <w:spacing w:after="120"/>
              <w:rPr>
                <w:lang w:val="ru-RU"/>
              </w:rPr>
            </w:pPr>
            <w:r w:rsidRPr="00845544">
              <w:rPr>
                <w:lang w:val="ru-RU"/>
              </w:rPr>
              <w:t>Отчеты, руководящие указания, примеры передового опыта и Рекомендации разработаны на основе вкладов, поступивших для рассмотрения членами комиссий. Информация собрана путем обследований, вкладов и исследований конкретных случаев и доступна для Членов, использующих средства управления информационными ресурсами и веб-публикаций.</w:t>
            </w:r>
          </w:p>
          <w:p w:rsidR="004017E4" w:rsidRPr="007B3C9D" w:rsidRDefault="004017E4" w:rsidP="004017E4">
            <w:pPr>
              <w:spacing w:after="120"/>
              <w:rPr>
                <w:b/>
                <w:lang w:val="ru-RU"/>
              </w:rPr>
            </w:pPr>
            <w:r w:rsidRPr="007B3C9D">
              <w:rPr>
                <w:b/>
                <w:lang w:val="ru-RU"/>
              </w:rPr>
              <w:t>1-я Исследовательская комиссия</w:t>
            </w:r>
          </w:p>
          <w:p w:rsidR="004017E4" w:rsidRPr="007B3C9D" w:rsidRDefault="004017E4" w:rsidP="004017E4">
            <w:pPr>
              <w:spacing w:after="120"/>
              <w:rPr>
                <w:lang w:val="ru-RU"/>
              </w:rPr>
            </w:pPr>
            <w:r w:rsidRPr="007B3C9D">
              <w:rPr>
                <w:lang w:val="ru-RU"/>
              </w:rPr>
              <w:t>В период 2010–2014 годов 1-й Исследовательской комиссии было поручено исследование девяти Вопросов в области благоприятной среды, кибербезопасности, приложений ИКТ и связанных с интернетом вопросов. Основными направлениями работы стали национальные политика и стратегии в области электросвязи/ИКТ, которые позволяют странам извлечь максимальную выгоду из распространения электросвязи/ИКТ как движущей силы устойчивого роста, создания рабочих мест, экономического, социального и культурного развития, с учетом вопросов, имеющих для развивающихся стран приоритетное значение. Направления работы включали проведение политики обеспечения доступа к электросвязи/ИКТ, в частности доступа лиц с ограниченными возможностями и с особыми потребностями, а также обеспечение безопасности сетей электросвязи/ИКТ. Кроме того, работа была сосредоточена на тарифной политике и тарифных моделях для сетей последующих поколений, вопросах конвергенции, универсальном доступе к услугам широкополосной фиксированной и подвижной связи, анализе воздействия и применении принципов определения стоимости и расчетов с учетом результатов исследований, проводимых МСЭ-R и МСЭ-Т, и приоритетов развивающихся стран.</w:t>
            </w:r>
          </w:p>
          <w:p w:rsidR="00395676" w:rsidRPr="004017E4" w:rsidRDefault="004017E4" w:rsidP="004017E4">
            <w:pPr>
              <w:rPr>
                <w:bCs/>
                <w:lang w:val="ru-RU"/>
              </w:rPr>
            </w:pPr>
            <w:r w:rsidRPr="004017E4">
              <w:rPr>
                <w:bCs/>
                <w:lang w:val="ru-RU"/>
              </w:rPr>
              <w:t>Настоящий отчет подготовлен многочисленными добровольцами из различных администраций и организаций. Упоминание конкретных компаний или видов продукции не является одобрением или рекомендацией МСЭ. Выраженные мнения принадлежат авторам и ни в коей мере не влекут обязательств со стороны МСЭ.</w:t>
            </w:r>
          </w:p>
        </w:tc>
      </w:tr>
    </w:tbl>
    <w:p w:rsidR="00750EB0" w:rsidRPr="004017E4" w:rsidRDefault="00750EB0" w:rsidP="00750EB0">
      <w:pPr>
        <w:rPr>
          <w:lang w:val="ru-RU"/>
        </w:rPr>
      </w:pPr>
      <w:bookmarkStart w:id="6" w:name="_Toc290027810"/>
      <w:bookmarkStart w:id="7" w:name="_Toc290373307"/>
    </w:p>
    <w:p w:rsidR="00536D47" w:rsidRPr="004017E4" w:rsidRDefault="00536D47" w:rsidP="00536D47">
      <w:pPr>
        <w:spacing w:before="360"/>
        <w:ind w:left="1060" w:right="848"/>
        <w:jc w:val="center"/>
        <w:rPr>
          <w:rFonts w:asciiTheme="minorHAnsi" w:eastAsia="Times New Roman" w:hAnsiTheme="minorHAnsi"/>
          <w:lang w:val="ru-RU"/>
        </w:rPr>
      </w:pPr>
      <w:r w:rsidRPr="00BE4F77">
        <w:rPr>
          <w:rFonts w:ascii="Symbol" w:eastAsia="Times New Roman" w:hAnsi="Symbol"/>
        </w:rPr>
        <w:t></w:t>
      </w:r>
      <w:r w:rsidRPr="004017E4">
        <w:rPr>
          <w:rFonts w:eastAsia="Times New Roman"/>
          <w:lang w:val="ru-RU"/>
        </w:rPr>
        <w:t xml:space="preserve"> </w:t>
      </w:r>
      <w:r w:rsidRPr="00A86D63">
        <w:rPr>
          <w:rFonts w:asciiTheme="minorHAnsi" w:eastAsia="Times New Roman" w:hAnsiTheme="minorHAnsi"/>
          <w:lang w:val="en-US"/>
        </w:rPr>
        <w:t>ITU</w:t>
      </w:r>
      <w:r w:rsidRPr="004017E4">
        <w:rPr>
          <w:rFonts w:asciiTheme="minorHAnsi" w:eastAsia="Times New Roman" w:hAnsiTheme="minorHAnsi"/>
          <w:lang w:val="ru-RU"/>
        </w:rPr>
        <w:t xml:space="preserve"> 2014</w:t>
      </w:r>
    </w:p>
    <w:p w:rsidR="009A3F93" w:rsidRPr="004017E4" w:rsidRDefault="004017E4" w:rsidP="004017E4">
      <w:pPr>
        <w:rPr>
          <w:lang w:val="ru-RU"/>
        </w:rPr>
      </w:pPr>
      <w:r w:rsidRPr="004017E4">
        <w:rPr>
          <w:rFonts w:eastAsia="Times New Roman"/>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4D77DC" w:rsidRPr="004017E4" w:rsidRDefault="004D77DC" w:rsidP="00D240F2">
      <w:pPr>
        <w:pStyle w:val="Chapttitle"/>
        <w:rPr>
          <w:lang w:val="ru-RU"/>
        </w:rPr>
        <w:sectPr w:rsidR="004D77DC" w:rsidRPr="004017E4" w:rsidSect="00637721">
          <w:headerReference w:type="even" r:id="rId10"/>
          <w:headerReference w:type="default" r:id="rId11"/>
          <w:footerReference w:type="even" r:id="rId12"/>
          <w:footerReference w:type="default" r:id="rId13"/>
          <w:footerReference w:type="first" r:id="rId14"/>
          <w:endnotePr>
            <w:numFmt w:val="decimal"/>
          </w:endnotePr>
          <w:type w:val="continuous"/>
          <w:pgSz w:w="11907" w:h="16840" w:code="9"/>
          <w:pgMar w:top="1418" w:right="1418" w:bottom="1418" w:left="1418" w:header="709" w:footer="709" w:gutter="0"/>
          <w:cols w:space="708"/>
          <w:docGrid w:linePitch="360"/>
        </w:sectPr>
      </w:pPr>
      <w:bookmarkStart w:id="8" w:name="_Toc303604614"/>
      <w:bookmarkStart w:id="9" w:name="_Toc303690911"/>
      <w:bookmarkStart w:id="10" w:name="_Toc305405834"/>
      <w:bookmarkStart w:id="11" w:name="_Toc309303085"/>
      <w:bookmarkStart w:id="12" w:name="_Toc320695027"/>
      <w:bookmarkStart w:id="13" w:name="_Toc320695350"/>
      <w:bookmarkStart w:id="14" w:name="_Toc360171157"/>
      <w:bookmarkStart w:id="15" w:name="_Toc374691809"/>
      <w:bookmarkStart w:id="16" w:name="_Toc310148800"/>
      <w:bookmarkStart w:id="17" w:name="_Toc316562496"/>
      <w:bookmarkStart w:id="18" w:name="_Toc299639153"/>
      <w:bookmarkEnd w:id="6"/>
      <w:bookmarkEnd w:id="7"/>
    </w:p>
    <w:p w:rsidR="00D240F2" w:rsidRPr="00634F41" w:rsidRDefault="004017E4" w:rsidP="004017E4">
      <w:pPr>
        <w:pStyle w:val="Chapttitle"/>
        <w:rPr>
          <w:lang w:val="en-GB"/>
        </w:rPr>
      </w:pPr>
      <w:bookmarkStart w:id="19" w:name="_Toc377482087"/>
      <w:r>
        <w:rPr>
          <w:lang w:val="ru-RU"/>
        </w:rPr>
        <w:lastRenderedPageBreak/>
        <w:t>Содержание</w:t>
      </w:r>
      <w:bookmarkEnd w:id="8"/>
      <w:bookmarkEnd w:id="9"/>
      <w:bookmarkEnd w:id="10"/>
      <w:bookmarkEnd w:id="11"/>
      <w:bookmarkEnd w:id="12"/>
      <w:bookmarkEnd w:id="13"/>
      <w:bookmarkEnd w:id="14"/>
      <w:bookmarkEnd w:id="15"/>
      <w:bookmarkEnd w:id="19"/>
    </w:p>
    <w:p w:rsidR="00D240F2" w:rsidRPr="004017E4" w:rsidRDefault="00D240F2" w:rsidP="004017E4">
      <w:pPr>
        <w:pStyle w:val="Toc0"/>
        <w:tabs>
          <w:tab w:val="clear" w:pos="9071"/>
          <w:tab w:val="right" w:pos="9214"/>
        </w:tabs>
        <w:rPr>
          <w:rFonts w:asciiTheme="minorHAnsi" w:hAnsiTheme="minorHAnsi" w:cstheme="minorBidi"/>
          <w:color w:val="005173"/>
          <w:lang w:val="ru-RU" w:eastAsia="zh-CN"/>
        </w:rPr>
      </w:pPr>
      <w:r w:rsidRPr="00DD6562">
        <w:rPr>
          <w:lang w:val="en-GB"/>
        </w:rPr>
        <w:tab/>
      </w:r>
      <w:r w:rsidR="004017E4">
        <w:rPr>
          <w:color w:val="005173"/>
          <w:lang w:val="ru-RU"/>
        </w:rPr>
        <w:t>Стр.</w:t>
      </w:r>
    </w:p>
    <w:p w:rsidR="0044642E" w:rsidRDefault="00D240F2" w:rsidP="00D3476D">
      <w:pPr>
        <w:pStyle w:val="TOC1"/>
        <w:tabs>
          <w:tab w:val="clear" w:pos="9071"/>
          <w:tab w:val="right" w:pos="9072"/>
        </w:tabs>
        <w:spacing w:before="160"/>
        <w:rPr>
          <w:rFonts w:asciiTheme="minorHAnsi" w:eastAsiaTheme="minorEastAsia" w:hAnsiTheme="minorHAnsi" w:cstheme="minorBidi"/>
          <w:b w:val="0"/>
          <w:bCs w:val="0"/>
          <w:sz w:val="22"/>
          <w:szCs w:val="22"/>
          <w:lang w:val="ru-RU" w:eastAsia="zh-CN"/>
        </w:rPr>
      </w:pPr>
      <w:r>
        <w:rPr>
          <w:lang w:val="en-GB" w:eastAsia="zh-CN"/>
        </w:rPr>
        <w:fldChar w:fldCharType="begin"/>
      </w:r>
      <w:r>
        <w:rPr>
          <w:lang w:val="en-GB" w:eastAsia="zh-CN"/>
        </w:rPr>
        <w:instrText xml:space="preserve"> TOC \o "1-3" \h \z \u </w:instrText>
      </w:r>
      <w:r>
        <w:rPr>
          <w:lang w:val="en-GB" w:eastAsia="zh-CN"/>
        </w:rPr>
        <w:fldChar w:fldCharType="separate"/>
      </w:r>
      <w:hyperlink w:anchor="_Toc377482089" w:history="1">
        <w:r w:rsidR="0044642E" w:rsidRPr="004D0D10">
          <w:rPr>
            <w:rStyle w:val="Hyperlink"/>
            <w:lang w:val="ru-RU"/>
          </w:rPr>
          <w:t>1</w:t>
        </w:r>
        <w:r w:rsidR="0044642E">
          <w:rPr>
            <w:rFonts w:asciiTheme="minorHAnsi" w:eastAsiaTheme="minorEastAsia" w:hAnsiTheme="minorHAnsi" w:cstheme="minorBidi"/>
            <w:b w:val="0"/>
            <w:bCs w:val="0"/>
            <w:sz w:val="22"/>
            <w:szCs w:val="22"/>
            <w:lang w:val="ru-RU" w:eastAsia="zh-CN"/>
          </w:rPr>
          <w:tab/>
        </w:r>
        <w:r w:rsidR="0044642E" w:rsidRPr="004D0D10">
          <w:rPr>
            <w:rStyle w:val="Hyperlink"/>
            <w:lang w:val="ru-RU"/>
          </w:rPr>
          <w:t>Базовая информация</w:t>
        </w:r>
        <w:r w:rsidR="0044642E">
          <w:rPr>
            <w:webHidden/>
          </w:rPr>
          <w:tab/>
        </w:r>
        <w:r w:rsidR="0044642E">
          <w:rPr>
            <w:webHidden/>
            <w:lang w:val="ru-RU"/>
          </w:rPr>
          <w:tab/>
        </w:r>
        <w:r w:rsidR="0044642E">
          <w:rPr>
            <w:webHidden/>
          </w:rPr>
          <w:fldChar w:fldCharType="begin"/>
        </w:r>
        <w:r w:rsidR="0044642E">
          <w:rPr>
            <w:webHidden/>
          </w:rPr>
          <w:instrText xml:space="preserve"> PAGEREF _Toc377482089 \h </w:instrText>
        </w:r>
        <w:r w:rsidR="0044642E">
          <w:rPr>
            <w:webHidden/>
          </w:rPr>
        </w:r>
        <w:r w:rsidR="0044642E">
          <w:rPr>
            <w:webHidden/>
          </w:rPr>
          <w:fldChar w:fldCharType="separate"/>
        </w:r>
        <w:r w:rsidR="00FE5200">
          <w:rPr>
            <w:webHidden/>
          </w:rPr>
          <w:t>5</w:t>
        </w:r>
        <w:r w:rsidR="0044642E">
          <w:rPr>
            <w:webHidden/>
          </w:rPr>
          <w:fldChar w:fldCharType="end"/>
        </w:r>
      </w:hyperlink>
    </w:p>
    <w:p w:rsidR="0044642E" w:rsidRDefault="00E57763" w:rsidP="00D3476D">
      <w:pPr>
        <w:pStyle w:val="TOC1"/>
        <w:tabs>
          <w:tab w:val="clear" w:pos="9071"/>
          <w:tab w:val="right" w:pos="9072"/>
        </w:tabs>
        <w:spacing w:before="160"/>
        <w:rPr>
          <w:rFonts w:asciiTheme="minorHAnsi" w:eastAsiaTheme="minorEastAsia" w:hAnsiTheme="minorHAnsi" w:cstheme="minorBidi"/>
          <w:b w:val="0"/>
          <w:bCs w:val="0"/>
          <w:sz w:val="22"/>
          <w:szCs w:val="22"/>
          <w:lang w:val="ru-RU" w:eastAsia="zh-CN"/>
        </w:rPr>
      </w:pPr>
      <w:hyperlink w:anchor="_Toc377482090" w:history="1">
        <w:r w:rsidR="0044642E" w:rsidRPr="004D0D10">
          <w:rPr>
            <w:rStyle w:val="Hyperlink"/>
            <w:lang w:val="ru-RU"/>
          </w:rPr>
          <w:t>2</w:t>
        </w:r>
        <w:r w:rsidR="0044642E">
          <w:rPr>
            <w:rFonts w:asciiTheme="minorHAnsi" w:eastAsiaTheme="minorEastAsia" w:hAnsiTheme="minorHAnsi" w:cstheme="minorBidi"/>
            <w:b w:val="0"/>
            <w:bCs w:val="0"/>
            <w:sz w:val="22"/>
            <w:szCs w:val="22"/>
            <w:lang w:val="ru-RU" w:eastAsia="zh-CN"/>
          </w:rPr>
          <w:tab/>
        </w:r>
        <w:r w:rsidR="0044642E" w:rsidRPr="004D0D10">
          <w:rPr>
            <w:rStyle w:val="Hyperlink"/>
            <w:lang w:val="ru-RU"/>
          </w:rPr>
          <w:t>Сфера охвата и цели настоящего Отчета</w:t>
        </w:r>
        <w:r w:rsidR="0044642E">
          <w:rPr>
            <w:webHidden/>
          </w:rPr>
          <w:tab/>
        </w:r>
        <w:r w:rsidR="0044642E">
          <w:rPr>
            <w:webHidden/>
            <w:lang w:val="ru-RU"/>
          </w:rPr>
          <w:tab/>
        </w:r>
        <w:r w:rsidR="0044642E">
          <w:rPr>
            <w:webHidden/>
          </w:rPr>
          <w:fldChar w:fldCharType="begin"/>
        </w:r>
        <w:r w:rsidR="0044642E">
          <w:rPr>
            <w:webHidden/>
          </w:rPr>
          <w:instrText xml:space="preserve"> PAGEREF _Toc377482090 \h </w:instrText>
        </w:r>
        <w:r w:rsidR="0044642E">
          <w:rPr>
            <w:webHidden/>
          </w:rPr>
        </w:r>
        <w:r w:rsidR="0044642E">
          <w:rPr>
            <w:webHidden/>
          </w:rPr>
          <w:fldChar w:fldCharType="separate"/>
        </w:r>
        <w:r w:rsidR="00FE5200">
          <w:rPr>
            <w:webHidden/>
          </w:rPr>
          <w:t>6</w:t>
        </w:r>
        <w:r w:rsidR="0044642E">
          <w:rPr>
            <w:webHidden/>
          </w:rPr>
          <w:fldChar w:fldCharType="end"/>
        </w:r>
      </w:hyperlink>
    </w:p>
    <w:p w:rsidR="0044642E" w:rsidRDefault="00E57763" w:rsidP="00D3476D">
      <w:pPr>
        <w:pStyle w:val="TOC1"/>
        <w:tabs>
          <w:tab w:val="clear" w:pos="9071"/>
          <w:tab w:val="right" w:pos="9072"/>
        </w:tabs>
        <w:spacing w:before="160"/>
        <w:rPr>
          <w:rFonts w:asciiTheme="minorHAnsi" w:eastAsiaTheme="minorEastAsia" w:hAnsiTheme="minorHAnsi" w:cstheme="minorBidi"/>
          <w:b w:val="0"/>
          <w:bCs w:val="0"/>
          <w:sz w:val="22"/>
          <w:szCs w:val="22"/>
          <w:lang w:val="ru-RU" w:eastAsia="zh-CN"/>
        </w:rPr>
      </w:pPr>
      <w:hyperlink w:anchor="_Toc377482091" w:history="1">
        <w:r w:rsidR="0044642E" w:rsidRPr="004D0D10">
          <w:rPr>
            <w:rStyle w:val="Hyperlink"/>
            <w:lang w:val="ru-RU"/>
          </w:rPr>
          <w:t>3</w:t>
        </w:r>
        <w:r w:rsidR="0044642E">
          <w:rPr>
            <w:rFonts w:asciiTheme="minorHAnsi" w:eastAsiaTheme="minorEastAsia" w:hAnsiTheme="minorHAnsi" w:cstheme="minorBidi"/>
            <w:b w:val="0"/>
            <w:bCs w:val="0"/>
            <w:sz w:val="22"/>
            <w:szCs w:val="22"/>
            <w:lang w:val="ru-RU" w:eastAsia="zh-CN"/>
          </w:rPr>
          <w:tab/>
        </w:r>
        <w:r w:rsidR="0044642E" w:rsidRPr="004D0D10">
          <w:rPr>
            <w:rStyle w:val="Hyperlink"/>
            <w:lang w:val="ru-RU"/>
          </w:rPr>
          <w:t>Сотрудничество с другими Секторами и организациями</w:t>
        </w:r>
        <w:r w:rsidR="0044642E">
          <w:rPr>
            <w:webHidden/>
          </w:rPr>
          <w:tab/>
        </w:r>
        <w:r w:rsidR="0044642E">
          <w:rPr>
            <w:webHidden/>
            <w:lang w:val="ru-RU"/>
          </w:rPr>
          <w:tab/>
        </w:r>
        <w:r w:rsidR="0044642E">
          <w:rPr>
            <w:webHidden/>
          </w:rPr>
          <w:fldChar w:fldCharType="begin"/>
        </w:r>
        <w:r w:rsidR="0044642E">
          <w:rPr>
            <w:webHidden/>
          </w:rPr>
          <w:instrText xml:space="preserve"> PAGEREF _Toc377482091 \h </w:instrText>
        </w:r>
        <w:r w:rsidR="0044642E">
          <w:rPr>
            <w:webHidden/>
          </w:rPr>
        </w:r>
        <w:r w:rsidR="0044642E">
          <w:rPr>
            <w:webHidden/>
          </w:rPr>
          <w:fldChar w:fldCharType="separate"/>
        </w:r>
        <w:r w:rsidR="00FE5200">
          <w:rPr>
            <w:webHidden/>
          </w:rPr>
          <w:t>7</w:t>
        </w:r>
        <w:r w:rsidR="0044642E">
          <w:rPr>
            <w:webHidden/>
          </w:rPr>
          <w:fldChar w:fldCharType="end"/>
        </w:r>
      </w:hyperlink>
    </w:p>
    <w:p w:rsidR="0044642E" w:rsidRDefault="00E57763" w:rsidP="00D3476D">
      <w:pPr>
        <w:pStyle w:val="TOC1"/>
        <w:tabs>
          <w:tab w:val="clear" w:pos="9071"/>
          <w:tab w:val="right" w:pos="9072"/>
        </w:tabs>
        <w:spacing w:before="160"/>
        <w:rPr>
          <w:rFonts w:asciiTheme="minorHAnsi" w:eastAsiaTheme="minorEastAsia" w:hAnsiTheme="minorHAnsi" w:cstheme="minorBidi"/>
          <w:b w:val="0"/>
          <w:bCs w:val="0"/>
          <w:sz w:val="22"/>
          <w:szCs w:val="22"/>
          <w:lang w:val="ru-RU" w:eastAsia="zh-CN"/>
        </w:rPr>
      </w:pPr>
      <w:hyperlink w:anchor="_Toc377482092" w:history="1">
        <w:r w:rsidR="0044642E" w:rsidRPr="004D0D10">
          <w:rPr>
            <w:rStyle w:val="Hyperlink"/>
            <w:lang w:val="ru-RU"/>
          </w:rPr>
          <w:t>4</w:t>
        </w:r>
        <w:r w:rsidR="0044642E">
          <w:rPr>
            <w:rFonts w:asciiTheme="minorHAnsi" w:eastAsiaTheme="minorEastAsia" w:hAnsiTheme="minorHAnsi" w:cstheme="minorBidi"/>
            <w:b w:val="0"/>
            <w:bCs w:val="0"/>
            <w:sz w:val="22"/>
            <w:szCs w:val="22"/>
            <w:lang w:val="ru-RU" w:eastAsia="zh-CN"/>
          </w:rPr>
          <w:tab/>
        </w:r>
        <w:r w:rsidR="0044642E" w:rsidRPr="004D0D10">
          <w:rPr>
            <w:rStyle w:val="Hyperlink"/>
            <w:lang w:val="ru-RU"/>
          </w:rPr>
          <w:t>Принцип предосторожности применительно к воздействию ЭМП на человека</w:t>
        </w:r>
        <w:r w:rsidR="0044642E">
          <w:rPr>
            <w:webHidden/>
          </w:rPr>
          <w:tab/>
        </w:r>
        <w:r w:rsidR="0044642E">
          <w:rPr>
            <w:webHidden/>
            <w:lang w:val="ru-RU"/>
          </w:rPr>
          <w:tab/>
        </w:r>
        <w:r w:rsidR="0044642E">
          <w:rPr>
            <w:webHidden/>
          </w:rPr>
          <w:fldChar w:fldCharType="begin"/>
        </w:r>
        <w:r w:rsidR="0044642E">
          <w:rPr>
            <w:webHidden/>
          </w:rPr>
          <w:instrText xml:space="preserve"> PAGEREF _Toc377482092 \h </w:instrText>
        </w:r>
        <w:r w:rsidR="0044642E">
          <w:rPr>
            <w:webHidden/>
          </w:rPr>
        </w:r>
        <w:r w:rsidR="0044642E">
          <w:rPr>
            <w:webHidden/>
          </w:rPr>
          <w:fldChar w:fldCharType="separate"/>
        </w:r>
        <w:r w:rsidR="00FE5200">
          <w:rPr>
            <w:webHidden/>
          </w:rPr>
          <w:t>8</w:t>
        </w:r>
        <w:r w:rsidR="0044642E">
          <w:rPr>
            <w:webHidden/>
          </w:rPr>
          <w:fldChar w:fldCharType="end"/>
        </w:r>
      </w:hyperlink>
    </w:p>
    <w:p w:rsidR="0044642E" w:rsidRDefault="00E57763" w:rsidP="00D3476D">
      <w:pPr>
        <w:pStyle w:val="TOC1"/>
        <w:tabs>
          <w:tab w:val="clear" w:pos="9071"/>
          <w:tab w:val="right" w:pos="9072"/>
        </w:tabs>
        <w:spacing w:before="160"/>
        <w:rPr>
          <w:rFonts w:asciiTheme="minorHAnsi" w:eastAsiaTheme="minorEastAsia" w:hAnsiTheme="minorHAnsi" w:cstheme="minorBidi"/>
          <w:b w:val="0"/>
          <w:bCs w:val="0"/>
          <w:sz w:val="22"/>
          <w:szCs w:val="22"/>
          <w:lang w:val="ru-RU" w:eastAsia="zh-CN"/>
        </w:rPr>
      </w:pPr>
      <w:hyperlink w:anchor="_Toc377482093" w:history="1">
        <w:r w:rsidR="0044642E" w:rsidRPr="004D0D10">
          <w:rPr>
            <w:rStyle w:val="Hyperlink"/>
            <w:lang w:val="ru-RU"/>
          </w:rPr>
          <w:t>5</w:t>
        </w:r>
        <w:r w:rsidR="0044642E">
          <w:rPr>
            <w:rFonts w:asciiTheme="minorHAnsi" w:eastAsiaTheme="minorEastAsia" w:hAnsiTheme="minorHAnsi" w:cstheme="minorBidi"/>
            <w:b w:val="0"/>
            <w:bCs w:val="0"/>
            <w:sz w:val="22"/>
            <w:szCs w:val="22"/>
            <w:lang w:val="ru-RU" w:eastAsia="zh-CN"/>
          </w:rPr>
          <w:tab/>
        </w:r>
        <w:r w:rsidR="0044642E" w:rsidRPr="004D0D10">
          <w:rPr>
            <w:rStyle w:val="Hyperlink"/>
            <w:lang w:val="ru-RU"/>
          </w:rPr>
          <w:t>Анализ регуляторной политики в некоторых странах</w:t>
        </w:r>
        <w:r w:rsidR="0044642E">
          <w:rPr>
            <w:webHidden/>
          </w:rPr>
          <w:tab/>
        </w:r>
        <w:r w:rsidR="0044642E">
          <w:rPr>
            <w:webHidden/>
            <w:lang w:val="ru-RU"/>
          </w:rPr>
          <w:tab/>
        </w:r>
        <w:r w:rsidR="0044642E">
          <w:rPr>
            <w:webHidden/>
          </w:rPr>
          <w:fldChar w:fldCharType="begin"/>
        </w:r>
        <w:r w:rsidR="0044642E">
          <w:rPr>
            <w:webHidden/>
          </w:rPr>
          <w:instrText xml:space="preserve"> PAGEREF _Toc377482093 \h </w:instrText>
        </w:r>
        <w:r w:rsidR="0044642E">
          <w:rPr>
            <w:webHidden/>
          </w:rPr>
        </w:r>
        <w:r w:rsidR="0044642E">
          <w:rPr>
            <w:webHidden/>
          </w:rPr>
          <w:fldChar w:fldCharType="separate"/>
        </w:r>
        <w:r w:rsidR="00FE5200">
          <w:rPr>
            <w:webHidden/>
          </w:rPr>
          <w:t>11</w:t>
        </w:r>
        <w:r w:rsidR="0044642E">
          <w:rPr>
            <w:webHidden/>
          </w:rPr>
          <w:fldChar w:fldCharType="end"/>
        </w:r>
      </w:hyperlink>
    </w:p>
    <w:p w:rsidR="0044642E" w:rsidRDefault="00E57763" w:rsidP="00D3476D">
      <w:pPr>
        <w:pStyle w:val="TOC2"/>
        <w:tabs>
          <w:tab w:val="clear" w:pos="9071"/>
          <w:tab w:val="right" w:pos="9072"/>
        </w:tabs>
        <w:spacing w:before="160"/>
        <w:rPr>
          <w:rFonts w:asciiTheme="minorHAnsi" w:hAnsiTheme="minorHAnsi" w:cstheme="minorBidi"/>
          <w:bCs w:val="0"/>
          <w:sz w:val="22"/>
          <w:szCs w:val="22"/>
          <w:lang w:val="ru-RU" w:eastAsia="zh-CN"/>
        </w:rPr>
      </w:pPr>
      <w:hyperlink w:anchor="_Toc377482094" w:history="1">
        <w:r w:rsidR="0044642E" w:rsidRPr="004D0D10">
          <w:rPr>
            <w:rStyle w:val="Hyperlink"/>
            <w:lang w:val="ru-RU"/>
          </w:rPr>
          <w:t>5.1</w:t>
        </w:r>
        <w:r w:rsidR="0044642E">
          <w:rPr>
            <w:rFonts w:asciiTheme="minorHAnsi" w:hAnsiTheme="minorHAnsi" w:cstheme="minorBidi"/>
            <w:bCs w:val="0"/>
            <w:sz w:val="22"/>
            <w:szCs w:val="22"/>
            <w:lang w:val="ru-RU" w:eastAsia="zh-CN"/>
          </w:rPr>
          <w:tab/>
        </w:r>
        <w:r w:rsidR="0044642E" w:rsidRPr="004D0D10">
          <w:rPr>
            <w:rStyle w:val="Hyperlink"/>
            <w:lang w:val="ru-RU"/>
          </w:rPr>
          <w:t>Кот-д'Ивуар</w:t>
        </w:r>
        <w:r w:rsidR="0044642E">
          <w:rPr>
            <w:webHidden/>
          </w:rPr>
          <w:tab/>
        </w:r>
        <w:r w:rsidR="0044642E">
          <w:rPr>
            <w:webHidden/>
            <w:lang w:val="ru-RU"/>
          </w:rPr>
          <w:tab/>
        </w:r>
        <w:r w:rsidR="0044642E">
          <w:rPr>
            <w:webHidden/>
          </w:rPr>
          <w:fldChar w:fldCharType="begin"/>
        </w:r>
        <w:r w:rsidR="0044642E">
          <w:rPr>
            <w:webHidden/>
          </w:rPr>
          <w:instrText xml:space="preserve"> PAGEREF _Toc377482094 \h </w:instrText>
        </w:r>
        <w:r w:rsidR="0044642E">
          <w:rPr>
            <w:webHidden/>
          </w:rPr>
        </w:r>
        <w:r w:rsidR="0044642E">
          <w:rPr>
            <w:webHidden/>
          </w:rPr>
          <w:fldChar w:fldCharType="separate"/>
        </w:r>
        <w:r w:rsidR="00FE5200">
          <w:rPr>
            <w:webHidden/>
          </w:rPr>
          <w:t>11</w:t>
        </w:r>
        <w:r w:rsidR="0044642E">
          <w:rPr>
            <w:webHidden/>
          </w:rPr>
          <w:fldChar w:fldCharType="end"/>
        </w:r>
      </w:hyperlink>
    </w:p>
    <w:p w:rsidR="0044642E" w:rsidRDefault="00E57763" w:rsidP="00D3476D">
      <w:pPr>
        <w:pStyle w:val="TOC2"/>
        <w:tabs>
          <w:tab w:val="clear" w:pos="9071"/>
          <w:tab w:val="right" w:pos="9072"/>
        </w:tabs>
        <w:spacing w:before="160"/>
        <w:rPr>
          <w:rFonts w:asciiTheme="minorHAnsi" w:hAnsiTheme="minorHAnsi" w:cstheme="minorBidi"/>
          <w:bCs w:val="0"/>
          <w:sz w:val="22"/>
          <w:szCs w:val="22"/>
          <w:lang w:val="ru-RU" w:eastAsia="zh-CN"/>
        </w:rPr>
      </w:pPr>
      <w:hyperlink w:anchor="_Toc377482096" w:history="1">
        <w:r w:rsidR="0044642E" w:rsidRPr="004D0D10">
          <w:rPr>
            <w:rStyle w:val="Hyperlink"/>
            <w:lang w:val="ru-RU"/>
          </w:rPr>
          <w:t>5.2</w:t>
        </w:r>
        <w:r w:rsidR="0044642E">
          <w:rPr>
            <w:rFonts w:asciiTheme="minorHAnsi" w:hAnsiTheme="minorHAnsi" w:cstheme="minorBidi"/>
            <w:bCs w:val="0"/>
            <w:sz w:val="22"/>
            <w:szCs w:val="22"/>
            <w:lang w:val="ru-RU" w:eastAsia="zh-CN"/>
          </w:rPr>
          <w:tab/>
        </w:r>
        <w:r w:rsidR="0044642E" w:rsidRPr="004D0D10">
          <w:rPr>
            <w:rStyle w:val="Hyperlink"/>
            <w:lang w:val="ru-RU"/>
          </w:rPr>
          <w:t>Бразилия</w:t>
        </w:r>
        <w:r w:rsidR="0044642E">
          <w:rPr>
            <w:webHidden/>
          </w:rPr>
          <w:tab/>
        </w:r>
        <w:r w:rsidR="0044642E">
          <w:rPr>
            <w:webHidden/>
            <w:lang w:val="ru-RU"/>
          </w:rPr>
          <w:tab/>
        </w:r>
        <w:r w:rsidR="0044642E">
          <w:rPr>
            <w:webHidden/>
          </w:rPr>
          <w:fldChar w:fldCharType="begin"/>
        </w:r>
        <w:r w:rsidR="0044642E">
          <w:rPr>
            <w:webHidden/>
          </w:rPr>
          <w:instrText xml:space="preserve"> PAGEREF _Toc377482096 \h </w:instrText>
        </w:r>
        <w:r w:rsidR="0044642E">
          <w:rPr>
            <w:webHidden/>
          </w:rPr>
        </w:r>
        <w:r w:rsidR="0044642E">
          <w:rPr>
            <w:webHidden/>
          </w:rPr>
          <w:fldChar w:fldCharType="separate"/>
        </w:r>
        <w:r w:rsidR="00FE5200">
          <w:rPr>
            <w:webHidden/>
          </w:rPr>
          <w:t>11</w:t>
        </w:r>
        <w:r w:rsidR="0044642E">
          <w:rPr>
            <w:webHidden/>
          </w:rPr>
          <w:fldChar w:fldCharType="end"/>
        </w:r>
      </w:hyperlink>
    </w:p>
    <w:p w:rsidR="0044642E" w:rsidRDefault="00E57763" w:rsidP="00D3476D">
      <w:pPr>
        <w:pStyle w:val="TOC2"/>
        <w:tabs>
          <w:tab w:val="clear" w:pos="9071"/>
          <w:tab w:val="right" w:pos="9072"/>
        </w:tabs>
        <w:spacing w:before="160"/>
        <w:rPr>
          <w:rFonts w:asciiTheme="minorHAnsi" w:hAnsiTheme="minorHAnsi" w:cstheme="minorBidi"/>
          <w:bCs w:val="0"/>
          <w:sz w:val="22"/>
          <w:szCs w:val="22"/>
          <w:lang w:val="ru-RU" w:eastAsia="zh-CN"/>
        </w:rPr>
      </w:pPr>
      <w:hyperlink w:anchor="_Toc377482098" w:history="1">
        <w:r w:rsidR="0044642E" w:rsidRPr="004D0D10">
          <w:rPr>
            <w:rStyle w:val="Hyperlink"/>
            <w:lang w:val="ru-RU"/>
          </w:rPr>
          <w:t>5.3</w:t>
        </w:r>
        <w:r w:rsidR="0044642E">
          <w:rPr>
            <w:rFonts w:asciiTheme="minorHAnsi" w:hAnsiTheme="minorHAnsi" w:cstheme="minorBidi"/>
            <w:bCs w:val="0"/>
            <w:sz w:val="22"/>
            <w:szCs w:val="22"/>
            <w:lang w:val="ru-RU" w:eastAsia="zh-CN"/>
          </w:rPr>
          <w:tab/>
        </w:r>
        <w:r w:rsidR="0044642E" w:rsidRPr="004D0D10">
          <w:rPr>
            <w:rStyle w:val="Hyperlink"/>
            <w:lang w:val="ru-RU"/>
          </w:rPr>
          <w:t>Республика Корея</w:t>
        </w:r>
        <w:r w:rsidR="0044642E">
          <w:rPr>
            <w:webHidden/>
          </w:rPr>
          <w:tab/>
        </w:r>
        <w:r w:rsidR="0044642E">
          <w:rPr>
            <w:webHidden/>
            <w:lang w:val="ru-RU"/>
          </w:rPr>
          <w:tab/>
        </w:r>
        <w:r w:rsidR="0044642E">
          <w:rPr>
            <w:webHidden/>
          </w:rPr>
          <w:fldChar w:fldCharType="begin"/>
        </w:r>
        <w:r w:rsidR="0044642E">
          <w:rPr>
            <w:webHidden/>
          </w:rPr>
          <w:instrText xml:space="preserve"> PAGEREF _Toc377482098 \h </w:instrText>
        </w:r>
        <w:r w:rsidR="0044642E">
          <w:rPr>
            <w:webHidden/>
          </w:rPr>
        </w:r>
        <w:r w:rsidR="0044642E">
          <w:rPr>
            <w:webHidden/>
          </w:rPr>
          <w:fldChar w:fldCharType="separate"/>
        </w:r>
        <w:r w:rsidR="00FE5200">
          <w:rPr>
            <w:webHidden/>
          </w:rPr>
          <w:t>12</w:t>
        </w:r>
        <w:r w:rsidR="0044642E">
          <w:rPr>
            <w:webHidden/>
          </w:rPr>
          <w:fldChar w:fldCharType="end"/>
        </w:r>
      </w:hyperlink>
    </w:p>
    <w:p w:rsidR="0044642E" w:rsidRDefault="00E57763" w:rsidP="00D3476D">
      <w:pPr>
        <w:pStyle w:val="TOC2"/>
        <w:tabs>
          <w:tab w:val="clear" w:pos="9071"/>
          <w:tab w:val="right" w:pos="9072"/>
        </w:tabs>
        <w:spacing w:before="160"/>
        <w:rPr>
          <w:rFonts w:asciiTheme="minorHAnsi" w:hAnsiTheme="minorHAnsi" w:cstheme="minorBidi"/>
          <w:bCs w:val="0"/>
          <w:sz w:val="22"/>
          <w:szCs w:val="22"/>
          <w:lang w:val="ru-RU" w:eastAsia="zh-CN"/>
        </w:rPr>
      </w:pPr>
      <w:hyperlink w:anchor="_Toc377482100" w:history="1">
        <w:r w:rsidR="0044642E" w:rsidRPr="004D0D10">
          <w:rPr>
            <w:rStyle w:val="Hyperlink"/>
            <w:lang w:val="ru-RU"/>
          </w:rPr>
          <w:t>5.4</w:t>
        </w:r>
        <w:r w:rsidR="0044642E">
          <w:rPr>
            <w:rFonts w:asciiTheme="minorHAnsi" w:hAnsiTheme="minorHAnsi" w:cstheme="minorBidi"/>
            <w:bCs w:val="0"/>
            <w:sz w:val="22"/>
            <w:szCs w:val="22"/>
            <w:lang w:val="ru-RU" w:eastAsia="zh-CN"/>
          </w:rPr>
          <w:tab/>
        </w:r>
        <w:r w:rsidR="0044642E" w:rsidRPr="004D0D10">
          <w:rPr>
            <w:rStyle w:val="Hyperlink"/>
            <w:lang w:val="ru-RU"/>
          </w:rPr>
          <w:t>Израиль</w:t>
        </w:r>
        <w:r w:rsidR="0044642E">
          <w:rPr>
            <w:webHidden/>
          </w:rPr>
          <w:tab/>
        </w:r>
        <w:r w:rsidR="0044642E">
          <w:rPr>
            <w:webHidden/>
            <w:lang w:val="ru-RU"/>
          </w:rPr>
          <w:tab/>
        </w:r>
        <w:r w:rsidR="0044642E">
          <w:rPr>
            <w:webHidden/>
          </w:rPr>
          <w:fldChar w:fldCharType="begin"/>
        </w:r>
        <w:r w:rsidR="0044642E">
          <w:rPr>
            <w:webHidden/>
          </w:rPr>
          <w:instrText xml:space="preserve"> PAGEREF _Toc377482100 \h </w:instrText>
        </w:r>
        <w:r w:rsidR="0044642E">
          <w:rPr>
            <w:webHidden/>
          </w:rPr>
        </w:r>
        <w:r w:rsidR="0044642E">
          <w:rPr>
            <w:webHidden/>
          </w:rPr>
          <w:fldChar w:fldCharType="separate"/>
        </w:r>
        <w:r w:rsidR="00FE5200">
          <w:rPr>
            <w:webHidden/>
          </w:rPr>
          <w:t>13</w:t>
        </w:r>
        <w:r w:rsidR="0044642E">
          <w:rPr>
            <w:webHidden/>
          </w:rPr>
          <w:fldChar w:fldCharType="end"/>
        </w:r>
      </w:hyperlink>
    </w:p>
    <w:p w:rsidR="0044642E" w:rsidRDefault="00E57763" w:rsidP="00D3476D">
      <w:pPr>
        <w:pStyle w:val="TOC2"/>
        <w:tabs>
          <w:tab w:val="clear" w:pos="9071"/>
          <w:tab w:val="right" w:pos="9072"/>
        </w:tabs>
        <w:spacing w:before="160"/>
        <w:rPr>
          <w:rFonts w:asciiTheme="minorHAnsi" w:hAnsiTheme="minorHAnsi" w:cstheme="minorBidi"/>
          <w:bCs w:val="0"/>
          <w:sz w:val="22"/>
          <w:szCs w:val="22"/>
          <w:lang w:val="ru-RU" w:eastAsia="zh-CN"/>
        </w:rPr>
      </w:pPr>
      <w:hyperlink w:anchor="_Toc377482102" w:history="1">
        <w:r w:rsidR="0044642E" w:rsidRPr="004D0D10">
          <w:rPr>
            <w:rStyle w:val="Hyperlink"/>
            <w:lang w:val="ru-RU"/>
          </w:rPr>
          <w:t>5.5</w:t>
        </w:r>
        <w:r w:rsidR="0044642E">
          <w:rPr>
            <w:rFonts w:asciiTheme="minorHAnsi" w:hAnsiTheme="minorHAnsi" w:cstheme="minorBidi"/>
            <w:bCs w:val="0"/>
            <w:sz w:val="22"/>
            <w:szCs w:val="22"/>
            <w:lang w:val="ru-RU" w:eastAsia="zh-CN"/>
          </w:rPr>
          <w:tab/>
        </w:r>
        <w:r w:rsidR="0044642E" w:rsidRPr="004D0D10">
          <w:rPr>
            <w:rStyle w:val="Hyperlink"/>
            <w:lang w:val="ru-RU"/>
          </w:rPr>
          <w:t>Венесуэла</w:t>
        </w:r>
        <w:r w:rsidR="0044642E">
          <w:rPr>
            <w:webHidden/>
          </w:rPr>
          <w:tab/>
        </w:r>
        <w:r w:rsidR="0044642E">
          <w:rPr>
            <w:webHidden/>
            <w:lang w:val="ru-RU"/>
          </w:rPr>
          <w:tab/>
        </w:r>
        <w:r w:rsidR="0044642E">
          <w:rPr>
            <w:webHidden/>
          </w:rPr>
          <w:fldChar w:fldCharType="begin"/>
        </w:r>
        <w:r w:rsidR="0044642E">
          <w:rPr>
            <w:webHidden/>
          </w:rPr>
          <w:instrText xml:space="preserve"> PAGEREF _Toc377482102 \h </w:instrText>
        </w:r>
        <w:r w:rsidR="0044642E">
          <w:rPr>
            <w:webHidden/>
          </w:rPr>
        </w:r>
        <w:r w:rsidR="0044642E">
          <w:rPr>
            <w:webHidden/>
          </w:rPr>
          <w:fldChar w:fldCharType="separate"/>
        </w:r>
        <w:r w:rsidR="00FE5200">
          <w:rPr>
            <w:webHidden/>
          </w:rPr>
          <w:t>13</w:t>
        </w:r>
        <w:r w:rsidR="0044642E">
          <w:rPr>
            <w:webHidden/>
          </w:rPr>
          <w:fldChar w:fldCharType="end"/>
        </w:r>
      </w:hyperlink>
    </w:p>
    <w:p w:rsidR="0044642E" w:rsidRDefault="00E57763" w:rsidP="00D3476D">
      <w:pPr>
        <w:pStyle w:val="TOC2"/>
        <w:tabs>
          <w:tab w:val="clear" w:pos="9071"/>
          <w:tab w:val="right" w:pos="9072"/>
        </w:tabs>
        <w:spacing w:before="160"/>
        <w:rPr>
          <w:rFonts w:asciiTheme="minorHAnsi" w:hAnsiTheme="minorHAnsi" w:cstheme="minorBidi"/>
          <w:bCs w:val="0"/>
          <w:sz w:val="22"/>
          <w:szCs w:val="22"/>
          <w:lang w:val="ru-RU" w:eastAsia="zh-CN"/>
        </w:rPr>
      </w:pPr>
      <w:hyperlink w:anchor="_Toc377482104" w:history="1">
        <w:r w:rsidR="0044642E" w:rsidRPr="004D0D10">
          <w:rPr>
            <w:rStyle w:val="Hyperlink"/>
            <w:lang w:val="ru-RU"/>
          </w:rPr>
          <w:t>5.6</w:t>
        </w:r>
        <w:r w:rsidR="0044642E">
          <w:rPr>
            <w:rFonts w:asciiTheme="minorHAnsi" w:hAnsiTheme="minorHAnsi" w:cstheme="minorBidi"/>
            <w:bCs w:val="0"/>
            <w:sz w:val="22"/>
            <w:szCs w:val="22"/>
            <w:lang w:val="ru-RU" w:eastAsia="zh-CN"/>
          </w:rPr>
          <w:tab/>
        </w:r>
        <w:r w:rsidR="0044642E" w:rsidRPr="004D0D10">
          <w:rPr>
            <w:rStyle w:val="Hyperlink"/>
            <w:lang w:val="ru-RU"/>
          </w:rPr>
          <w:t>Венгрия</w:t>
        </w:r>
        <w:r w:rsidR="0044642E">
          <w:rPr>
            <w:webHidden/>
          </w:rPr>
          <w:tab/>
        </w:r>
        <w:r w:rsidR="0044642E">
          <w:rPr>
            <w:webHidden/>
            <w:lang w:val="ru-RU"/>
          </w:rPr>
          <w:tab/>
        </w:r>
        <w:r w:rsidR="0044642E">
          <w:rPr>
            <w:webHidden/>
          </w:rPr>
          <w:fldChar w:fldCharType="begin"/>
        </w:r>
        <w:r w:rsidR="0044642E">
          <w:rPr>
            <w:webHidden/>
          </w:rPr>
          <w:instrText xml:space="preserve"> PAGEREF _Toc377482104 \h </w:instrText>
        </w:r>
        <w:r w:rsidR="0044642E">
          <w:rPr>
            <w:webHidden/>
          </w:rPr>
        </w:r>
        <w:r w:rsidR="0044642E">
          <w:rPr>
            <w:webHidden/>
          </w:rPr>
          <w:fldChar w:fldCharType="separate"/>
        </w:r>
        <w:r w:rsidR="00FE5200">
          <w:rPr>
            <w:webHidden/>
          </w:rPr>
          <w:t>14</w:t>
        </w:r>
        <w:r w:rsidR="0044642E">
          <w:rPr>
            <w:webHidden/>
          </w:rPr>
          <w:fldChar w:fldCharType="end"/>
        </w:r>
      </w:hyperlink>
    </w:p>
    <w:p w:rsidR="0044642E" w:rsidRDefault="00E57763" w:rsidP="00D3476D">
      <w:pPr>
        <w:pStyle w:val="TOC2"/>
        <w:tabs>
          <w:tab w:val="clear" w:pos="9071"/>
          <w:tab w:val="right" w:pos="9072"/>
        </w:tabs>
        <w:spacing w:before="160"/>
        <w:rPr>
          <w:rFonts w:asciiTheme="minorHAnsi" w:hAnsiTheme="minorHAnsi" w:cstheme="minorBidi"/>
          <w:bCs w:val="0"/>
          <w:sz w:val="22"/>
          <w:szCs w:val="22"/>
          <w:lang w:val="ru-RU" w:eastAsia="zh-CN"/>
        </w:rPr>
      </w:pPr>
      <w:hyperlink w:anchor="_Toc377482106" w:history="1">
        <w:r w:rsidR="0044642E" w:rsidRPr="004D0D10">
          <w:rPr>
            <w:rStyle w:val="Hyperlink"/>
            <w:lang w:val="ru-RU"/>
          </w:rPr>
          <w:t>5.7</w:t>
        </w:r>
        <w:r w:rsidR="0044642E">
          <w:rPr>
            <w:rFonts w:asciiTheme="minorHAnsi" w:hAnsiTheme="minorHAnsi" w:cstheme="minorBidi"/>
            <w:bCs w:val="0"/>
            <w:sz w:val="22"/>
            <w:szCs w:val="22"/>
            <w:lang w:val="ru-RU" w:eastAsia="zh-CN"/>
          </w:rPr>
          <w:tab/>
        </w:r>
        <w:r w:rsidR="0044642E" w:rsidRPr="004D0D10">
          <w:rPr>
            <w:rStyle w:val="Hyperlink"/>
            <w:lang w:val="ru-RU"/>
          </w:rPr>
          <w:t>Узбекистан</w:t>
        </w:r>
        <w:r w:rsidR="0044642E">
          <w:rPr>
            <w:webHidden/>
          </w:rPr>
          <w:tab/>
        </w:r>
        <w:r w:rsidR="0044642E">
          <w:rPr>
            <w:webHidden/>
            <w:lang w:val="ru-RU"/>
          </w:rPr>
          <w:tab/>
        </w:r>
        <w:r w:rsidR="0044642E">
          <w:rPr>
            <w:webHidden/>
          </w:rPr>
          <w:fldChar w:fldCharType="begin"/>
        </w:r>
        <w:r w:rsidR="0044642E">
          <w:rPr>
            <w:webHidden/>
          </w:rPr>
          <w:instrText xml:space="preserve"> PAGEREF _Toc377482106 \h </w:instrText>
        </w:r>
        <w:r w:rsidR="0044642E">
          <w:rPr>
            <w:webHidden/>
          </w:rPr>
        </w:r>
        <w:r w:rsidR="0044642E">
          <w:rPr>
            <w:webHidden/>
          </w:rPr>
          <w:fldChar w:fldCharType="separate"/>
        </w:r>
        <w:r w:rsidR="00FE5200">
          <w:rPr>
            <w:webHidden/>
          </w:rPr>
          <w:t>15</w:t>
        </w:r>
        <w:r w:rsidR="0044642E">
          <w:rPr>
            <w:webHidden/>
          </w:rPr>
          <w:fldChar w:fldCharType="end"/>
        </w:r>
      </w:hyperlink>
    </w:p>
    <w:p w:rsidR="0044642E" w:rsidRDefault="00E57763" w:rsidP="00D3476D">
      <w:pPr>
        <w:pStyle w:val="TOC2"/>
        <w:tabs>
          <w:tab w:val="clear" w:pos="9071"/>
          <w:tab w:val="right" w:pos="9072"/>
        </w:tabs>
        <w:spacing w:before="160"/>
        <w:rPr>
          <w:rFonts w:asciiTheme="minorHAnsi" w:hAnsiTheme="minorHAnsi" w:cstheme="minorBidi"/>
          <w:bCs w:val="0"/>
          <w:sz w:val="22"/>
          <w:szCs w:val="22"/>
          <w:lang w:val="ru-RU" w:eastAsia="zh-CN"/>
        </w:rPr>
      </w:pPr>
      <w:hyperlink w:anchor="_Toc377482107" w:history="1">
        <w:r w:rsidR="0044642E" w:rsidRPr="004D0D10">
          <w:rPr>
            <w:rStyle w:val="Hyperlink"/>
            <w:lang w:val="ru-RU"/>
          </w:rPr>
          <w:t>5.8</w:t>
        </w:r>
        <w:r w:rsidR="0044642E">
          <w:rPr>
            <w:rFonts w:asciiTheme="minorHAnsi" w:hAnsiTheme="minorHAnsi" w:cstheme="minorBidi"/>
            <w:bCs w:val="0"/>
            <w:sz w:val="22"/>
            <w:szCs w:val="22"/>
            <w:lang w:val="ru-RU" w:eastAsia="zh-CN"/>
          </w:rPr>
          <w:tab/>
        </w:r>
        <w:r w:rsidR="0044642E" w:rsidRPr="004D0D10">
          <w:rPr>
            <w:rStyle w:val="Hyperlink"/>
            <w:lang w:val="ru-RU"/>
          </w:rPr>
          <w:t>Бенин</w:t>
        </w:r>
        <w:r w:rsidR="0044642E">
          <w:rPr>
            <w:webHidden/>
          </w:rPr>
          <w:tab/>
        </w:r>
        <w:r w:rsidR="0044642E">
          <w:rPr>
            <w:webHidden/>
            <w:lang w:val="ru-RU"/>
          </w:rPr>
          <w:tab/>
        </w:r>
        <w:r w:rsidR="0044642E">
          <w:rPr>
            <w:webHidden/>
          </w:rPr>
          <w:fldChar w:fldCharType="begin"/>
        </w:r>
        <w:r w:rsidR="0044642E">
          <w:rPr>
            <w:webHidden/>
          </w:rPr>
          <w:instrText xml:space="preserve"> PAGEREF _Toc377482107 \h </w:instrText>
        </w:r>
        <w:r w:rsidR="0044642E">
          <w:rPr>
            <w:webHidden/>
          </w:rPr>
        </w:r>
        <w:r w:rsidR="0044642E">
          <w:rPr>
            <w:webHidden/>
          </w:rPr>
          <w:fldChar w:fldCharType="separate"/>
        </w:r>
        <w:r w:rsidR="00FE5200">
          <w:rPr>
            <w:webHidden/>
          </w:rPr>
          <w:t>15</w:t>
        </w:r>
        <w:r w:rsidR="0044642E">
          <w:rPr>
            <w:webHidden/>
          </w:rPr>
          <w:fldChar w:fldCharType="end"/>
        </w:r>
      </w:hyperlink>
    </w:p>
    <w:p w:rsidR="0044642E" w:rsidRDefault="00E57763" w:rsidP="00D3476D">
      <w:pPr>
        <w:pStyle w:val="TOC2"/>
        <w:tabs>
          <w:tab w:val="clear" w:pos="9071"/>
          <w:tab w:val="right" w:pos="9072"/>
        </w:tabs>
        <w:spacing w:before="160"/>
        <w:rPr>
          <w:rFonts w:asciiTheme="minorHAnsi" w:hAnsiTheme="minorHAnsi" w:cstheme="minorBidi"/>
          <w:bCs w:val="0"/>
          <w:sz w:val="22"/>
          <w:szCs w:val="22"/>
          <w:lang w:val="ru-RU" w:eastAsia="zh-CN"/>
        </w:rPr>
      </w:pPr>
      <w:hyperlink w:anchor="_Toc377482108" w:history="1">
        <w:r w:rsidR="0044642E" w:rsidRPr="004D0D10">
          <w:rPr>
            <w:rStyle w:val="Hyperlink"/>
            <w:lang w:val="ru-RU"/>
          </w:rPr>
          <w:t>5.9</w:t>
        </w:r>
        <w:r w:rsidR="0044642E">
          <w:rPr>
            <w:rFonts w:asciiTheme="minorHAnsi" w:hAnsiTheme="minorHAnsi" w:cstheme="minorBidi"/>
            <w:bCs w:val="0"/>
            <w:sz w:val="22"/>
            <w:szCs w:val="22"/>
            <w:lang w:val="ru-RU" w:eastAsia="zh-CN"/>
          </w:rPr>
          <w:tab/>
        </w:r>
        <w:r w:rsidR="0044642E" w:rsidRPr="004D0D10">
          <w:rPr>
            <w:rStyle w:val="Hyperlink"/>
            <w:lang w:val="ru-RU"/>
          </w:rPr>
          <w:t>Индия</w:t>
        </w:r>
        <w:r w:rsidR="0044642E">
          <w:rPr>
            <w:webHidden/>
          </w:rPr>
          <w:tab/>
        </w:r>
        <w:r w:rsidR="0044642E">
          <w:rPr>
            <w:webHidden/>
            <w:lang w:val="ru-RU"/>
          </w:rPr>
          <w:tab/>
        </w:r>
        <w:r w:rsidR="0044642E">
          <w:rPr>
            <w:webHidden/>
          </w:rPr>
          <w:fldChar w:fldCharType="begin"/>
        </w:r>
        <w:r w:rsidR="0044642E">
          <w:rPr>
            <w:webHidden/>
          </w:rPr>
          <w:instrText xml:space="preserve"> PAGEREF _Toc377482108 \h </w:instrText>
        </w:r>
        <w:r w:rsidR="0044642E">
          <w:rPr>
            <w:webHidden/>
          </w:rPr>
        </w:r>
        <w:r w:rsidR="0044642E">
          <w:rPr>
            <w:webHidden/>
          </w:rPr>
          <w:fldChar w:fldCharType="separate"/>
        </w:r>
        <w:r w:rsidR="00FE5200">
          <w:rPr>
            <w:webHidden/>
          </w:rPr>
          <w:t>16</w:t>
        </w:r>
        <w:r w:rsidR="0044642E">
          <w:rPr>
            <w:webHidden/>
          </w:rPr>
          <w:fldChar w:fldCharType="end"/>
        </w:r>
      </w:hyperlink>
    </w:p>
    <w:p w:rsidR="0044642E" w:rsidRDefault="00E57763" w:rsidP="00D3476D">
      <w:pPr>
        <w:pStyle w:val="TOC1"/>
        <w:tabs>
          <w:tab w:val="clear" w:pos="9071"/>
          <w:tab w:val="right" w:pos="9072"/>
        </w:tabs>
        <w:spacing w:before="160"/>
        <w:ind w:right="566"/>
        <w:rPr>
          <w:rFonts w:asciiTheme="minorHAnsi" w:eastAsiaTheme="minorEastAsia" w:hAnsiTheme="minorHAnsi" w:cstheme="minorBidi"/>
          <w:b w:val="0"/>
          <w:bCs w:val="0"/>
          <w:sz w:val="22"/>
          <w:szCs w:val="22"/>
          <w:lang w:val="ru-RU" w:eastAsia="zh-CN"/>
        </w:rPr>
      </w:pPr>
      <w:hyperlink w:anchor="_Toc377482109" w:history="1">
        <w:r w:rsidR="0044642E" w:rsidRPr="004D0D10">
          <w:rPr>
            <w:rStyle w:val="Hyperlink"/>
            <w:lang w:val="ru-RU"/>
          </w:rPr>
          <w:t>6</w:t>
        </w:r>
        <w:r w:rsidR="0044642E">
          <w:rPr>
            <w:rFonts w:asciiTheme="minorHAnsi" w:eastAsiaTheme="minorEastAsia" w:hAnsiTheme="minorHAnsi" w:cstheme="minorBidi"/>
            <w:b w:val="0"/>
            <w:bCs w:val="0"/>
            <w:sz w:val="22"/>
            <w:szCs w:val="22"/>
            <w:lang w:val="ru-RU" w:eastAsia="zh-CN"/>
          </w:rPr>
          <w:tab/>
        </w:r>
        <w:r w:rsidR="0044642E" w:rsidRPr="004D0D10">
          <w:rPr>
            <w:rStyle w:val="Hyperlink"/>
            <w:lang w:val="ru-RU"/>
          </w:rPr>
          <w:t>Проект МСЭ в Центральной Америке по неионизирующему электромагнитному излучению и регулированию воздействия на человека при развертывании беспроводных сетей и соответствующей инфраструктуры</w:t>
        </w:r>
        <w:r w:rsidR="0044642E">
          <w:rPr>
            <w:webHidden/>
          </w:rPr>
          <w:tab/>
        </w:r>
        <w:r w:rsidR="00D3476D">
          <w:rPr>
            <w:webHidden/>
          </w:rPr>
          <w:tab/>
        </w:r>
        <w:r w:rsidR="0044642E">
          <w:rPr>
            <w:webHidden/>
          </w:rPr>
          <w:fldChar w:fldCharType="begin"/>
        </w:r>
        <w:r w:rsidR="0044642E">
          <w:rPr>
            <w:webHidden/>
          </w:rPr>
          <w:instrText xml:space="preserve"> PAGEREF _Toc377482109 \h </w:instrText>
        </w:r>
        <w:r w:rsidR="0044642E">
          <w:rPr>
            <w:webHidden/>
          </w:rPr>
        </w:r>
        <w:r w:rsidR="0044642E">
          <w:rPr>
            <w:webHidden/>
          </w:rPr>
          <w:fldChar w:fldCharType="separate"/>
        </w:r>
        <w:r w:rsidR="00FE5200">
          <w:rPr>
            <w:webHidden/>
          </w:rPr>
          <w:t>17</w:t>
        </w:r>
        <w:r w:rsidR="0044642E">
          <w:rPr>
            <w:webHidden/>
          </w:rPr>
          <w:fldChar w:fldCharType="end"/>
        </w:r>
      </w:hyperlink>
    </w:p>
    <w:p w:rsidR="0044642E" w:rsidRDefault="00E57763" w:rsidP="00D3476D">
      <w:pPr>
        <w:pStyle w:val="TOC1"/>
        <w:tabs>
          <w:tab w:val="clear" w:pos="9071"/>
          <w:tab w:val="right" w:pos="9072"/>
        </w:tabs>
        <w:spacing w:before="160"/>
        <w:rPr>
          <w:rFonts w:asciiTheme="minorHAnsi" w:eastAsiaTheme="minorEastAsia" w:hAnsiTheme="minorHAnsi" w:cstheme="minorBidi"/>
          <w:b w:val="0"/>
          <w:bCs w:val="0"/>
          <w:sz w:val="22"/>
          <w:szCs w:val="22"/>
          <w:lang w:val="ru-RU" w:eastAsia="zh-CN"/>
        </w:rPr>
      </w:pPr>
      <w:hyperlink w:anchor="_Toc377482110" w:history="1">
        <w:r w:rsidR="0044642E" w:rsidRPr="004D0D10">
          <w:rPr>
            <w:rStyle w:val="Hyperlink"/>
            <w:lang w:val="ru-RU"/>
          </w:rPr>
          <w:t>7</w:t>
        </w:r>
        <w:r w:rsidR="0044642E">
          <w:rPr>
            <w:rFonts w:asciiTheme="minorHAnsi" w:eastAsiaTheme="minorEastAsia" w:hAnsiTheme="minorHAnsi" w:cstheme="minorBidi"/>
            <w:b w:val="0"/>
            <w:bCs w:val="0"/>
            <w:sz w:val="22"/>
            <w:szCs w:val="22"/>
            <w:lang w:val="ru-RU" w:eastAsia="zh-CN"/>
          </w:rPr>
          <w:tab/>
        </w:r>
        <w:r w:rsidR="0044642E" w:rsidRPr="004D0D10">
          <w:rPr>
            <w:rStyle w:val="Hyperlink"/>
            <w:lang w:val="ru-RU"/>
          </w:rPr>
          <w:t>Руководство для Государств-Членов</w:t>
        </w:r>
        <w:r w:rsidR="0044642E">
          <w:rPr>
            <w:webHidden/>
          </w:rPr>
          <w:tab/>
        </w:r>
        <w:r w:rsidR="0044642E">
          <w:rPr>
            <w:webHidden/>
            <w:lang w:val="ru-RU"/>
          </w:rPr>
          <w:tab/>
        </w:r>
        <w:r w:rsidR="0044642E">
          <w:rPr>
            <w:webHidden/>
          </w:rPr>
          <w:fldChar w:fldCharType="begin"/>
        </w:r>
        <w:r w:rsidR="0044642E">
          <w:rPr>
            <w:webHidden/>
          </w:rPr>
          <w:instrText xml:space="preserve"> PAGEREF _Toc377482110 \h </w:instrText>
        </w:r>
        <w:r w:rsidR="0044642E">
          <w:rPr>
            <w:webHidden/>
          </w:rPr>
        </w:r>
        <w:r w:rsidR="0044642E">
          <w:rPr>
            <w:webHidden/>
          </w:rPr>
          <w:fldChar w:fldCharType="separate"/>
        </w:r>
        <w:r w:rsidR="00FE5200">
          <w:rPr>
            <w:webHidden/>
          </w:rPr>
          <w:t>21</w:t>
        </w:r>
        <w:r w:rsidR="0044642E">
          <w:rPr>
            <w:webHidden/>
          </w:rPr>
          <w:fldChar w:fldCharType="end"/>
        </w:r>
      </w:hyperlink>
    </w:p>
    <w:p w:rsidR="0044642E" w:rsidRDefault="00E57763" w:rsidP="00D3476D">
      <w:pPr>
        <w:pStyle w:val="TOC1"/>
        <w:tabs>
          <w:tab w:val="clear" w:pos="9071"/>
          <w:tab w:val="right" w:pos="9072"/>
        </w:tabs>
        <w:spacing w:before="160"/>
        <w:rPr>
          <w:rFonts w:asciiTheme="minorHAnsi" w:eastAsiaTheme="minorEastAsia" w:hAnsiTheme="minorHAnsi" w:cstheme="minorBidi"/>
          <w:b w:val="0"/>
          <w:bCs w:val="0"/>
          <w:sz w:val="22"/>
          <w:szCs w:val="22"/>
          <w:lang w:val="ru-RU" w:eastAsia="zh-CN"/>
        </w:rPr>
      </w:pPr>
      <w:hyperlink w:anchor="_Toc377482112" w:history="1">
        <w:r w:rsidR="0044642E" w:rsidRPr="004D0D10">
          <w:rPr>
            <w:rStyle w:val="Hyperlink"/>
            <w:lang w:val="ru-RU"/>
          </w:rPr>
          <w:t>8</w:t>
        </w:r>
        <w:r w:rsidR="0044642E">
          <w:rPr>
            <w:rFonts w:asciiTheme="minorHAnsi" w:eastAsiaTheme="minorEastAsia" w:hAnsiTheme="minorHAnsi" w:cstheme="minorBidi"/>
            <w:b w:val="0"/>
            <w:bCs w:val="0"/>
            <w:sz w:val="22"/>
            <w:szCs w:val="22"/>
            <w:lang w:val="ru-RU" w:eastAsia="zh-CN"/>
          </w:rPr>
          <w:tab/>
        </w:r>
        <w:r w:rsidR="0044642E" w:rsidRPr="004D0D10">
          <w:rPr>
            <w:rStyle w:val="Hyperlink"/>
            <w:lang w:val="ru-RU"/>
          </w:rPr>
          <w:t>Заключение</w:t>
        </w:r>
        <w:r w:rsidR="0044642E">
          <w:rPr>
            <w:webHidden/>
          </w:rPr>
          <w:tab/>
        </w:r>
        <w:r w:rsidR="0044642E">
          <w:rPr>
            <w:webHidden/>
            <w:lang w:val="ru-RU"/>
          </w:rPr>
          <w:tab/>
        </w:r>
        <w:r w:rsidR="0044642E">
          <w:rPr>
            <w:webHidden/>
          </w:rPr>
          <w:fldChar w:fldCharType="begin"/>
        </w:r>
        <w:r w:rsidR="0044642E">
          <w:rPr>
            <w:webHidden/>
          </w:rPr>
          <w:instrText xml:space="preserve"> PAGEREF _Toc377482112 \h </w:instrText>
        </w:r>
        <w:r w:rsidR="0044642E">
          <w:rPr>
            <w:webHidden/>
          </w:rPr>
        </w:r>
        <w:r w:rsidR="0044642E">
          <w:rPr>
            <w:webHidden/>
          </w:rPr>
          <w:fldChar w:fldCharType="separate"/>
        </w:r>
        <w:r w:rsidR="00FE5200">
          <w:rPr>
            <w:webHidden/>
          </w:rPr>
          <w:t>23</w:t>
        </w:r>
        <w:r w:rsidR="0044642E">
          <w:rPr>
            <w:webHidden/>
          </w:rPr>
          <w:fldChar w:fldCharType="end"/>
        </w:r>
      </w:hyperlink>
    </w:p>
    <w:p w:rsidR="0044642E" w:rsidRDefault="00E57763" w:rsidP="00D3476D">
      <w:pPr>
        <w:pStyle w:val="TOC1"/>
        <w:tabs>
          <w:tab w:val="clear" w:pos="9071"/>
          <w:tab w:val="right" w:pos="9072"/>
        </w:tabs>
        <w:spacing w:before="160"/>
        <w:rPr>
          <w:rFonts w:asciiTheme="minorHAnsi" w:eastAsiaTheme="minorEastAsia" w:hAnsiTheme="minorHAnsi" w:cstheme="minorBidi"/>
          <w:b w:val="0"/>
          <w:bCs w:val="0"/>
          <w:sz w:val="22"/>
          <w:szCs w:val="22"/>
          <w:lang w:val="ru-RU" w:eastAsia="zh-CN"/>
        </w:rPr>
      </w:pPr>
      <w:hyperlink w:anchor="_Toc377482113" w:history="1">
        <w:r w:rsidR="0044642E" w:rsidRPr="004D0D10">
          <w:rPr>
            <w:rStyle w:val="Hyperlink"/>
            <w:lang w:val="ru-RU"/>
          </w:rPr>
          <w:t>9</w:t>
        </w:r>
        <w:r w:rsidR="0044642E">
          <w:rPr>
            <w:rFonts w:asciiTheme="minorHAnsi" w:eastAsiaTheme="minorEastAsia" w:hAnsiTheme="minorHAnsi" w:cstheme="minorBidi"/>
            <w:b w:val="0"/>
            <w:bCs w:val="0"/>
            <w:sz w:val="22"/>
            <w:szCs w:val="22"/>
            <w:lang w:val="ru-RU" w:eastAsia="zh-CN"/>
          </w:rPr>
          <w:tab/>
        </w:r>
        <w:r w:rsidR="0044642E" w:rsidRPr="004D0D10">
          <w:rPr>
            <w:rStyle w:val="Hyperlink"/>
            <w:lang w:val="ru-RU"/>
          </w:rPr>
          <w:t>Руководящие указания</w:t>
        </w:r>
        <w:r w:rsidR="0044642E">
          <w:rPr>
            <w:webHidden/>
          </w:rPr>
          <w:tab/>
        </w:r>
        <w:r w:rsidR="0044642E">
          <w:rPr>
            <w:webHidden/>
            <w:lang w:val="ru-RU"/>
          </w:rPr>
          <w:tab/>
        </w:r>
        <w:r w:rsidR="0044642E">
          <w:rPr>
            <w:webHidden/>
          </w:rPr>
          <w:fldChar w:fldCharType="begin"/>
        </w:r>
        <w:r w:rsidR="0044642E">
          <w:rPr>
            <w:webHidden/>
          </w:rPr>
          <w:instrText xml:space="preserve"> PAGEREF _Toc377482113 \h </w:instrText>
        </w:r>
        <w:r w:rsidR="0044642E">
          <w:rPr>
            <w:webHidden/>
          </w:rPr>
        </w:r>
        <w:r w:rsidR="0044642E">
          <w:rPr>
            <w:webHidden/>
          </w:rPr>
          <w:fldChar w:fldCharType="separate"/>
        </w:r>
        <w:r w:rsidR="00FE5200">
          <w:rPr>
            <w:webHidden/>
          </w:rPr>
          <w:t>24</w:t>
        </w:r>
        <w:r w:rsidR="0044642E">
          <w:rPr>
            <w:webHidden/>
          </w:rPr>
          <w:fldChar w:fldCharType="end"/>
        </w:r>
      </w:hyperlink>
    </w:p>
    <w:p w:rsidR="0044642E" w:rsidRDefault="00E57763" w:rsidP="00D3476D">
      <w:pPr>
        <w:pStyle w:val="TOC2"/>
        <w:tabs>
          <w:tab w:val="clear" w:pos="9071"/>
          <w:tab w:val="right" w:pos="9072"/>
        </w:tabs>
        <w:spacing w:before="160"/>
        <w:rPr>
          <w:rFonts w:asciiTheme="minorHAnsi" w:hAnsiTheme="minorHAnsi" w:cstheme="minorBidi"/>
          <w:bCs w:val="0"/>
          <w:sz w:val="22"/>
          <w:szCs w:val="22"/>
          <w:lang w:val="ru-RU" w:eastAsia="zh-CN"/>
        </w:rPr>
      </w:pPr>
      <w:hyperlink w:anchor="_Toc377482114" w:history="1">
        <w:r w:rsidR="0044642E" w:rsidRPr="004D0D10">
          <w:rPr>
            <w:rStyle w:val="Hyperlink"/>
            <w:lang w:val="ru-RU"/>
          </w:rPr>
          <w:t>9.1</w:t>
        </w:r>
        <w:r w:rsidR="0044642E">
          <w:rPr>
            <w:rFonts w:asciiTheme="minorHAnsi" w:hAnsiTheme="minorHAnsi" w:cstheme="minorBidi"/>
            <w:bCs w:val="0"/>
            <w:sz w:val="22"/>
            <w:szCs w:val="22"/>
            <w:lang w:val="ru-RU" w:eastAsia="zh-CN"/>
          </w:rPr>
          <w:tab/>
        </w:r>
        <w:r w:rsidR="0044642E" w:rsidRPr="004D0D10">
          <w:rPr>
            <w:rStyle w:val="Hyperlink"/>
            <w:lang w:val="ru-RU"/>
          </w:rPr>
          <w:t>Сфера применения Руководящих указаний</w:t>
        </w:r>
        <w:r w:rsidR="0044642E">
          <w:rPr>
            <w:webHidden/>
          </w:rPr>
          <w:tab/>
        </w:r>
        <w:r w:rsidR="0044642E">
          <w:rPr>
            <w:webHidden/>
            <w:lang w:val="ru-RU"/>
          </w:rPr>
          <w:tab/>
        </w:r>
        <w:r w:rsidR="0044642E">
          <w:rPr>
            <w:webHidden/>
          </w:rPr>
          <w:fldChar w:fldCharType="begin"/>
        </w:r>
        <w:r w:rsidR="0044642E">
          <w:rPr>
            <w:webHidden/>
          </w:rPr>
          <w:instrText xml:space="preserve"> PAGEREF _Toc377482114 \h </w:instrText>
        </w:r>
        <w:r w:rsidR="0044642E">
          <w:rPr>
            <w:webHidden/>
          </w:rPr>
        </w:r>
        <w:r w:rsidR="0044642E">
          <w:rPr>
            <w:webHidden/>
          </w:rPr>
          <w:fldChar w:fldCharType="separate"/>
        </w:r>
        <w:r w:rsidR="00FE5200">
          <w:rPr>
            <w:webHidden/>
          </w:rPr>
          <w:t>24</w:t>
        </w:r>
        <w:r w:rsidR="0044642E">
          <w:rPr>
            <w:webHidden/>
          </w:rPr>
          <w:fldChar w:fldCharType="end"/>
        </w:r>
      </w:hyperlink>
    </w:p>
    <w:p w:rsidR="0044642E" w:rsidRDefault="00E57763" w:rsidP="00D3476D">
      <w:pPr>
        <w:pStyle w:val="TOC2"/>
        <w:tabs>
          <w:tab w:val="clear" w:pos="9071"/>
          <w:tab w:val="right" w:pos="9072"/>
        </w:tabs>
        <w:spacing w:before="160"/>
        <w:rPr>
          <w:rFonts w:asciiTheme="minorHAnsi" w:hAnsiTheme="minorHAnsi" w:cstheme="minorBidi"/>
          <w:bCs w:val="0"/>
          <w:sz w:val="22"/>
          <w:szCs w:val="22"/>
          <w:lang w:val="ru-RU" w:eastAsia="zh-CN"/>
        </w:rPr>
      </w:pPr>
      <w:hyperlink w:anchor="_Toc377482115" w:history="1">
        <w:r w:rsidR="0044642E" w:rsidRPr="004D0D10">
          <w:rPr>
            <w:rStyle w:val="Hyperlink"/>
            <w:lang w:val="ru-RU"/>
          </w:rPr>
          <w:t>9.2</w:t>
        </w:r>
        <w:r w:rsidR="0044642E">
          <w:rPr>
            <w:rFonts w:asciiTheme="minorHAnsi" w:hAnsiTheme="minorHAnsi" w:cstheme="minorBidi"/>
            <w:bCs w:val="0"/>
            <w:sz w:val="22"/>
            <w:szCs w:val="22"/>
            <w:lang w:val="ru-RU" w:eastAsia="zh-CN"/>
          </w:rPr>
          <w:tab/>
        </w:r>
        <w:r w:rsidR="0044642E" w:rsidRPr="004D0D10">
          <w:rPr>
            <w:rStyle w:val="Hyperlink"/>
            <w:lang w:val="ru-RU"/>
          </w:rPr>
          <w:t>Цели Руководящих указаний</w:t>
        </w:r>
        <w:r w:rsidR="0044642E">
          <w:rPr>
            <w:webHidden/>
          </w:rPr>
          <w:tab/>
        </w:r>
        <w:r w:rsidR="0044642E">
          <w:rPr>
            <w:webHidden/>
            <w:lang w:val="ru-RU"/>
          </w:rPr>
          <w:tab/>
        </w:r>
        <w:r w:rsidR="0044642E">
          <w:rPr>
            <w:webHidden/>
          </w:rPr>
          <w:fldChar w:fldCharType="begin"/>
        </w:r>
        <w:r w:rsidR="0044642E">
          <w:rPr>
            <w:webHidden/>
          </w:rPr>
          <w:instrText xml:space="preserve"> PAGEREF _Toc377482115 \h </w:instrText>
        </w:r>
        <w:r w:rsidR="0044642E">
          <w:rPr>
            <w:webHidden/>
          </w:rPr>
        </w:r>
        <w:r w:rsidR="0044642E">
          <w:rPr>
            <w:webHidden/>
          </w:rPr>
          <w:fldChar w:fldCharType="separate"/>
        </w:r>
        <w:r w:rsidR="00FE5200">
          <w:rPr>
            <w:webHidden/>
          </w:rPr>
          <w:t>24</w:t>
        </w:r>
        <w:r w:rsidR="0044642E">
          <w:rPr>
            <w:webHidden/>
          </w:rPr>
          <w:fldChar w:fldCharType="end"/>
        </w:r>
      </w:hyperlink>
    </w:p>
    <w:p w:rsidR="0044642E" w:rsidRDefault="00E57763" w:rsidP="00D3476D">
      <w:pPr>
        <w:pStyle w:val="TOC2"/>
        <w:tabs>
          <w:tab w:val="clear" w:pos="9071"/>
          <w:tab w:val="right" w:pos="9072"/>
        </w:tabs>
        <w:spacing w:before="160"/>
        <w:rPr>
          <w:rFonts w:asciiTheme="minorHAnsi" w:hAnsiTheme="minorHAnsi" w:cstheme="minorBidi"/>
          <w:bCs w:val="0"/>
          <w:sz w:val="22"/>
          <w:szCs w:val="22"/>
          <w:lang w:val="ru-RU" w:eastAsia="zh-CN"/>
        </w:rPr>
      </w:pPr>
      <w:hyperlink w:anchor="_Toc377482116" w:history="1">
        <w:r w:rsidR="0044642E" w:rsidRPr="004D0D10">
          <w:rPr>
            <w:rStyle w:val="Hyperlink"/>
            <w:lang w:val="ru-RU"/>
          </w:rPr>
          <w:t>9.3</w:t>
        </w:r>
        <w:r w:rsidR="0044642E">
          <w:rPr>
            <w:rFonts w:asciiTheme="minorHAnsi" w:hAnsiTheme="minorHAnsi" w:cstheme="minorBidi"/>
            <w:bCs w:val="0"/>
            <w:sz w:val="22"/>
            <w:szCs w:val="22"/>
            <w:lang w:val="ru-RU" w:eastAsia="zh-CN"/>
          </w:rPr>
          <w:tab/>
        </w:r>
        <w:r w:rsidR="0044642E" w:rsidRPr="004D0D10">
          <w:rPr>
            <w:rStyle w:val="Hyperlink"/>
            <w:lang w:val="ru-RU"/>
          </w:rPr>
          <w:t>Принципы разработки Руководящих указаний</w:t>
        </w:r>
        <w:r w:rsidR="0044642E">
          <w:rPr>
            <w:webHidden/>
          </w:rPr>
          <w:tab/>
        </w:r>
        <w:r w:rsidR="0044642E">
          <w:rPr>
            <w:webHidden/>
            <w:lang w:val="ru-RU"/>
          </w:rPr>
          <w:tab/>
        </w:r>
        <w:r w:rsidR="0044642E">
          <w:rPr>
            <w:webHidden/>
          </w:rPr>
          <w:fldChar w:fldCharType="begin"/>
        </w:r>
        <w:r w:rsidR="0044642E">
          <w:rPr>
            <w:webHidden/>
          </w:rPr>
          <w:instrText xml:space="preserve"> PAGEREF _Toc377482116 \h </w:instrText>
        </w:r>
        <w:r w:rsidR="0044642E">
          <w:rPr>
            <w:webHidden/>
          </w:rPr>
        </w:r>
        <w:r w:rsidR="0044642E">
          <w:rPr>
            <w:webHidden/>
          </w:rPr>
          <w:fldChar w:fldCharType="separate"/>
        </w:r>
        <w:r w:rsidR="00FE5200">
          <w:rPr>
            <w:webHidden/>
          </w:rPr>
          <w:t>25</w:t>
        </w:r>
        <w:r w:rsidR="0044642E">
          <w:rPr>
            <w:webHidden/>
          </w:rPr>
          <w:fldChar w:fldCharType="end"/>
        </w:r>
      </w:hyperlink>
    </w:p>
    <w:p w:rsidR="0044642E" w:rsidRDefault="00E57763" w:rsidP="00D3476D">
      <w:pPr>
        <w:pStyle w:val="TOC2"/>
        <w:tabs>
          <w:tab w:val="clear" w:pos="9071"/>
          <w:tab w:val="right" w:pos="9072"/>
        </w:tabs>
        <w:spacing w:before="160"/>
        <w:rPr>
          <w:rFonts w:asciiTheme="minorHAnsi" w:hAnsiTheme="minorHAnsi" w:cstheme="minorBidi"/>
          <w:bCs w:val="0"/>
          <w:sz w:val="22"/>
          <w:szCs w:val="22"/>
          <w:lang w:val="ru-RU" w:eastAsia="zh-CN"/>
        </w:rPr>
      </w:pPr>
      <w:hyperlink w:anchor="_Toc377482117" w:history="1">
        <w:r w:rsidR="0044642E" w:rsidRPr="004D0D10">
          <w:rPr>
            <w:rStyle w:val="Hyperlink"/>
            <w:lang w:val="ru-RU"/>
          </w:rPr>
          <w:t>9.4</w:t>
        </w:r>
        <w:r w:rsidR="0044642E">
          <w:rPr>
            <w:rFonts w:asciiTheme="minorHAnsi" w:hAnsiTheme="minorHAnsi" w:cstheme="minorBidi"/>
            <w:bCs w:val="0"/>
            <w:sz w:val="22"/>
            <w:szCs w:val="22"/>
            <w:lang w:val="ru-RU" w:eastAsia="zh-CN"/>
          </w:rPr>
          <w:tab/>
        </w:r>
        <w:r w:rsidR="0044642E" w:rsidRPr="004D0D10">
          <w:rPr>
            <w:rStyle w:val="Hyperlink"/>
            <w:lang w:val="ru-RU"/>
          </w:rPr>
          <w:t>Обязательства операторов в отношении излучения ЭМП</w:t>
        </w:r>
        <w:r w:rsidR="0044642E">
          <w:rPr>
            <w:webHidden/>
          </w:rPr>
          <w:tab/>
        </w:r>
        <w:r w:rsidR="0044642E">
          <w:rPr>
            <w:webHidden/>
            <w:lang w:val="ru-RU"/>
          </w:rPr>
          <w:tab/>
        </w:r>
        <w:r w:rsidR="0044642E">
          <w:rPr>
            <w:webHidden/>
          </w:rPr>
          <w:fldChar w:fldCharType="begin"/>
        </w:r>
        <w:r w:rsidR="0044642E">
          <w:rPr>
            <w:webHidden/>
          </w:rPr>
          <w:instrText xml:space="preserve"> PAGEREF _Toc377482117 \h </w:instrText>
        </w:r>
        <w:r w:rsidR="0044642E">
          <w:rPr>
            <w:webHidden/>
          </w:rPr>
        </w:r>
        <w:r w:rsidR="0044642E">
          <w:rPr>
            <w:webHidden/>
          </w:rPr>
          <w:fldChar w:fldCharType="separate"/>
        </w:r>
        <w:r w:rsidR="00FE5200">
          <w:rPr>
            <w:webHidden/>
          </w:rPr>
          <w:t>25</w:t>
        </w:r>
        <w:r w:rsidR="0044642E">
          <w:rPr>
            <w:webHidden/>
          </w:rPr>
          <w:fldChar w:fldCharType="end"/>
        </w:r>
      </w:hyperlink>
    </w:p>
    <w:p w:rsidR="0044642E" w:rsidRDefault="00E57763" w:rsidP="00D3476D">
      <w:pPr>
        <w:pStyle w:val="TOC2"/>
        <w:tabs>
          <w:tab w:val="clear" w:pos="9071"/>
          <w:tab w:val="right" w:pos="9072"/>
        </w:tabs>
        <w:spacing w:before="160"/>
        <w:rPr>
          <w:rFonts w:asciiTheme="minorHAnsi" w:hAnsiTheme="minorHAnsi" w:cstheme="minorBidi"/>
          <w:bCs w:val="0"/>
          <w:sz w:val="22"/>
          <w:szCs w:val="22"/>
          <w:lang w:val="ru-RU" w:eastAsia="zh-CN"/>
        </w:rPr>
      </w:pPr>
      <w:hyperlink w:anchor="_Toc377482118" w:history="1">
        <w:r w:rsidR="0044642E" w:rsidRPr="004D0D10">
          <w:rPr>
            <w:rStyle w:val="Hyperlink"/>
            <w:lang w:val="ru-RU"/>
          </w:rPr>
          <w:t>9.5</w:t>
        </w:r>
        <w:r w:rsidR="0044642E">
          <w:rPr>
            <w:rFonts w:asciiTheme="minorHAnsi" w:hAnsiTheme="minorHAnsi" w:cstheme="minorBidi"/>
            <w:bCs w:val="0"/>
            <w:sz w:val="22"/>
            <w:szCs w:val="22"/>
            <w:lang w:val="ru-RU" w:eastAsia="zh-CN"/>
          </w:rPr>
          <w:tab/>
        </w:r>
        <w:r w:rsidR="0044642E" w:rsidRPr="004D0D10">
          <w:rPr>
            <w:rStyle w:val="Hyperlink"/>
            <w:lang w:val="ru-RU"/>
          </w:rPr>
          <w:t>Целевые показатели</w:t>
        </w:r>
        <w:r w:rsidR="0044642E">
          <w:rPr>
            <w:webHidden/>
          </w:rPr>
          <w:tab/>
        </w:r>
        <w:r w:rsidR="0044642E">
          <w:rPr>
            <w:webHidden/>
            <w:lang w:val="ru-RU"/>
          </w:rPr>
          <w:tab/>
        </w:r>
        <w:r w:rsidR="0044642E">
          <w:rPr>
            <w:webHidden/>
          </w:rPr>
          <w:fldChar w:fldCharType="begin"/>
        </w:r>
        <w:r w:rsidR="0044642E">
          <w:rPr>
            <w:webHidden/>
          </w:rPr>
          <w:instrText xml:space="preserve"> PAGEREF _Toc377482118 \h </w:instrText>
        </w:r>
        <w:r w:rsidR="0044642E">
          <w:rPr>
            <w:webHidden/>
          </w:rPr>
        </w:r>
        <w:r w:rsidR="0044642E">
          <w:rPr>
            <w:webHidden/>
          </w:rPr>
          <w:fldChar w:fldCharType="separate"/>
        </w:r>
        <w:r w:rsidR="00FE5200">
          <w:rPr>
            <w:webHidden/>
          </w:rPr>
          <w:t>25</w:t>
        </w:r>
        <w:r w:rsidR="0044642E">
          <w:rPr>
            <w:webHidden/>
          </w:rPr>
          <w:fldChar w:fldCharType="end"/>
        </w:r>
      </w:hyperlink>
    </w:p>
    <w:p w:rsidR="0044642E" w:rsidRDefault="00E57763" w:rsidP="00D3476D">
      <w:pPr>
        <w:pStyle w:val="TOC2"/>
        <w:tabs>
          <w:tab w:val="clear" w:pos="9071"/>
          <w:tab w:val="right" w:pos="9072"/>
        </w:tabs>
        <w:spacing w:before="160"/>
        <w:rPr>
          <w:rFonts w:asciiTheme="minorHAnsi" w:hAnsiTheme="minorHAnsi" w:cstheme="minorBidi"/>
          <w:bCs w:val="0"/>
          <w:sz w:val="22"/>
          <w:szCs w:val="22"/>
          <w:lang w:val="ru-RU" w:eastAsia="zh-CN"/>
        </w:rPr>
      </w:pPr>
      <w:hyperlink w:anchor="_Toc377482119" w:history="1">
        <w:r w:rsidR="0044642E" w:rsidRPr="004D0D10">
          <w:rPr>
            <w:rStyle w:val="Hyperlink"/>
            <w:lang w:val="ru-RU"/>
          </w:rPr>
          <w:t>9.6</w:t>
        </w:r>
        <w:r w:rsidR="0044642E">
          <w:rPr>
            <w:rFonts w:asciiTheme="minorHAnsi" w:hAnsiTheme="minorHAnsi" w:cstheme="minorBidi"/>
            <w:bCs w:val="0"/>
            <w:sz w:val="22"/>
            <w:szCs w:val="22"/>
            <w:lang w:val="ru-RU" w:eastAsia="zh-CN"/>
          </w:rPr>
          <w:tab/>
        </w:r>
        <w:r w:rsidR="0044642E" w:rsidRPr="004D0D10">
          <w:rPr>
            <w:rStyle w:val="Hyperlink"/>
            <w:lang w:val="ru-RU"/>
          </w:rPr>
          <w:t>Измерения</w:t>
        </w:r>
        <w:r w:rsidR="0044642E">
          <w:rPr>
            <w:webHidden/>
          </w:rPr>
          <w:tab/>
        </w:r>
        <w:r w:rsidR="0044642E">
          <w:rPr>
            <w:webHidden/>
            <w:lang w:val="ru-RU"/>
          </w:rPr>
          <w:tab/>
        </w:r>
        <w:r w:rsidR="0044642E">
          <w:rPr>
            <w:webHidden/>
          </w:rPr>
          <w:fldChar w:fldCharType="begin"/>
        </w:r>
        <w:r w:rsidR="0044642E">
          <w:rPr>
            <w:webHidden/>
          </w:rPr>
          <w:instrText xml:space="preserve"> PAGEREF _Toc377482119 \h </w:instrText>
        </w:r>
        <w:r w:rsidR="0044642E">
          <w:rPr>
            <w:webHidden/>
          </w:rPr>
        </w:r>
        <w:r w:rsidR="0044642E">
          <w:rPr>
            <w:webHidden/>
          </w:rPr>
          <w:fldChar w:fldCharType="separate"/>
        </w:r>
        <w:r w:rsidR="00FE5200">
          <w:rPr>
            <w:webHidden/>
          </w:rPr>
          <w:t>26</w:t>
        </w:r>
        <w:r w:rsidR="0044642E">
          <w:rPr>
            <w:webHidden/>
          </w:rPr>
          <w:fldChar w:fldCharType="end"/>
        </w:r>
      </w:hyperlink>
    </w:p>
    <w:p w:rsidR="0044642E" w:rsidRDefault="00E57763" w:rsidP="00D3476D">
      <w:pPr>
        <w:pStyle w:val="TOC2"/>
        <w:tabs>
          <w:tab w:val="clear" w:pos="9071"/>
          <w:tab w:val="right" w:pos="9072"/>
        </w:tabs>
        <w:spacing w:before="160"/>
        <w:rPr>
          <w:rFonts w:asciiTheme="minorHAnsi" w:hAnsiTheme="minorHAnsi" w:cstheme="minorBidi"/>
          <w:bCs w:val="0"/>
          <w:sz w:val="22"/>
          <w:szCs w:val="22"/>
          <w:lang w:val="ru-RU" w:eastAsia="zh-CN"/>
        </w:rPr>
      </w:pPr>
      <w:hyperlink w:anchor="_Toc377482120" w:history="1">
        <w:r w:rsidR="0044642E" w:rsidRPr="004D0D10">
          <w:rPr>
            <w:rStyle w:val="Hyperlink"/>
            <w:rFonts w:cs="Arial"/>
            <w:lang w:val="ru-RU"/>
          </w:rPr>
          <w:t>9.7</w:t>
        </w:r>
        <w:r w:rsidR="0044642E">
          <w:rPr>
            <w:rFonts w:asciiTheme="minorHAnsi" w:hAnsiTheme="minorHAnsi" w:cstheme="minorBidi"/>
            <w:bCs w:val="0"/>
            <w:sz w:val="22"/>
            <w:szCs w:val="22"/>
            <w:lang w:val="ru-RU" w:eastAsia="zh-CN"/>
          </w:rPr>
          <w:tab/>
        </w:r>
        <w:r w:rsidR="0044642E" w:rsidRPr="004D0D10">
          <w:rPr>
            <w:rStyle w:val="Hyperlink"/>
            <w:lang w:val="ru-RU"/>
          </w:rPr>
          <w:t>Публикация результатов измерений регуляторными органами</w:t>
        </w:r>
        <w:r w:rsidR="0044642E">
          <w:rPr>
            <w:webHidden/>
          </w:rPr>
          <w:tab/>
        </w:r>
        <w:r w:rsidR="0044642E">
          <w:rPr>
            <w:webHidden/>
            <w:lang w:val="ru-RU"/>
          </w:rPr>
          <w:tab/>
        </w:r>
        <w:r w:rsidR="0044642E">
          <w:rPr>
            <w:webHidden/>
          </w:rPr>
          <w:fldChar w:fldCharType="begin"/>
        </w:r>
        <w:r w:rsidR="0044642E">
          <w:rPr>
            <w:webHidden/>
          </w:rPr>
          <w:instrText xml:space="preserve"> PAGEREF _Toc377482120 \h </w:instrText>
        </w:r>
        <w:r w:rsidR="0044642E">
          <w:rPr>
            <w:webHidden/>
          </w:rPr>
        </w:r>
        <w:r w:rsidR="0044642E">
          <w:rPr>
            <w:webHidden/>
          </w:rPr>
          <w:fldChar w:fldCharType="separate"/>
        </w:r>
        <w:r w:rsidR="00FE5200">
          <w:rPr>
            <w:webHidden/>
          </w:rPr>
          <w:t>26</w:t>
        </w:r>
        <w:r w:rsidR="0044642E">
          <w:rPr>
            <w:webHidden/>
          </w:rPr>
          <w:fldChar w:fldCharType="end"/>
        </w:r>
      </w:hyperlink>
    </w:p>
    <w:p w:rsidR="0044642E" w:rsidRDefault="00E57763" w:rsidP="00D3476D">
      <w:pPr>
        <w:pStyle w:val="TOC2"/>
        <w:tabs>
          <w:tab w:val="clear" w:pos="9071"/>
          <w:tab w:val="right" w:pos="9072"/>
        </w:tabs>
        <w:spacing w:before="160"/>
        <w:rPr>
          <w:rFonts w:asciiTheme="minorHAnsi" w:hAnsiTheme="minorHAnsi" w:cstheme="minorBidi"/>
          <w:bCs w:val="0"/>
          <w:sz w:val="22"/>
          <w:szCs w:val="22"/>
          <w:lang w:val="ru-RU" w:eastAsia="zh-CN"/>
        </w:rPr>
      </w:pPr>
      <w:hyperlink w:anchor="_Toc377482121" w:history="1">
        <w:r w:rsidR="0044642E" w:rsidRPr="004D0D10">
          <w:rPr>
            <w:rStyle w:val="Hyperlink"/>
            <w:lang w:val="ru-RU"/>
          </w:rPr>
          <w:t>9.8</w:t>
        </w:r>
        <w:r w:rsidR="0044642E">
          <w:rPr>
            <w:rFonts w:asciiTheme="minorHAnsi" w:hAnsiTheme="minorHAnsi" w:cstheme="minorBidi"/>
            <w:bCs w:val="0"/>
            <w:sz w:val="22"/>
            <w:szCs w:val="22"/>
            <w:lang w:val="ru-RU" w:eastAsia="zh-CN"/>
          </w:rPr>
          <w:tab/>
        </w:r>
        <w:r w:rsidR="0044642E" w:rsidRPr="004D0D10">
          <w:rPr>
            <w:rStyle w:val="Hyperlink"/>
            <w:lang w:val="ru-RU"/>
          </w:rPr>
          <w:t>Содержание и формат публикации</w:t>
        </w:r>
        <w:r w:rsidR="0044642E">
          <w:rPr>
            <w:webHidden/>
          </w:rPr>
          <w:tab/>
        </w:r>
        <w:r w:rsidR="0044642E">
          <w:rPr>
            <w:webHidden/>
            <w:lang w:val="ru-RU"/>
          </w:rPr>
          <w:tab/>
        </w:r>
        <w:r w:rsidR="0044642E">
          <w:rPr>
            <w:webHidden/>
          </w:rPr>
          <w:fldChar w:fldCharType="begin"/>
        </w:r>
        <w:r w:rsidR="0044642E">
          <w:rPr>
            <w:webHidden/>
          </w:rPr>
          <w:instrText xml:space="preserve"> PAGEREF _Toc377482121 \h </w:instrText>
        </w:r>
        <w:r w:rsidR="0044642E">
          <w:rPr>
            <w:webHidden/>
          </w:rPr>
        </w:r>
        <w:r w:rsidR="0044642E">
          <w:rPr>
            <w:webHidden/>
          </w:rPr>
          <w:fldChar w:fldCharType="separate"/>
        </w:r>
        <w:r w:rsidR="00FE5200">
          <w:rPr>
            <w:webHidden/>
          </w:rPr>
          <w:t>26</w:t>
        </w:r>
        <w:r w:rsidR="0044642E">
          <w:rPr>
            <w:webHidden/>
          </w:rPr>
          <w:fldChar w:fldCharType="end"/>
        </w:r>
      </w:hyperlink>
    </w:p>
    <w:p w:rsidR="0044642E" w:rsidRDefault="00E57763" w:rsidP="00D3476D">
      <w:pPr>
        <w:pStyle w:val="TOC2"/>
        <w:tabs>
          <w:tab w:val="clear" w:pos="9071"/>
          <w:tab w:val="right" w:pos="9072"/>
        </w:tabs>
        <w:spacing w:before="160"/>
        <w:rPr>
          <w:rFonts w:asciiTheme="minorHAnsi" w:hAnsiTheme="minorHAnsi" w:cstheme="minorBidi"/>
          <w:bCs w:val="0"/>
          <w:sz w:val="22"/>
          <w:szCs w:val="22"/>
          <w:lang w:val="ru-RU" w:eastAsia="zh-CN"/>
        </w:rPr>
      </w:pPr>
      <w:hyperlink w:anchor="_Toc377482122" w:history="1">
        <w:r w:rsidR="0044642E" w:rsidRPr="004D0D10">
          <w:rPr>
            <w:rStyle w:val="Hyperlink"/>
            <w:rFonts w:cs="Arial"/>
          </w:rPr>
          <w:t>9.9</w:t>
        </w:r>
        <w:r w:rsidR="0044642E">
          <w:rPr>
            <w:rFonts w:asciiTheme="minorHAnsi" w:hAnsiTheme="minorHAnsi" w:cstheme="minorBidi"/>
            <w:bCs w:val="0"/>
            <w:sz w:val="22"/>
            <w:szCs w:val="22"/>
            <w:lang w:val="ru-RU" w:eastAsia="zh-CN"/>
          </w:rPr>
          <w:tab/>
        </w:r>
        <w:r w:rsidR="0044642E" w:rsidRPr="004D0D10">
          <w:rPr>
            <w:rStyle w:val="Hyperlink"/>
          </w:rPr>
          <w:t>Проверка и расследования</w:t>
        </w:r>
        <w:r w:rsidR="0044642E">
          <w:rPr>
            <w:webHidden/>
          </w:rPr>
          <w:tab/>
        </w:r>
        <w:r w:rsidR="0044642E">
          <w:rPr>
            <w:webHidden/>
            <w:lang w:val="ru-RU"/>
          </w:rPr>
          <w:tab/>
        </w:r>
        <w:r w:rsidR="0044642E">
          <w:rPr>
            <w:webHidden/>
          </w:rPr>
          <w:fldChar w:fldCharType="begin"/>
        </w:r>
        <w:r w:rsidR="0044642E">
          <w:rPr>
            <w:webHidden/>
          </w:rPr>
          <w:instrText xml:space="preserve"> PAGEREF _Toc377482122 \h </w:instrText>
        </w:r>
        <w:r w:rsidR="0044642E">
          <w:rPr>
            <w:webHidden/>
          </w:rPr>
        </w:r>
        <w:r w:rsidR="0044642E">
          <w:rPr>
            <w:webHidden/>
          </w:rPr>
          <w:fldChar w:fldCharType="separate"/>
        </w:r>
        <w:r w:rsidR="00FE5200">
          <w:rPr>
            <w:webHidden/>
          </w:rPr>
          <w:t>27</w:t>
        </w:r>
        <w:r w:rsidR="0044642E">
          <w:rPr>
            <w:webHidden/>
          </w:rPr>
          <w:fldChar w:fldCharType="end"/>
        </w:r>
      </w:hyperlink>
    </w:p>
    <w:p w:rsidR="0044642E" w:rsidRDefault="00E57763" w:rsidP="00D3476D">
      <w:pPr>
        <w:pStyle w:val="TOC2"/>
        <w:tabs>
          <w:tab w:val="clear" w:pos="9071"/>
          <w:tab w:val="right" w:pos="9072"/>
        </w:tabs>
        <w:spacing w:before="160"/>
        <w:rPr>
          <w:rFonts w:asciiTheme="minorHAnsi" w:hAnsiTheme="minorHAnsi" w:cstheme="minorBidi"/>
          <w:bCs w:val="0"/>
          <w:sz w:val="22"/>
          <w:szCs w:val="22"/>
          <w:lang w:val="ru-RU" w:eastAsia="zh-CN"/>
        </w:rPr>
      </w:pPr>
      <w:hyperlink w:anchor="_Toc377482123" w:history="1">
        <w:r w:rsidR="0044642E" w:rsidRPr="004D0D10">
          <w:rPr>
            <w:rStyle w:val="Hyperlink"/>
            <w:lang w:val="ru-RU"/>
          </w:rPr>
          <w:t>9.10</w:t>
        </w:r>
        <w:r w:rsidR="0044642E">
          <w:rPr>
            <w:rFonts w:asciiTheme="minorHAnsi" w:hAnsiTheme="minorHAnsi" w:cstheme="minorBidi"/>
            <w:bCs w:val="0"/>
            <w:sz w:val="22"/>
            <w:szCs w:val="22"/>
            <w:lang w:val="ru-RU" w:eastAsia="zh-CN"/>
          </w:rPr>
          <w:tab/>
        </w:r>
        <w:r w:rsidR="0044642E" w:rsidRPr="004D0D10">
          <w:rPr>
            <w:rStyle w:val="Hyperlink"/>
            <w:lang w:val="ru-RU"/>
          </w:rPr>
          <w:t>Внесение поправок в Руководящие указания</w:t>
        </w:r>
        <w:r w:rsidR="0044642E">
          <w:rPr>
            <w:webHidden/>
          </w:rPr>
          <w:tab/>
        </w:r>
        <w:r w:rsidR="0044642E">
          <w:rPr>
            <w:webHidden/>
            <w:lang w:val="ru-RU"/>
          </w:rPr>
          <w:tab/>
        </w:r>
        <w:r w:rsidR="0044642E">
          <w:rPr>
            <w:webHidden/>
          </w:rPr>
          <w:fldChar w:fldCharType="begin"/>
        </w:r>
        <w:r w:rsidR="0044642E">
          <w:rPr>
            <w:webHidden/>
          </w:rPr>
          <w:instrText xml:space="preserve"> PAGEREF _Toc377482123 \h </w:instrText>
        </w:r>
        <w:r w:rsidR="0044642E">
          <w:rPr>
            <w:webHidden/>
          </w:rPr>
        </w:r>
        <w:r w:rsidR="0044642E">
          <w:rPr>
            <w:webHidden/>
          </w:rPr>
          <w:fldChar w:fldCharType="separate"/>
        </w:r>
        <w:r w:rsidR="00FE5200">
          <w:rPr>
            <w:webHidden/>
          </w:rPr>
          <w:t>27</w:t>
        </w:r>
        <w:r w:rsidR="0044642E">
          <w:rPr>
            <w:webHidden/>
          </w:rPr>
          <w:fldChar w:fldCharType="end"/>
        </w:r>
      </w:hyperlink>
    </w:p>
    <w:p w:rsidR="0044642E" w:rsidRDefault="00E57763" w:rsidP="00FE5200">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77482124" w:history="1">
        <w:r w:rsidR="0044642E" w:rsidRPr="004D0D10">
          <w:rPr>
            <w:rStyle w:val="Hyperlink"/>
          </w:rPr>
          <w:t>I</w:t>
        </w:r>
        <w:r w:rsidR="0044642E">
          <w:rPr>
            <w:rFonts w:asciiTheme="minorHAnsi" w:eastAsiaTheme="minorEastAsia" w:hAnsiTheme="minorHAnsi" w:cstheme="minorBidi"/>
            <w:b w:val="0"/>
            <w:bCs w:val="0"/>
            <w:sz w:val="22"/>
            <w:szCs w:val="22"/>
            <w:lang w:val="ru-RU" w:eastAsia="zh-CN"/>
          </w:rPr>
          <w:tab/>
        </w:r>
        <w:r w:rsidR="00FE5200">
          <w:t>Annexes</w:t>
        </w:r>
        <w:r w:rsidR="0044642E">
          <w:rPr>
            <w:webHidden/>
          </w:rPr>
          <w:tab/>
        </w:r>
        <w:r w:rsidR="0044642E">
          <w:rPr>
            <w:webHidden/>
            <w:lang w:val="ru-RU"/>
          </w:rPr>
          <w:tab/>
        </w:r>
        <w:r w:rsidR="0044642E">
          <w:rPr>
            <w:webHidden/>
          </w:rPr>
          <w:fldChar w:fldCharType="begin"/>
        </w:r>
        <w:r w:rsidR="0044642E">
          <w:rPr>
            <w:webHidden/>
          </w:rPr>
          <w:instrText xml:space="preserve"> PAGEREF _Toc377482124 \h </w:instrText>
        </w:r>
        <w:r w:rsidR="0044642E">
          <w:rPr>
            <w:webHidden/>
          </w:rPr>
        </w:r>
        <w:r w:rsidR="0044642E">
          <w:rPr>
            <w:webHidden/>
          </w:rPr>
          <w:fldChar w:fldCharType="separate"/>
        </w:r>
        <w:r w:rsidR="00FE5200">
          <w:rPr>
            <w:webHidden/>
          </w:rPr>
          <w:t>29</w:t>
        </w:r>
        <w:r w:rsidR="0044642E">
          <w:rPr>
            <w:webHidden/>
          </w:rPr>
          <w:fldChar w:fldCharType="end"/>
        </w:r>
      </w:hyperlink>
    </w:p>
    <w:p w:rsidR="0044642E" w:rsidRDefault="00E57763" w:rsidP="0044642E">
      <w:pPr>
        <w:pStyle w:val="TOC1"/>
        <w:tabs>
          <w:tab w:val="clear" w:pos="567"/>
          <w:tab w:val="clear" w:pos="9071"/>
          <w:tab w:val="right" w:pos="9072"/>
        </w:tabs>
        <w:ind w:left="1134" w:right="566" w:hanging="1134"/>
        <w:rPr>
          <w:rFonts w:asciiTheme="minorHAnsi" w:eastAsiaTheme="minorEastAsia" w:hAnsiTheme="minorHAnsi" w:cstheme="minorBidi"/>
          <w:b w:val="0"/>
          <w:bCs w:val="0"/>
          <w:sz w:val="22"/>
          <w:szCs w:val="22"/>
          <w:lang w:val="ru-RU" w:eastAsia="zh-CN"/>
        </w:rPr>
      </w:pPr>
      <w:hyperlink w:anchor="_Toc377482127" w:history="1">
        <w:r w:rsidR="0044642E" w:rsidRPr="004D0D10">
          <w:rPr>
            <w:rStyle w:val="Hyperlink"/>
          </w:rPr>
          <w:t>Annex</w:t>
        </w:r>
        <w:r w:rsidR="0044642E" w:rsidRPr="004D0D10">
          <w:rPr>
            <w:rStyle w:val="Hyperlink"/>
            <w:lang w:val="ru-RU"/>
          </w:rPr>
          <w:t xml:space="preserve"> 1: </w:t>
        </w:r>
        <w:r w:rsidR="0044642E">
          <w:rPr>
            <w:rFonts w:asciiTheme="minorHAnsi" w:eastAsiaTheme="minorEastAsia" w:hAnsiTheme="minorHAnsi" w:cstheme="minorBidi"/>
            <w:b w:val="0"/>
            <w:bCs w:val="0"/>
            <w:sz w:val="22"/>
            <w:szCs w:val="22"/>
            <w:lang w:val="ru-RU" w:eastAsia="zh-CN"/>
          </w:rPr>
          <w:tab/>
        </w:r>
        <w:r w:rsidR="0044642E" w:rsidRPr="004D0D10">
          <w:rPr>
            <w:rStyle w:val="Hyperlink"/>
          </w:rPr>
          <w:t>RF</w:t>
        </w:r>
        <w:r w:rsidR="0044642E" w:rsidRPr="004D0D10">
          <w:rPr>
            <w:rStyle w:val="Hyperlink"/>
            <w:lang w:val="ru-RU"/>
          </w:rPr>
          <w:t xml:space="preserve"> </w:t>
        </w:r>
        <w:r w:rsidR="0044642E" w:rsidRPr="004D0D10">
          <w:rPr>
            <w:rStyle w:val="Hyperlink"/>
          </w:rPr>
          <w:t>Exposure</w:t>
        </w:r>
        <w:r w:rsidR="0044642E" w:rsidRPr="004D0D10">
          <w:rPr>
            <w:rStyle w:val="Hyperlink"/>
            <w:lang w:val="ru-RU"/>
          </w:rPr>
          <w:t xml:space="preserve"> </w:t>
        </w:r>
        <w:r w:rsidR="0044642E" w:rsidRPr="004D0D10">
          <w:rPr>
            <w:rStyle w:val="Hyperlink"/>
          </w:rPr>
          <w:t>Units</w:t>
        </w:r>
        <w:r w:rsidR="0044642E" w:rsidRPr="004D0D10">
          <w:rPr>
            <w:rStyle w:val="Hyperlink"/>
            <w:lang w:val="ru-RU"/>
          </w:rPr>
          <w:t xml:space="preserve"> </w:t>
        </w:r>
        <w:r w:rsidR="0044642E" w:rsidRPr="004D0D10">
          <w:rPr>
            <w:rStyle w:val="Hyperlink"/>
          </w:rPr>
          <w:t>and</w:t>
        </w:r>
        <w:r w:rsidR="0044642E" w:rsidRPr="004D0D10">
          <w:rPr>
            <w:rStyle w:val="Hyperlink"/>
            <w:lang w:val="ru-RU"/>
          </w:rPr>
          <w:t xml:space="preserve"> </w:t>
        </w:r>
        <w:r w:rsidR="0044642E" w:rsidRPr="004D0D10">
          <w:rPr>
            <w:rStyle w:val="Hyperlink"/>
          </w:rPr>
          <w:t>Standards</w:t>
        </w:r>
        <w:r w:rsidR="0044642E">
          <w:rPr>
            <w:webHidden/>
          </w:rPr>
          <w:tab/>
        </w:r>
        <w:r w:rsidR="0044642E">
          <w:rPr>
            <w:webHidden/>
            <w:lang w:val="ru-RU"/>
          </w:rPr>
          <w:tab/>
        </w:r>
        <w:r w:rsidR="0044642E">
          <w:rPr>
            <w:webHidden/>
          </w:rPr>
          <w:fldChar w:fldCharType="begin"/>
        </w:r>
        <w:r w:rsidR="0044642E">
          <w:rPr>
            <w:webHidden/>
          </w:rPr>
          <w:instrText xml:space="preserve"> PAGEREF _Toc377482127 \h </w:instrText>
        </w:r>
        <w:r w:rsidR="0044642E">
          <w:rPr>
            <w:webHidden/>
          </w:rPr>
        </w:r>
        <w:r w:rsidR="0044642E">
          <w:rPr>
            <w:webHidden/>
          </w:rPr>
          <w:fldChar w:fldCharType="separate"/>
        </w:r>
        <w:r w:rsidR="00FE5200">
          <w:rPr>
            <w:webHidden/>
          </w:rPr>
          <w:t>31</w:t>
        </w:r>
        <w:r w:rsidR="0044642E">
          <w:rPr>
            <w:webHidden/>
          </w:rPr>
          <w:fldChar w:fldCharType="end"/>
        </w:r>
      </w:hyperlink>
    </w:p>
    <w:p w:rsidR="0044642E" w:rsidRDefault="00E57763" w:rsidP="0044642E">
      <w:pPr>
        <w:pStyle w:val="TOC1"/>
        <w:tabs>
          <w:tab w:val="clear" w:pos="567"/>
          <w:tab w:val="clear" w:pos="9071"/>
          <w:tab w:val="right" w:pos="9072"/>
        </w:tabs>
        <w:ind w:left="1134" w:right="566" w:hanging="1134"/>
        <w:rPr>
          <w:rFonts w:asciiTheme="minorHAnsi" w:eastAsiaTheme="minorEastAsia" w:hAnsiTheme="minorHAnsi" w:cstheme="minorBidi"/>
          <w:b w:val="0"/>
          <w:bCs w:val="0"/>
          <w:sz w:val="22"/>
          <w:szCs w:val="22"/>
          <w:lang w:val="ru-RU" w:eastAsia="zh-CN"/>
        </w:rPr>
      </w:pPr>
      <w:hyperlink w:anchor="_Toc377482128" w:history="1">
        <w:r w:rsidR="0044642E" w:rsidRPr="004D0D10">
          <w:rPr>
            <w:rStyle w:val="Hyperlink"/>
          </w:rPr>
          <w:t xml:space="preserve">Annex 2: </w:t>
        </w:r>
        <w:r w:rsidR="0044642E">
          <w:rPr>
            <w:rFonts w:asciiTheme="minorHAnsi" w:eastAsiaTheme="minorEastAsia" w:hAnsiTheme="minorHAnsi" w:cstheme="minorBidi"/>
            <w:b w:val="0"/>
            <w:bCs w:val="0"/>
            <w:sz w:val="22"/>
            <w:szCs w:val="22"/>
            <w:lang w:val="ru-RU" w:eastAsia="zh-CN"/>
          </w:rPr>
          <w:tab/>
        </w:r>
        <w:r w:rsidR="0044642E" w:rsidRPr="004D0D10">
          <w:rPr>
            <w:rStyle w:val="Hyperlink"/>
          </w:rPr>
          <w:t>ICNIRP 1998 Exposure Levels and IEEE Levels</w:t>
        </w:r>
        <w:r w:rsidR="0044642E">
          <w:rPr>
            <w:webHidden/>
          </w:rPr>
          <w:tab/>
        </w:r>
        <w:r w:rsidR="0044642E">
          <w:rPr>
            <w:webHidden/>
            <w:lang w:val="ru-RU"/>
          </w:rPr>
          <w:tab/>
        </w:r>
        <w:r w:rsidR="0044642E">
          <w:rPr>
            <w:webHidden/>
          </w:rPr>
          <w:fldChar w:fldCharType="begin"/>
        </w:r>
        <w:r w:rsidR="0044642E">
          <w:rPr>
            <w:webHidden/>
          </w:rPr>
          <w:instrText xml:space="preserve"> PAGEREF _Toc377482128 \h </w:instrText>
        </w:r>
        <w:r w:rsidR="0044642E">
          <w:rPr>
            <w:webHidden/>
          </w:rPr>
        </w:r>
        <w:r w:rsidR="0044642E">
          <w:rPr>
            <w:webHidden/>
          </w:rPr>
          <w:fldChar w:fldCharType="separate"/>
        </w:r>
        <w:r w:rsidR="00FE5200">
          <w:rPr>
            <w:webHidden/>
          </w:rPr>
          <w:t>32</w:t>
        </w:r>
        <w:r w:rsidR="0044642E">
          <w:rPr>
            <w:webHidden/>
          </w:rPr>
          <w:fldChar w:fldCharType="end"/>
        </w:r>
      </w:hyperlink>
    </w:p>
    <w:p w:rsidR="0044642E" w:rsidRDefault="00E57763" w:rsidP="0044642E">
      <w:pPr>
        <w:pStyle w:val="TOC1"/>
        <w:tabs>
          <w:tab w:val="clear" w:pos="567"/>
          <w:tab w:val="clear" w:pos="9071"/>
          <w:tab w:val="right" w:pos="9072"/>
        </w:tabs>
        <w:ind w:left="1134" w:right="566" w:hanging="1134"/>
        <w:rPr>
          <w:rFonts w:asciiTheme="minorHAnsi" w:eastAsiaTheme="minorEastAsia" w:hAnsiTheme="minorHAnsi" w:cstheme="minorBidi"/>
          <w:b w:val="0"/>
          <w:bCs w:val="0"/>
          <w:sz w:val="22"/>
          <w:szCs w:val="22"/>
          <w:lang w:val="ru-RU" w:eastAsia="zh-CN"/>
        </w:rPr>
      </w:pPr>
      <w:hyperlink w:anchor="_Toc377482131" w:history="1">
        <w:r w:rsidR="0044642E" w:rsidRPr="004D0D10">
          <w:rPr>
            <w:rStyle w:val="Hyperlink"/>
          </w:rPr>
          <w:t xml:space="preserve">Annex 3: </w:t>
        </w:r>
        <w:r w:rsidR="0044642E">
          <w:rPr>
            <w:rFonts w:asciiTheme="minorHAnsi" w:eastAsiaTheme="minorEastAsia" w:hAnsiTheme="minorHAnsi" w:cstheme="minorBidi"/>
            <w:b w:val="0"/>
            <w:bCs w:val="0"/>
            <w:sz w:val="22"/>
            <w:szCs w:val="22"/>
            <w:lang w:val="ru-RU" w:eastAsia="zh-CN"/>
          </w:rPr>
          <w:tab/>
        </w:r>
        <w:r w:rsidR="0044642E" w:rsidRPr="004D0D10">
          <w:rPr>
            <w:rStyle w:val="Hyperlink"/>
          </w:rPr>
          <w:t>Mandate of Question 23/1 (WTDC-10/139 (Rev.1))*.</w:t>
        </w:r>
        <w:r w:rsidR="0044642E">
          <w:rPr>
            <w:webHidden/>
          </w:rPr>
          <w:tab/>
        </w:r>
        <w:r w:rsidR="0044642E">
          <w:rPr>
            <w:webHidden/>
            <w:lang w:val="ru-RU"/>
          </w:rPr>
          <w:tab/>
        </w:r>
        <w:r w:rsidR="0044642E">
          <w:rPr>
            <w:webHidden/>
          </w:rPr>
          <w:fldChar w:fldCharType="begin"/>
        </w:r>
        <w:r w:rsidR="0044642E">
          <w:rPr>
            <w:webHidden/>
          </w:rPr>
          <w:instrText xml:space="preserve"> PAGEREF _Toc377482131 \h </w:instrText>
        </w:r>
        <w:r w:rsidR="0044642E">
          <w:rPr>
            <w:webHidden/>
          </w:rPr>
        </w:r>
        <w:r w:rsidR="0044642E">
          <w:rPr>
            <w:webHidden/>
          </w:rPr>
          <w:fldChar w:fldCharType="separate"/>
        </w:r>
        <w:r w:rsidR="00FE5200">
          <w:rPr>
            <w:webHidden/>
          </w:rPr>
          <w:t>35</w:t>
        </w:r>
        <w:r w:rsidR="0044642E">
          <w:rPr>
            <w:webHidden/>
          </w:rPr>
          <w:fldChar w:fldCharType="end"/>
        </w:r>
      </w:hyperlink>
    </w:p>
    <w:p w:rsidR="0044642E" w:rsidRDefault="00E57763" w:rsidP="0044642E">
      <w:pPr>
        <w:pStyle w:val="TOC1"/>
        <w:tabs>
          <w:tab w:val="clear" w:pos="567"/>
          <w:tab w:val="clear" w:pos="9071"/>
          <w:tab w:val="right" w:pos="9072"/>
        </w:tabs>
        <w:ind w:left="1134" w:right="566" w:hanging="1134"/>
        <w:rPr>
          <w:rFonts w:asciiTheme="minorHAnsi" w:eastAsiaTheme="minorEastAsia" w:hAnsiTheme="minorHAnsi" w:cstheme="minorBidi"/>
          <w:b w:val="0"/>
          <w:bCs w:val="0"/>
          <w:sz w:val="22"/>
          <w:szCs w:val="22"/>
          <w:lang w:val="ru-RU" w:eastAsia="zh-CN"/>
        </w:rPr>
      </w:pPr>
      <w:hyperlink w:anchor="_Toc377482132" w:history="1">
        <w:r w:rsidR="0044642E" w:rsidRPr="004D0D10">
          <w:rPr>
            <w:rStyle w:val="Hyperlink"/>
          </w:rPr>
          <w:t xml:space="preserve">Annex 4: </w:t>
        </w:r>
        <w:r w:rsidR="0044642E">
          <w:rPr>
            <w:rFonts w:asciiTheme="minorHAnsi" w:eastAsiaTheme="minorEastAsia" w:hAnsiTheme="minorHAnsi" w:cstheme="minorBidi"/>
            <w:b w:val="0"/>
            <w:bCs w:val="0"/>
            <w:sz w:val="22"/>
            <w:szCs w:val="22"/>
            <w:lang w:val="ru-RU" w:eastAsia="zh-CN"/>
          </w:rPr>
          <w:tab/>
        </w:r>
        <w:r w:rsidR="0044642E" w:rsidRPr="004D0D10">
          <w:rPr>
            <w:rStyle w:val="Hyperlink"/>
          </w:rPr>
          <w:t>WTSA-12 Resolution 72 on “Measurement concerns related to human exposure to electromagnetic fields”'</w:t>
        </w:r>
        <w:r w:rsidR="0044642E">
          <w:rPr>
            <w:webHidden/>
          </w:rPr>
          <w:tab/>
        </w:r>
        <w:r w:rsidR="0044642E">
          <w:rPr>
            <w:webHidden/>
            <w:lang w:val="ru-RU"/>
          </w:rPr>
          <w:tab/>
        </w:r>
        <w:r w:rsidR="0044642E">
          <w:rPr>
            <w:webHidden/>
          </w:rPr>
          <w:fldChar w:fldCharType="begin"/>
        </w:r>
        <w:r w:rsidR="0044642E">
          <w:rPr>
            <w:webHidden/>
          </w:rPr>
          <w:instrText xml:space="preserve"> PAGEREF _Toc377482132 \h </w:instrText>
        </w:r>
        <w:r w:rsidR="0044642E">
          <w:rPr>
            <w:webHidden/>
          </w:rPr>
        </w:r>
        <w:r w:rsidR="0044642E">
          <w:rPr>
            <w:webHidden/>
          </w:rPr>
          <w:fldChar w:fldCharType="separate"/>
        </w:r>
        <w:r w:rsidR="00FE5200">
          <w:rPr>
            <w:webHidden/>
          </w:rPr>
          <w:t>36</w:t>
        </w:r>
        <w:r w:rsidR="0044642E">
          <w:rPr>
            <w:webHidden/>
          </w:rPr>
          <w:fldChar w:fldCharType="end"/>
        </w:r>
      </w:hyperlink>
    </w:p>
    <w:p w:rsidR="0044642E" w:rsidRDefault="00E57763" w:rsidP="0044642E">
      <w:pPr>
        <w:pStyle w:val="TOC1"/>
        <w:tabs>
          <w:tab w:val="clear" w:pos="567"/>
          <w:tab w:val="clear" w:pos="9071"/>
          <w:tab w:val="right" w:pos="9072"/>
        </w:tabs>
        <w:ind w:left="1134" w:right="566" w:hanging="1134"/>
        <w:rPr>
          <w:rFonts w:asciiTheme="minorHAnsi" w:eastAsiaTheme="minorEastAsia" w:hAnsiTheme="minorHAnsi" w:cstheme="minorBidi"/>
          <w:b w:val="0"/>
          <w:bCs w:val="0"/>
          <w:sz w:val="22"/>
          <w:szCs w:val="22"/>
          <w:lang w:val="ru-RU" w:eastAsia="zh-CN"/>
        </w:rPr>
      </w:pPr>
      <w:hyperlink w:anchor="_Toc377482133" w:history="1">
        <w:r w:rsidR="0044642E" w:rsidRPr="004D0D10">
          <w:rPr>
            <w:rStyle w:val="Hyperlink"/>
          </w:rPr>
          <w:t xml:space="preserve">Annex 5: </w:t>
        </w:r>
        <w:r w:rsidR="0044642E">
          <w:rPr>
            <w:rFonts w:asciiTheme="minorHAnsi" w:eastAsiaTheme="minorEastAsia" w:hAnsiTheme="minorHAnsi" w:cstheme="minorBidi"/>
            <w:b w:val="0"/>
            <w:bCs w:val="0"/>
            <w:sz w:val="22"/>
            <w:szCs w:val="22"/>
            <w:lang w:val="ru-RU" w:eastAsia="zh-CN"/>
          </w:rPr>
          <w:tab/>
        </w:r>
        <w:r w:rsidR="0044642E" w:rsidRPr="004D0D10">
          <w:rPr>
            <w:rStyle w:val="Hyperlink"/>
          </w:rPr>
          <w:t>WTDC-10 Resolution 62 on "Measurement concerns related to human exposure to EMF"</w:t>
        </w:r>
        <w:r w:rsidR="0044642E">
          <w:rPr>
            <w:webHidden/>
          </w:rPr>
          <w:tab/>
        </w:r>
        <w:r w:rsidR="0044642E">
          <w:rPr>
            <w:webHidden/>
            <w:lang w:val="ru-RU"/>
          </w:rPr>
          <w:tab/>
        </w:r>
        <w:r w:rsidR="0044642E">
          <w:rPr>
            <w:webHidden/>
          </w:rPr>
          <w:fldChar w:fldCharType="begin"/>
        </w:r>
        <w:r w:rsidR="0044642E">
          <w:rPr>
            <w:webHidden/>
          </w:rPr>
          <w:instrText xml:space="preserve"> PAGEREF _Toc377482133 \h </w:instrText>
        </w:r>
        <w:r w:rsidR="0044642E">
          <w:rPr>
            <w:webHidden/>
          </w:rPr>
        </w:r>
        <w:r w:rsidR="0044642E">
          <w:rPr>
            <w:webHidden/>
          </w:rPr>
          <w:fldChar w:fldCharType="separate"/>
        </w:r>
        <w:r w:rsidR="00FE5200">
          <w:rPr>
            <w:webHidden/>
          </w:rPr>
          <w:t>39</w:t>
        </w:r>
        <w:r w:rsidR="0044642E">
          <w:rPr>
            <w:webHidden/>
          </w:rPr>
          <w:fldChar w:fldCharType="end"/>
        </w:r>
      </w:hyperlink>
    </w:p>
    <w:p w:rsidR="0044642E" w:rsidRDefault="00E57763" w:rsidP="0044642E">
      <w:pPr>
        <w:pStyle w:val="TOC1"/>
        <w:tabs>
          <w:tab w:val="clear" w:pos="567"/>
          <w:tab w:val="clear" w:pos="9071"/>
          <w:tab w:val="right" w:pos="9072"/>
        </w:tabs>
        <w:ind w:left="1134" w:right="566" w:hanging="1134"/>
        <w:rPr>
          <w:rFonts w:asciiTheme="minorHAnsi" w:eastAsiaTheme="minorEastAsia" w:hAnsiTheme="minorHAnsi" w:cstheme="minorBidi"/>
          <w:b w:val="0"/>
          <w:bCs w:val="0"/>
          <w:sz w:val="22"/>
          <w:szCs w:val="22"/>
          <w:lang w:val="ru-RU" w:eastAsia="zh-CN"/>
        </w:rPr>
      </w:pPr>
      <w:hyperlink w:anchor="_Toc377482134" w:history="1">
        <w:r w:rsidR="0044642E" w:rsidRPr="004D0D10">
          <w:rPr>
            <w:rStyle w:val="Hyperlink"/>
          </w:rPr>
          <w:t xml:space="preserve">Annex 6: </w:t>
        </w:r>
        <w:r w:rsidR="0044642E">
          <w:rPr>
            <w:rFonts w:asciiTheme="minorHAnsi" w:eastAsiaTheme="minorEastAsia" w:hAnsiTheme="minorHAnsi" w:cstheme="minorBidi"/>
            <w:b w:val="0"/>
            <w:bCs w:val="0"/>
            <w:sz w:val="22"/>
            <w:szCs w:val="22"/>
            <w:lang w:val="ru-RU" w:eastAsia="zh-CN"/>
          </w:rPr>
          <w:tab/>
        </w:r>
        <w:r w:rsidR="0044642E" w:rsidRPr="004D0D10">
          <w:rPr>
            <w:rStyle w:val="Hyperlink"/>
          </w:rPr>
          <w:t>Plenipotentiary Conference (PP-10) Resolution 176 on "Human exposure to and measurement of electromagnetic fields".</w:t>
        </w:r>
        <w:r w:rsidR="0044642E">
          <w:rPr>
            <w:webHidden/>
          </w:rPr>
          <w:tab/>
        </w:r>
        <w:r w:rsidR="0044642E">
          <w:rPr>
            <w:webHidden/>
            <w:lang w:val="ru-RU"/>
          </w:rPr>
          <w:tab/>
        </w:r>
        <w:r w:rsidR="0044642E">
          <w:rPr>
            <w:webHidden/>
          </w:rPr>
          <w:fldChar w:fldCharType="begin"/>
        </w:r>
        <w:r w:rsidR="0044642E">
          <w:rPr>
            <w:webHidden/>
          </w:rPr>
          <w:instrText xml:space="preserve"> PAGEREF _Toc377482134 \h </w:instrText>
        </w:r>
        <w:r w:rsidR="0044642E">
          <w:rPr>
            <w:webHidden/>
          </w:rPr>
        </w:r>
        <w:r w:rsidR="0044642E">
          <w:rPr>
            <w:webHidden/>
          </w:rPr>
          <w:fldChar w:fldCharType="separate"/>
        </w:r>
        <w:r w:rsidR="00FE5200">
          <w:rPr>
            <w:webHidden/>
          </w:rPr>
          <w:t>41</w:t>
        </w:r>
        <w:r w:rsidR="0044642E">
          <w:rPr>
            <w:webHidden/>
          </w:rPr>
          <w:fldChar w:fldCharType="end"/>
        </w:r>
      </w:hyperlink>
    </w:p>
    <w:p w:rsidR="0044642E" w:rsidRDefault="00E57763" w:rsidP="0044642E">
      <w:pPr>
        <w:pStyle w:val="TOC1"/>
        <w:tabs>
          <w:tab w:val="clear" w:pos="567"/>
          <w:tab w:val="clear" w:pos="9071"/>
          <w:tab w:val="right" w:pos="9072"/>
        </w:tabs>
        <w:ind w:left="1134" w:right="566" w:hanging="1134"/>
        <w:rPr>
          <w:rFonts w:asciiTheme="minorHAnsi" w:eastAsiaTheme="minorEastAsia" w:hAnsiTheme="minorHAnsi" w:cstheme="minorBidi"/>
          <w:b w:val="0"/>
          <w:bCs w:val="0"/>
          <w:sz w:val="22"/>
          <w:szCs w:val="22"/>
          <w:lang w:val="ru-RU" w:eastAsia="zh-CN"/>
        </w:rPr>
      </w:pPr>
      <w:hyperlink w:anchor="_Toc377482135" w:history="1">
        <w:r w:rsidR="0044642E" w:rsidRPr="004D0D10">
          <w:rPr>
            <w:rStyle w:val="Hyperlink"/>
          </w:rPr>
          <w:t xml:space="preserve">Annex 7: </w:t>
        </w:r>
        <w:r w:rsidR="0044642E">
          <w:rPr>
            <w:rFonts w:asciiTheme="minorHAnsi" w:eastAsiaTheme="minorEastAsia" w:hAnsiTheme="minorHAnsi" w:cstheme="minorBidi"/>
            <w:b w:val="0"/>
            <w:bCs w:val="0"/>
            <w:sz w:val="22"/>
            <w:szCs w:val="22"/>
            <w:lang w:val="ru-RU" w:eastAsia="zh-CN"/>
          </w:rPr>
          <w:tab/>
        </w:r>
        <w:r w:rsidR="0044642E" w:rsidRPr="004D0D10">
          <w:rPr>
            <w:rStyle w:val="Hyperlink"/>
          </w:rPr>
          <w:t>ITU Project in Central America Document</w:t>
        </w:r>
        <w:r w:rsidR="0044642E">
          <w:rPr>
            <w:webHidden/>
          </w:rPr>
          <w:tab/>
        </w:r>
        <w:r w:rsidR="0044642E">
          <w:rPr>
            <w:webHidden/>
            <w:lang w:val="ru-RU"/>
          </w:rPr>
          <w:tab/>
        </w:r>
        <w:r w:rsidR="0044642E">
          <w:rPr>
            <w:webHidden/>
          </w:rPr>
          <w:fldChar w:fldCharType="begin"/>
        </w:r>
        <w:r w:rsidR="0044642E">
          <w:rPr>
            <w:webHidden/>
          </w:rPr>
          <w:instrText xml:space="preserve"> PAGEREF _Toc377482135 \h </w:instrText>
        </w:r>
        <w:r w:rsidR="0044642E">
          <w:rPr>
            <w:webHidden/>
          </w:rPr>
        </w:r>
        <w:r w:rsidR="0044642E">
          <w:rPr>
            <w:webHidden/>
          </w:rPr>
          <w:fldChar w:fldCharType="separate"/>
        </w:r>
        <w:r w:rsidR="00FE5200">
          <w:rPr>
            <w:webHidden/>
          </w:rPr>
          <w:t>43</w:t>
        </w:r>
        <w:r w:rsidR="0044642E">
          <w:rPr>
            <w:webHidden/>
          </w:rPr>
          <w:fldChar w:fldCharType="end"/>
        </w:r>
      </w:hyperlink>
    </w:p>
    <w:p w:rsidR="0044642E" w:rsidRDefault="00E57763" w:rsidP="0044642E">
      <w:pPr>
        <w:pStyle w:val="TOC1"/>
        <w:tabs>
          <w:tab w:val="clear" w:pos="567"/>
          <w:tab w:val="clear" w:pos="9071"/>
          <w:tab w:val="right" w:pos="9072"/>
        </w:tabs>
        <w:ind w:left="1134" w:right="566" w:hanging="1134"/>
        <w:rPr>
          <w:rFonts w:asciiTheme="minorHAnsi" w:eastAsiaTheme="minorEastAsia" w:hAnsiTheme="minorHAnsi" w:cstheme="minorBidi"/>
          <w:b w:val="0"/>
          <w:bCs w:val="0"/>
          <w:sz w:val="22"/>
          <w:szCs w:val="22"/>
          <w:lang w:val="ru-RU" w:eastAsia="zh-CN"/>
        </w:rPr>
      </w:pPr>
      <w:hyperlink w:anchor="_Toc377482136" w:history="1">
        <w:r w:rsidR="0044642E" w:rsidRPr="004D0D10">
          <w:rPr>
            <w:rStyle w:val="Hyperlink"/>
          </w:rPr>
          <w:t xml:space="preserve">Annex 8: </w:t>
        </w:r>
        <w:r w:rsidR="0044642E">
          <w:rPr>
            <w:rFonts w:asciiTheme="minorHAnsi" w:eastAsiaTheme="minorEastAsia" w:hAnsiTheme="minorHAnsi" w:cstheme="minorBidi"/>
            <w:b w:val="0"/>
            <w:bCs w:val="0"/>
            <w:sz w:val="22"/>
            <w:szCs w:val="22"/>
            <w:lang w:val="ru-RU" w:eastAsia="zh-CN"/>
          </w:rPr>
          <w:tab/>
        </w:r>
        <w:r w:rsidR="0044642E" w:rsidRPr="004D0D10">
          <w:rPr>
            <w:rStyle w:val="Hyperlink"/>
          </w:rPr>
          <w:t>Q23/1 Work Plan</w:t>
        </w:r>
        <w:r w:rsidR="0044642E">
          <w:rPr>
            <w:webHidden/>
          </w:rPr>
          <w:tab/>
        </w:r>
        <w:r w:rsidR="0044642E">
          <w:rPr>
            <w:webHidden/>
            <w:lang w:val="ru-RU"/>
          </w:rPr>
          <w:tab/>
        </w:r>
        <w:r w:rsidR="0044642E">
          <w:rPr>
            <w:webHidden/>
          </w:rPr>
          <w:fldChar w:fldCharType="begin"/>
        </w:r>
        <w:r w:rsidR="0044642E">
          <w:rPr>
            <w:webHidden/>
          </w:rPr>
          <w:instrText xml:space="preserve"> PAGEREF _Toc377482136 \h </w:instrText>
        </w:r>
        <w:r w:rsidR="0044642E">
          <w:rPr>
            <w:webHidden/>
          </w:rPr>
        </w:r>
        <w:r w:rsidR="0044642E">
          <w:rPr>
            <w:webHidden/>
          </w:rPr>
          <w:fldChar w:fldCharType="separate"/>
        </w:r>
        <w:r w:rsidR="00FE5200">
          <w:rPr>
            <w:webHidden/>
          </w:rPr>
          <w:t>44</w:t>
        </w:r>
        <w:r w:rsidR="0044642E">
          <w:rPr>
            <w:webHidden/>
          </w:rPr>
          <w:fldChar w:fldCharType="end"/>
        </w:r>
      </w:hyperlink>
    </w:p>
    <w:p w:rsidR="0044642E" w:rsidRDefault="00E57763" w:rsidP="0044642E">
      <w:pPr>
        <w:pStyle w:val="TOC1"/>
        <w:tabs>
          <w:tab w:val="clear" w:pos="567"/>
          <w:tab w:val="clear" w:pos="9071"/>
          <w:tab w:val="right" w:pos="9072"/>
        </w:tabs>
        <w:ind w:left="1134" w:right="566" w:hanging="1134"/>
        <w:rPr>
          <w:rFonts w:asciiTheme="minorHAnsi" w:eastAsiaTheme="minorEastAsia" w:hAnsiTheme="minorHAnsi" w:cstheme="minorBidi"/>
          <w:b w:val="0"/>
          <w:bCs w:val="0"/>
          <w:sz w:val="22"/>
          <w:szCs w:val="22"/>
          <w:lang w:val="ru-RU" w:eastAsia="zh-CN"/>
        </w:rPr>
      </w:pPr>
      <w:hyperlink w:anchor="_Toc377482137" w:history="1">
        <w:r w:rsidR="0044642E" w:rsidRPr="004D0D10">
          <w:rPr>
            <w:rStyle w:val="Hyperlink"/>
          </w:rPr>
          <w:t xml:space="preserve">Annex 9: </w:t>
        </w:r>
        <w:r w:rsidR="0044642E">
          <w:rPr>
            <w:rFonts w:asciiTheme="minorHAnsi" w:eastAsiaTheme="minorEastAsia" w:hAnsiTheme="minorHAnsi" w:cstheme="minorBidi"/>
            <w:b w:val="0"/>
            <w:bCs w:val="0"/>
            <w:sz w:val="22"/>
            <w:szCs w:val="22"/>
            <w:lang w:val="ru-RU" w:eastAsia="zh-CN"/>
          </w:rPr>
          <w:tab/>
        </w:r>
        <w:r w:rsidR="0044642E" w:rsidRPr="004D0D10">
          <w:rPr>
            <w:rStyle w:val="Hyperlink"/>
          </w:rPr>
          <w:t>Documents for Q23/1</w:t>
        </w:r>
        <w:r w:rsidR="0044642E">
          <w:rPr>
            <w:webHidden/>
          </w:rPr>
          <w:tab/>
        </w:r>
        <w:r w:rsidR="0044642E">
          <w:rPr>
            <w:webHidden/>
            <w:lang w:val="ru-RU"/>
          </w:rPr>
          <w:tab/>
        </w:r>
        <w:r w:rsidR="0044642E">
          <w:rPr>
            <w:webHidden/>
          </w:rPr>
          <w:fldChar w:fldCharType="begin"/>
        </w:r>
        <w:r w:rsidR="0044642E">
          <w:rPr>
            <w:webHidden/>
          </w:rPr>
          <w:instrText xml:space="preserve"> PAGEREF _Toc377482137 \h </w:instrText>
        </w:r>
        <w:r w:rsidR="0044642E">
          <w:rPr>
            <w:webHidden/>
          </w:rPr>
        </w:r>
        <w:r w:rsidR="0044642E">
          <w:rPr>
            <w:webHidden/>
          </w:rPr>
          <w:fldChar w:fldCharType="separate"/>
        </w:r>
        <w:r w:rsidR="00FE5200">
          <w:rPr>
            <w:webHidden/>
          </w:rPr>
          <w:t>46</w:t>
        </w:r>
        <w:r w:rsidR="0044642E">
          <w:rPr>
            <w:webHidden/>
          </w:rPr>
          <w:fldChar w:fldCharType="end"/>
        </w:r>
      </w:hyperlink>
    </w:p>
    <w:p w:rsidR="0044642E" w:rsidRDefault="00E57763" w:rsidP="0044642E">
      <w:pPr>
        <w:pStyle w:val="TOC1"/>
        <w:tabs>
          <w:tab w:val="clear" w:pos="567"/>
          <w:tab w:val="clear" w:pos="9071"/>
          <w:tab w:val="right" w:pos="9072"/>
        </w:tabs>
        <w:ind w:left="1134" w:right="566" w:hanging="1134"/>
        <w:rPr>
          <w:rFonts w:asciiTheme="minorHAnsi" w:eastAsiaTheme="minorEastAsia" w:hAnsiTheme="minorHAnsi" w:cstheme="minorBidi"/>
          <w:b w:val="0"/>
          <w:bCs w:val="0"/>
          <w:sz w:val="22"/>
          <w:szCs w:val="22"/>
          <w:lang w:val="ru-RU" w:eastAsia="zh-CN"/>
        </w:rPr>
      </w:pPr>
      <w:hyperlink w:anchor="_Toc377482138" w:history="1">
        <w:r w:rsidR="0044642E" w:rsidRPr="004D0D10">
          <w:rPr>
            <w:rStyle w:val="Hyperlink"/>
          </w:rPr>
          <w:t xml:space="preserve">Annex 10: </w:t>
        </w:r>
        <w:r w:rsidR="0044642E">
          <w:rPr>
            <w:rFonts w:asciiTheme="minorHAnsi" w:eastAsiaTheme="minorEastAsia" w:hAnsiTheme="minorHAnsi" w:cstheme="minorBidi"/>
            <w:b w:val="0"/>
            <w:bCs w:val="0"/>
            <w:sz w:val="22"/>
            <w:szCs w:val="22"/>
            <w:lang w:val="ru-RU" w:eastAsia="zh-CN"/>
          </w:rPr>
          <w:tab/>
        </w:r>
        <w:r w:rsidR="0044642E" w:rsidRPr="004D0D10">
          <w:rPr>
            <w:rStyle w:val="Hyperlink"/>
          </w:rPr>
          <w:t>A case study from India on EMF</w:t>
        </w:r>
        <w:r w:rsidR="0044642E">
          <w:rPr>
            <w:webHidden/>
          </w:rPr>
          <w:tab/>
        </w:r>
        <w:r w:rsidR="0044642E">
          <w:rPr>
            <w:webHidden/>
            <w:lang w:val="ru-RU"/>
          </w:rPr>
          <w:tab/>
        </w:r>
        <w:r w:rsidR="0044642E">
          <w:rPr>
            <w:webHidden/>
          </w:rPr>
          <w:fldChar w:fldCharType="begin"/>
        </w:r>
        <w:r w:rsidR="0044642E">
          <w:rPr>
            <w:webHidden/>
          </w:rPr>
          <w:instrText xml:space="preserve"> PAGEREF _Toc377482138 \h </w:instrText>
        </w:r>
        <w:r w:rsidR="0044642E">
          <w:rPr>
            <w:webHidden/>
          </w:rPr>
        </w:r>
        <w:r w:rsidR="0044642E">
          <w:rPr>
            <w:webHidden/>
          </w:rPr>
          <w:fldChar w:fldCharType="separate"/>
        </w:r>
        <w:r w:rsidR="00FE5200">
          <w:rPr>
            <w:webHidden/>
          </w:rPr>
          <w:t>47</w:t>
        </w:r>
        <w:r w:rsidR="0044642E">
          <w:rPr>
            <w:webHidden/>
          </w:rPr>
          <w:fldChar w:fldCharType="end"/>
        </w:r>
      </w:hyperlink>
    </w:p>
    <w:p w:rsidR="0044642E" w:rsidRDefault="00E57763" w:rsidP="00FE5200">
      <w:pPr>
        <w:pStyle w:val="TOC1"/>
        <w:tabs>
          <w:tab w:val="clear" w:pos="567"/>
          <w:tab w:val="clear" w:pos="9071"/>
          <w:tab w:val="right" w:pos="9072"/>
        </w:tabs>
        <w:ind w:left="1134" w:right="566" w:hanging="1134"/>
        <w:rPr>
          <w:rFonts w:asciiTheme="minorHAnsi" w:eastAsiaTheme="minorEastAsia" w:hAnsiTheme="minorHAnsi" w:cstheme="minorBidi"/>
          <w:b w:val="0"/>
          <w:bCs w:val="0"/>
          <w:sz w:val="22"/>
          <w:szCs w:val="22"/>
          <w:lang w:val="ru-RU" w:eastAsia="zh-CN"/>
        </w:rPr>
      </w:pPr>
      <w:hyperlink w:anchor="_Toc377482142" w:history="1">
        <w:r w:rsidR="00303685">
          <w:rPr>
            <w:rStyle w:val="Hyperlink"/>
          </w:rPr>
          <w:t>II</w:t>
        </w:r>
        <w:r w:rsidR="0044642E">
          <w:rPr>
            <w:rFonts w:asciiTheme="minorHAnsi" w:eastAsiaTheme="minorEastAsia" w:hAnsiTheme="minorHAnsi" w:cstheme="minorBidi"/>
            <w:b w:val="0"/>
            <w:bCs w:val="0"/>
            <w:sz w:val="22"/>
            <w:szCs w:val="22"/>
            <w:lang w:val="ru-RU" w:eastAsia="zh-CN"/>
          </w:rPr>
          <w:tab/>
        </w:r>
        <w:r w:rsidR="00FE5200">
          <w:t>List of Contributions</w:t>
        </w:r>
        <w:r w:rsidR="0044642E">
          <w:rPr>
            <w:webHidden/>
          </w:rPr>
          <w:tab/>
        </w:r>
        <w:r w:rsidR="0044642E">
          <w:rPr>
            <w:webHidden/>
            <w:lang w:val="ru-RU"/>
          </w:rPr>
          <w:tab/>
        </w:r>
        <w:r w:rsidR="0044642E">
          <w:rPr>
            <w:webHidden/>
          </w:rPr>
          <w:fldChar w:fldCharType="begin"/>
        </w:r>
        <w:r w:rsidR="0044642E">
          <w:rPr>
            <w:webHidden/>
          </w:rPr>
          <w:instrText xml:space="preserve"> PAGEREF _Toc377482142 \h </w:instrText>
        </w:r>
        <w:r w:rsidR="0044642E">
          <w:rPr>
            <w:webHidden/>
          </w:rPr>
        </w:r>
        <w:r w:rsidR="0044642E">
          <w:rPr>
            <w:webHidden/>
          </w:rPr>
          <w:fldChar w:fldCharType="separate"/>
        </w:r>
        <w:r w:rsidR="00FE5200">
          <w:rPr>
            <w:webHidden/>
          </w:rPr>
          <w:t>58</w:t>
        </w:r>
        <w:r w:rsidR="0044642E">
          <w:rPr>
            <w:webHidden/>
          </w:rPr>
          <w:fldChar w:fldCharType="end"/>
        </w:r>
      </w:hyperlink>
    </w:p>
    <w:p w:rsidR="0044642E" w:rsidRDefault="00E57763" w:rsidP="00FE5200">
      <w:pPr>
        <w:pStyle w:val="TOC1"/>
        <w:tabs>
          <w:tab w:val="clear" w:pos="567"/>
          <w:tab w:val="clear" w:pos="9071"/>
          <w:tab w:val="right" w:pos="9072"/>
        </w:tabs>
        <w:ind w:left="1134" w:right="566" w:hanging="1134"/>
        <w:rPr>
          <w:rFonts w:asciiTheme="minorHAnsi" w:eastAsiaTheme="minorEastAsia" w:hAnsiTheme="minorHAnsi" w:cstheme="minorBidi"/>
          <w:b w:val="0"/>
          <w:bCs w:val="0"/>
          <w:sz w:val="22"/>
          <w:szCs w:val="22"/>
          <w:lang w:val="ru-RU" w:eastAsia="zh-CN"/>
        </w:rPr>
      </w:pPr>
      <w:hyperlink w:anchor="_Toc377482143" w:history="1">
        <w:r w:rsidR="00303685">
          <w:rPr>
            <w:rStyle w:val="Hyperlink"/>
          </w:rPr>
          <w:t>III</w:t>
        </w:r>
        <w:r w:rsidR="0044642E">
          <w:rPr>
            <w:rFonts w:asciiTheme="minorHAnsi" w:eastAsiaTheme="minorEastAsia" w:hAnsiTheme="minorHAnsi" w:cstheme="minorBidi"/>
            <w:b w:val="0"/>
            <w:bCs w:val="0"/>
            <w:sz w:val="22"/>
            <w:szCs w:val="22"/>
            <w:lang w:val="ru-RU" w:eastAsia="zh-CN"/>
          </w:rPr>
          <w:tab/>
        </w:r>
        <w:r w:rsidR="00FE5200">
          <w:t>References</w:t>
        </w:r>
        <w:r w:rsidR="0044642E">
          <w:rPr>
            <w:webHidden/>
          </w:rPr>
          <w:tab/>
        </w:r>
        <w:r w:rsidR="0044642E">
          <w:rPr>
            <w:webHidden/>
            <w:lang w:val="ru-RU"/>
          </w:rPr>
          <w:tab/>
        </w:r>
        <w:r w:rsidR="0044642E">
          <w:rPr>
            <w:webHidden/>
          </w:rPr>
          <w:fldChar w:fldCharType="begin"/>
        </w:r>
        <w:r w:rsidR="0044642E">
          <w:rPr>
            <w:webHidden/>
          </w:rPr>
          <w:instrText xml:space="preserve"> PAGEREF _Toc377482143 \h </w:instrText>
        </w:r>
        <w:r w:rsidR="0044642E">
          <w:rPr>
            <w:webHidden/>
          </w:rPr>
        </w:r>
        <w:r w:rsidR="0044642E">
          <w:rPr>
            <w:webHidden/>
          </w:rPr>
          <w:fldChar w:fldCharType="separate"/>
        </w:r>
        <w:r w:rsidR="00FE5200">
          <w:rPr>
            <w:webHidden/>
          </w:rPr>
          <w:t>59</w:t>
        </w:r>
        <w:r w:rsidR="0044642E">
          <w:rPr>
            <w:webHidden/>
          </w:rPr>
          <w:fldChar w:fldCharType="end"/>
        </w:r>
      </w:hyperlink>
    </w:p>
    <w:p w:rsidR="00D240F2" w:rsidRDefault="00D240F2" w:rsidP="00D240F2">
      <w:pPr>
        <w:rPr>
          <w:noProof/>
          <w:lang w:val="en-GB" w:eastAsia="zh-CN"/>
        </w:rPr>
      </w:pPr>
      <w:r>
        <w:rPr>
          <w:noProof/>
          <w:lang w:val="en-GB" w:eastAsia="zh-CN"/>
        </w:rPr>
        <w:fldChar w:fldCharType="end"/>
      </w:r>
    </w:p>
    <w:p w:rsidR="00F22C89" w:rsidRDefault="00F22C89" w:rsidP="00D240F2">
      <w:pPr>
        <w:rPr>
          <w:noProof/>
          <w:lang w:val="en-GB" w:eastAsia="zh-CN"/>
        </w:rPr>
      </w:pPr>
    </w:p>
    <w:p w:rsidR="00F22C89" w:rsidRPr="004017E4" w:rsidRDefault="004017E4" w:rsidP="00F22C89">
      <w:pPr>
        <w:pStyle w:val="HeadingB"/>
        <w:rPr>
          <w:noProof/>
          <w:lang w:val="ru-RU" w:eastAsia="zh-CN"/>
        </w:rPr>
      </w:pPr>
      <w:r>
        <w:rPr>
          <w:lang w:val="ru-RU"/>
        </w:rPr>
        <w:t>РИСУНКИ</w:t>
      </w:r>
    </w:p>
    <w:p w:rsidR="00F22C89" w:rsidRPr="004017E4" w:rsidRDefault="004017E4" w:rsidP="00F22C89">
      <w:pPr>
        <w:pStyle w:val="Toc0"/>
        <w:tabs>
          <w:tab w:val="clear" w:pos="9071"/>
          <w:tab w:val="right" w:pos="9214"/>
        </w:tabs>
        <w:rPr>
          <w:rFonts w:asciiTheme="minorHAnsi" w:hAnsiTheme="minorHAnsi" w:cstheme="minorBidi"/>
          <w:color w:val="005173"/>
          <w:lang w:val="ru-RU" w:eastAsia="zh-CN"/>
        </w:rPr>
      </w:pPr>
      <w:r>
        <w:rPr>
          <w:color w:val="005173"/>
          <w:lang w:val="ru-RU"/>
        </w:rPr>
        <w:t>Стр.</w:t>
      </w:r>
    </w:p>
    <w:p w:rsidR="0044642E" w:rsidRPr="0044642E" w:rsidRDefault="00F22C89" w:rsidP="0044642E">
      <w:pPr>
        <w:pStyle w:val="TOC1"/>
        <w:keepNext w:val="0"/>
        <w:keepLines w:val="0"/>
        <w:tabs>
          <w:tab w:val="clear" w:pos="567"/>
          <w:tab w:val="clear" w:pos="9071"/>
          <w:tab w:val="right" w:pos="9072"/>
        </w:tabs>
        <w:ind w:left="1134" w:right="566" w:hanging="1134"/>
        <w:rPr>
          <w:rFonts w:asciiTheme="minorHAnsi" w:eastAsiaTheme="minorEastAsia" w:hAnsiTheme="minorHAnsi" w:cstheme="minorBidi"/>
          <w:b w:val="0"/>
          <w:bCs w:val="0"/>
          <w:sz w:val="22"/>
          <w:szCs w:val="22"/>
          <w:lang w:val="ru-RU" w:eastAsia="zh-CN"/>
        </w:rPr>
      </w:pPr>
      <w:r w:rsidRPr="0044642E">
        <w:rPr>
          <w:b w:val="0"/>
          <w:bCs w:val="0"/>
          <w:lang w:val="en-GB" w:eastAsia="zh-CN"/>
        </w:rPr>
        <w:fldChar w:fldCharType="begin"/>
      </w:r>
      <w:r w:rsidRPr="0044642E">
        <w:rPr>
          <w:b w:val="0"/>
          <w:bCs w:val="0"/>
          <w:lang w:val="en-GB" w:eastAsia="zh-CN"/>
        </w:rPr>
        <w:instrText xml:space="preserve"> TOC \h \z \t "Figure title;1" </w:instrText>
      </w:r>
      <w:r w:rsidRPr="0044642E">
        <w:rPr>
          <w:b w:val="0"/>
          <w:bCs w:val="0"/>
          <w:lang w:val="en-GB" w:eastAsia="zh-CN"/>
        </w:rPr>
        <w:fldChar w:fldCharType="separate"/>
      </w:r>
      <w:hyperlink w:anchor="_Toc377482283" w:history="1">
        <w:r w:rsidR="0044642E" w:rsidRPr="0044642E">
          <w:rPr>
            <w:rStyle w:val="Hyperlink"/>
            <w:b w:val="0"/>
            <w:bCs w:val="0"/>
            <w:lang w:val="ru-RU"/>
          </w:rPr>
          <w:t>Рисунок</w:t>
        </w:r>
        <w:r w:rsidR="0044642E" w:rsidRPr="0044642E">
          <w:rPr>
            <w:rStyle w:val="Hyperlink"/>
            <w:b w:val="0"/>
            <w:bCs w:val="0"/>
          </w:rPr>
          <w:t> </w:t>
        </w:r>
        <w:r w:rsidR="0044642E" w:rsidRPr="0044642E">
          <w:rPr>
            <w:rStyle w:val="Hyperlink"/>
            <w:b w:val="0"/>
            <w:bCs w:val="0"/>
            <w:lang w:val="ru-RU"/>
          </w:rPr>
          <w:t>1:</w:t>
        </w:r>
        <w:r w:rsidR="0044642E" w:rsidRPr="0044642E">
          <w:rPr>
            <w:rStyle w:val="Hyperlink"/>
            <w:b w:val="0"/>
            <w:bCs w:val="0"/>
            <w:lang w:val="ru-RU"/>
          </w:rPr>
          <w:tab/>
          <w:t xml:space="preserve">Карта </w:t>
        </w:r>
        <w:r w:rsidR="0044642E" w:rsidRPr="0044642E">
          <w:rPr>
            <w:rStyle w:val="Hyperlink"/>
            <w:b w:val="0"/>
            <w:bCs w:val="0"/>
          </w:rPr>
          <w:t>NIR</w:t>
        </w:r>
        <w:r w:rsidR="0044642E" w:rsidRPr="0044642E">
          <w:rPr>
            <w:rStyle w:val="Hyperlink"/>
            <w:b w:val="0"/>
            <w:bCs w:val="0"/>
            <w:lang w:val="ru-RU"/>
          </w:rPr>
          <w:t xml:space="preserve"> в Сан-Сальвадоре, еще не опубликованная в</w:t>
        </w:r>
        <w:r w:rsidR="0044642E" w:rsidRPr="0044642E">
          <w:rPr>
            <w:rStyle w:val="Hyperlink"/>
            <w:b w:val="0"/>
            <w:bCs w:val="0"/>
          </w:rPr>
          <w:t> </w:t>
        </w:r>
        <w:r w:rsidR="0044642E" w:rsidRPr="0044642E">
          <w:rPr>
            <w:rStyle w:val="Hyperlink"/>
            <w:b w:val="0"/>
            <w:bCs w:val="0"/>
            <w:lang w:val="ru-RU"/>
          </w:rPr>
          <w:t>период составления настоящего Отчета</w:t>
        </w:r>
        <w:r w:rsidR="0044642E" w:rsidRPr="0044642E">
          <w:rPr>
            <w:b w:val="0"/>
            <w:bCs w:val="0"/>
            <w:webHidden/>
          </w:rPr>
          <w:tab/>
        </w:r>
        <w:r w:rsidR="0044642E">
          <w:rPr>
            <w:b w:val="0"/>
            <w:bCs w:val="0"/>
            <w:webHidden/>
            <w:lang w:val="ru-RU"/>
          </w:rPr>
          <w:tab/>
        </w:r>
        <w:r w:rsidR="0044642E" w:rsidRPr="0044642E">
          <w:rPr>
            <w:b w:val="0"/>
            <w:bCs w:val="0"/>
            <w:webHidden/>
          </w:rPr>
          <w:fldChar w:fldCharType="begin"/>
        </w:r>
        <w:r w:rsidR="0044642E" w:rsidRPr="0044642E">
          <w:rPr>
            <w:b w:val="0"/>
            <w:bCs w:val="0"/>
            <w:webHidden/>
          </w:rPr>
          <w:instrText xml:space="preserve"> PAGEREF _Toc377482283 \h </w:instrText>
        </w:r>
        <w:r w:rsidR="0044642E" w:rsidRPr="0044642E">
          <w:rPr>
            <w:b w:val="0"/>
            <w:bCs w:val="0"/>
            <w:webHidden/>
          </w:rPr>
        </w:r>
        <w:r w:rsidR="0044642E" w:rsidRPr="0044642E">
          <w:rPr>
            <w:b w:val="0"/>
            <w:bCs w:val="0"/>
            <w:webHidden/>
          </w:rPr>
          <w:fldChar w:fldCharType="separate"/>
        </w:r>
        <w:r w:rsidR="00303685">
          <w:rPr>
            <w:b w:val="0"/>
            <w:bCs w:val="0"/>
            <w:webHidden/>
          </w:rPr>
          <w:t>20</w:t>
        </w:r>
        <w:r w:rsidR="0044642E" w:rsidRPr="0044642E">
          <w:rPr>
            <w:b w:val="0"/>
            <w:bCs w:val="0"/>
            <w:webHidden/>
          </w:rPr>
          <w:fldChar w:fldCharType="end"/>
        </w:r>
      </w:hyperlink>
    </w:p>
    <w:p w:rsidR="0044642E" w:rsidRPr="0044642E" w:rsidRDefault="00E57763" w:rsidP="0044642E">
      <w:pPr>
        <w:pStyle w:val="TOC1"/>
        <w:keepNext w:val="0"/>
        <w:keepLines w:val="0"/>
        <w:tabs>
          <w:tab w:val="clear" w:pos="567"/>
        </w:tabs>
        <w:ind w:left="1134" w:hanging="1134"/>
        <w:rPr>
          <w:rFonts w:asciiTheme="minorHAnsi" w:eastAsiaTheme="minorEastAsia" w:hAnsiTheme="minorHAnsi" w:cstheme="minorBidi"/>
          <w:b w:val="0"/>
          <w:bCs w:val="0"/>
          <w:sz w:val="22"/>
          <w:szCs w:val="22"/>
          <w:lang w:val="ru-RU" w:eastAsia="zh-CN"/>
        </w:rPr>
      </w:pPr>
      <w:hyperlink w:anchor="_Toc377482284" w:history="1">
        <w:r w:rsidR="0044642E" w:rsidRPr="0044642E">
          <w:rPr>
            <w:rStyle w:val="Hyperlink"/>
            <w:b w:val="0"/>
            <w:bCs w:val="0"/>
            <w:lang w:val="ru-RU"/>
          </w:rPr>
          <w:t>Рисунок</w:t>
        </w:r>
        <w:r w:rsidR="0044642E" w:rsidRPr="0044642E">
          <w:rPr>
            <w:rStyle w:val="Hyperlink"/>
            <w:b w:val="0"/>
            <w:bCs w:val="0"/>
          </w:rPr>
          <w:t> </w:t>
        </w:r>
        <w:r w:rsidR="0044642E" w:rsidRPr="0044642E">
          <w:rPr>
            <w:rStyle w:val="Hyperlink"/>
            <w:b w:val="0"/>
            <w:bCs w:val="0"/>
            <w:lang w:val="ru-RU"/>
          </w:rPr>
          <w:t>2:</w:t>
        </w:r>
        <w:r w:rsidR="0044642E" w:rsidRPr="0044642E">
          <w:rPr>
            <w:rStyle w:val="Hyperlink"/>
            <w:b w:val="0"/>
            <w:bCs w:val="0"/>
            <w:lang w:val="ru-RU"/>
          </w:rPr>
          <w:tab/>
          <w:t xml:space="preserve">Система постоянного мониторинга – "Народный контроль за </w:t>
        </w:r>
        <w:r w:rsidR="0044642E" w:rsidRPr="0044642E">
          <w:rPr>
            <w:rStyle w:val="Hyperlink"/>
            <w:b w:val="0"/>
            <w:bCs w:val="0"/>
          </w:rPr>
          <w:t>NIR</w:t>
        </w:r>
        <w:r w:rsidR="0044642E" w:rsidRPr="0044642E">
          <w:rPr>
            <w:rStyle w:val="Hyperlink"/>
            <w:b w:val="0"/>
            <w:bCs w:val="0"/>
            <w:lang w:val="ru-RU"/>
          </w:rPr>
          <w:t>"</w:t>
        </w:r>
        <w:r w:rsidR="0044642E" w:rsidRPr="0044642E">
          <w:rPr>
            <w:b w:val="0"/>
            <w:bCs w:val="0"/>
            <w:webHidden/>
          </w:rPr>
          <w:tab/>
        </w:r>
        <w:r w:rsidR="0044642E">
          <w:rPr>
            <w:b w:val="0"/>
            <w:bCs w:val="0"/>
            <w:webHidden/>
            <w:lang w:val="ru-RU"/>
          </w:rPr>
          <w:tab/>
        </w:r>
        <w:r w:rsidR="0044642E" w:rsidRPr="0044642E">
          <w:rPr>
            <w:b w:val="0"/>
            <w:bCs w:val="0"/>
            <w:webHidden/>
          </w:rPr>
          <w:fldChar w:fldCharType="begin"/>
        </w:r>
        <w:r w:rsidR="0044642E" w:rsidRPr="0044642E">
          <w:rPr>
            <w:b w:val="0"/>
            <w:bCs w:val="0"/>
            <w:webHidden/>
          </w:rPr>
          <w:instrText xml:space="preserve"> PAGEREF _Toc377482284 \h </w:instrText>
        </w:r>
        <w:r w:rsidR="0044642E" w:rsidRPr="0044642E">
          <w:rPr>
            <w:b w:val="0"/>
            <w:bCs w:val="0"/>
            <w:webHidden/>
          </w:rPr>
        </w:r>
        <w:r w:rsidR="0044642E" w:rsidRPr="0044642E">
          <w:rPr>
            <w:b w:val="0"/>
            <w:bCs w:val="0"/>
            <w:webHidden/>
          </w:rPr>
          <w:fldChar w:fldCharType="separate"/>
        </w:r>
        <w:r w:rsidR="00303685">
          <w:rPr>
            <w:b w:val="0"/>
            <w:bCs w:val="0"/>
            <w:webHidden/>
          </w:rPr>
          <w:t>20</w:t>
        </w:r>
        <w:r w:rsidR="0044642E" w:rsidRPr="0044642E">
          <w:rPr>
            <w:b w:val="0"/>
            <w:bCs w:val="0"/>
            <w:webHidden/>
          </w:rPr>
          <w:fldChar w:fldCharType="end"/>
        </w:r>
      </w:hyperlink>
    </w:p>
    <w:p w:rsidR="0044642E" w:rsidRPr="0044642E" w:rsidRDefault="00E57763" w:rsidP="0044642E">
      <w:pPr>
        <w:pStyle w:val="TOC1"/>
        <w:keepNext w:val="0"/>
        <w:keepLines w:val="0"/>
        <w:tabs>
          <w:tab w:val="clear" w:pos="567"/>
        </w:tabs>
        <w:ind w:left="1134" w:hanging="1134"/>
        <w:rPr>
          <w:rFonts w:asciiTheme="minorHAnsi" w:eastAsiaTheme="minorEastAsia" w:hAnsiTheme="minorHAnsi" w:cstheme="minorBidi"/>
          <w:b w:val="0"/>
          <w:bCs w:val="0"/>
          <w:sz w:val="22"/>
          <w:szCs w:val="22"/>
          <w:lang w:val="ru-RU" w:eastAsia="zh-CN"/>
        </w:rPr>
      </w:pPr>
      <w:hyperlink w:anchor="_Toc377482285" w:history="1">
        <w:r w:rsidR="0044642E" w:rsidRPr="0044642E">
          <w:rPr>
            <w:rStyle w:val="Hyperlink"/>
            <w:b w:val="0"/>
            <w:bCs w:val="0"/>
            <w:lang w:val="ru-RU"/>
          </w:rPr>
          <w:t>Рисунок</w:t>
        </w:r>
        <w:r w:rsidR="0044642E" w:rsidRPr="0044642E">
          <w:rPr>
            <w:rStyle w:val="Hyperlink"/>
            <w:b w:val="0"/>
            <w:bCs w:val="0"/>
          </w:rPr>
          <w:t> </w:t>
        </w:r>
        <w:r w:rsidR="0044642E" w:rsidRPr="0044642E">
          <w:rPr>
            <w:rStyle w:val="Hyperlink"/>
            <w:b w:val="0"/>
            <w:bCs w:val="0"/>
            <w:lang w:val="ru-RU"/>
          </w:rPr>
          <w:t>3:</w:t>
        </w:r>
        <w:r w:rsidR="0044642E" w:rsidRPr="0044642E">
          <w:rPr>
            <w:rStyle w:val="Hyperlink"/>
            <w:b w:val="0"/>
            <w:bCs w:val="0"/>
            <w:lang w:val="ru-RU"/>
          </w:rPr>
          <w:tab/>
          <w:t>Система постоянного мониторинга в Сальвадоре, совместный проект с МСЭ</w:t>
        </w:r>
        <w:r w:rsidR="0044642E" w:rsidRPr="0044642E">
          <w:rPr>
            <w:b w:val="0"/>
            <w:bCs w:val="0"/>
            <w:webHidden/>
          </w:rPr>
          <w:tab/>
        </w:r>
        <w:r w:rsidR="0044642E">
          <w:rPr>
            <w:b w:val="0"/>
            <w:bCs w:val="0"/>
            <w:webHidden/>
            <w:lang w:val="ru-RU"/>
          </w:rPr>
          <w:tab/>
        </w:r>
        <w:r w:rsidR="0044642E" w:rsidRPr="0044642E">
          <w:rPr>
            <w:b w:val="0"/>
            <w:bCs w:val="0"/>
            <w:webHidden/>
          </w:rPr>
          <w:fldChar w:fldCharType="begin"/>
        </w:r>
        <w:r w:rsidR="0044642E" w:rsidRPr="0044642E">
          <w:rPr>
            <w:b w:val="0"/>
            <w:bCs w:val="0"/>
            <w:webHidden/>
          </w:rPr>
          <w:instrText xml:space="preserve"> PAGEREF _Toc377482285 \h </w:instrText>
        </w:r>
        <w:r w:rsidR="0044642E" w:rsidRPr="0044642E">
          <w:rPr>
            <w:b w:val="0"/>
            <w:bCs w:val="0"/>
            <w:webHidden/>
          </w:rPr>
        </w:r>
        <w:r w:rsidR="0044642E" w:rsidRPr="0044642E">
          <w:rPr>
            <w:b w:val="0"/>
            <w:bCs w:val="0"/>
            <w:webHidden/>
          </w:rPr>
          <w:fldChar w:fldCharType="separate"/>
        </w:r>
        <w:r w:rsidR="00303685">
          <w:rPr>
            <w:b w:val="0"/>
            <w:bCs w:val="0"/>
            <w:webHidden/>
          </w:rPr>
          <w:t>21</w:t>
        </w:r>
        <w:r w:rsidR="0044642E" w:rsidRPr="0044642E">
          <w:rPr>
            <w:b w:val="0"/>
            <w:bCs w:val="0"/>
            <w:webHidden/>
          </w:rPr>
          <w:fldChar w:fldCharType="end"/>
        </w:r>
      </w:hyperlink>
    </w:p>
    <w:p w:rsidR="00D240F2" w:rsidRPr="00DD6562" w:rsidRDefault="00F22C89" w:rsidP="00F22C89">
      <w:pPr>
        <w:rPr>
          <w:noProof/>
          <w:lang w:val="en-GB" w:eastAsia="zh-CN"/>
        </w:rPr>
      </w:pPr>
      <w:r w:rsidRPr="0044642E">
        <w:rPr>
          <w:noProof/>
          <w:lang w:val="en-GB" w:eastAsia="zh-CN"/>
        </w:rPr>
        <w:fldChar w:fldCharType="end"/>
      </w:r>
    </w:p>
    <w:p w:rsidR="004D77DC" w:rsidRDefault="004D77DC" w:rsidP="000560EE">
      <w:pPr>
        <w:sectPr w:rsidR="004D77DC" w:rsidSect="008920E3">
          <w:headerReference w:type="even" r:id="rId15"/>
          <w:headerReference w:type="default" r:id="rId16"/>
          <w:footerReference w:type="even" r:id="rId17"/>
          <w:footerReference w:type="default" r:id="rId18"/>
          <w:endnotePr>
            <w:numFmt w:val="decimal"/>
          </w:endnotePr>
          <w:pgSz w:w="11907" w:h="16840" w:code="9"/>
          <w:pgMar w:top="1418" w:right="1418" w:bottom="1418" w:left="1418" w:header="709" w:footer="709" w:gutter="0"/>
          <w:pgNumType w:fmt="lowerRoman" w:start="3"/>
          <w:cols w:space="708"/>
          <w:docGrid w:linePitch="360"/>
        </w:sectPr>
      </w:pPr>
      <w:bookmarkStart w:id="20" w:name="_Toc360201744"/>
      <w:bookmarkEnd w:id="16"/>
      <w:bookmarkEnd w:id="17"/>
    </w:p>
    <w:p w:rsidR="00585FA8" w:rsidRPr="0044642E" w:rsidRDefault="004017E4" w:rsidP="008920E3">
      <w:pPr>
        <w:pStyle w:val="Chapttitle"/>
        <w:spacing w:before="480"/>
        <w:rPr>
          <w:lang w:val="ru-RU"/>
        </w:rPr>
      </w:pPr>
      <w:bookmarkStart w:id="21" w:name="_Toc377482088"/>
      <w:r>
        <w:rPr>
          <w:lang w:val="ru-RU"/>
        </w:rPr>
        <w:lastRenderedPageBreak/>
        <w:t>ВОПРОС</w:t>
      </w:r>
      <w:r w:rsidR="00585FA8" w:rsidRPr="0044642E">
        <w:rPr>
          <w:lang w:val="ru-RU"/>
        </w:rPr>
        <w:t xml:space="preserve"> 23/1</w:t>
      </w:r>
      <w:bookmarkEnd w:id="20"/>
      <w:bookmarkEnd w:id="21"/>
    </w:p>
    <w:p w:rsidR="001B6FDC" w:rsidRPr="001B6FDC" w:rsidRDefault="001B6FDC" w:rsidP="001B6FDC">
      <w:pPr>
        <w:pStyle w:val="Heading1"/>
        <w:rPr>
          <w:lang w:val="ru-RU"/>
        </w:rPr>
      </w:pPr>
      <w:bookmarkStart w:id="22" w:name="_Toc377482089"/>
      <w:r w:rsidRPr="001B6FDC">
        <w:rPr>
          <w:lang w:val="ru-RU"/>
        </w:rPr>
        <w:t>1</w:t>
      </w:r>
      <w:r w:rsidRPr="001B6FDC">
        <w:rPr>
          <w:lang w:val="ru-RU"/>
        </w:rPr>
        <w:tab/>
        <w:t>Базовая информация</w:t>
      </w:r>
      <w:bookmarkEnd w:id="22"/>
    </w:p>
    <w:p w:rsidR="001B6FDC" w:rsidRPr="00DD067F" w:rsidRDefault="001B6FDC" w:rsidP="00DD067F">
      <w:pPr>
        <w:rPr>
          <w:bCs/>
          <w:lang w:val="ru-RU"/>
        </w:rPr>
      </w:pPr>
      <w:r w:rsidRPr="00DD067F">
        <w:rPr>
          <w:rFonts w:cs="Arial"/>
          <w:bCs/>
          <w:lang w:val="ru-RU"/>
        </w:rPr>
        <w:t>1.1</w:t>
      </w:r>
      <w:r w:rsidRPr="00DD067F">
        <w:rPr>
          <w:rFonts w:cs="Arial"/>
          <w:bCs/>
          <w:lang w:val="ru-RU"/>
        </w:rPr>
        <w:tab/>
      </w:r>
      <w:r w:rsidRPr="00DD067F">
        <w:rPr>
          <w:bCs/>
          <w:lang w:val="ru-RU"/>
        </w:rPr>
        <w:t>За последние несколько лет быстро росло применение различных источников электромагнитных полей (ЭМП) от радиочастот (РЧ) для удовлетворения потребностей городских и сельских сообществ в электросвязи и информационно-коммуникационных технологиях (ИКТ). Более широкое развертывание коммуникаций привело к росту конкуренции, трафика, спроса на качественные услуги, покрытия сетями и к введению новых технологий. Это увеличило опасения населения по поводу возможных рисков для здоровья человека, связанных с продолжительным воздействием радиосигналов от оборудования связи</w:t>
      </w:r>
      <w:r w:rsidRPr="00DD067F">
        <w:rPr>
          <w:rFonts w:cs="Arial"/>
          <w:bCs/>
          <w:lang w:val="ru-RU"/>
        </w:rPr>
        <w:t>.</w:t>
      </w:r>
    </w:p>
    <w:p w:rsidR="001B6FDC" w:rsidRPr="00DD067F" w:rsidRDefault="001B6FDC" w:rsidP="00DD067F">
      <w:pPr>
        <w:rPr>
          <w:rFonts w:cs="Arial"/>
          <w:bCs/>
          <w:lang w:val="ru-RU"/>
        </w:rPr>
      </w:pPr>
      <w:r w:rsidRPr="00DD067F">
        <w:rPr>
          <w:rFonts w:cs="Arial"/>
          <w:bCs/>
          <w:lang w:val="ru-RU"/>
        </w:rPr>
        <w:t>1.2</w:t>
      </w:r>
      <w:r w:rsidRPr="00DD067F">
        <w:rPr>
          <w:rFonts w:cs="Arial"/>
          <w:bCs/>
          <w:lang w:val="ru-RU"/>
        </w:rPr>
        <w:tab/>
        <w:t xml:space="preserve">Согласно </w:t>
      </w:r>
      <w:r w:rsidRPr="00DD067F">
        <w:rPr>
          <w:bCs/>
          <w:lang w:val="ru-RU"/>
        </w:rPr>
        <w:t>Статистической базе данных Международного союза электросвязи (МСЭ) за 2011 год, в 2011 году насчитывалось около 6 млрд. контрактов на подвижную сотовую связь. При наличии 5,9 млрд. контрактов на подвижную сотовую связь уровень ее проникновения в мире достигает 87%, в том числе 79% в развивающемся мире</w:t>
      </w:r>
      <w:r w:rsidRPr="00DD067F">
        <w:rPr>
          <w:rStyle w:val="FootnoteReference"/>
          <w:rFonts w:eastAsia="Times New Roman"/>
          <w:bCs/>
          <w:szCs w:val="20"/>
          <w:lang w:val="ru-RU"/>
        </w:rPr>
        <w:footnoteReference w:id="2"/>
      </w:r>
      <w:r w:rsidRPr="00DD067F">
        <w:rPr>
          <w:bCs/>
          <w:lang w:val="ru-RU"/>
        </w:rPr>
        <w:t>. Поскольку рост подвижной связи продолжается, прогнозируется, что численность пользователей мобильных телефонов в мире возрастет, а это означает, что увеличится и количество базовых станций</w:t>
      </w:r>
      <w:r w:rsidRPr="00DD067F">
        <w:rPr>
          <w:rFonts w:cs="Arial"/>
          <w:bCs/>
          <w:lang w:val="ru-RU"/>
        </w:rPr>
        <w:t>.</w:t>
      </w:r>
    </w:p>
    <w:p w:rsidR="001B6FDC" w:rsidRPr="00DD067F" w:rsidRDefault="001B6FDC" w:rsidP="00DD067F">
      <w:pPr>
        <w:rPr>
          <w:rFonts w:cs="Arial"/>
          <w:bCs/>
          <w:szCs w:val="19"/>
          <w:lang w:val="ru-RU"/>
        </w:rPr>
      </w:pPr>
      <w:r w:rsidRPr="00DD067F">
        <w:rPr>
          <w:rFonts w:cs="Arial"/>
          <w:bCs/>
          <w:szCs w:val="19"/>
          <w:lang w:val="ru-RU"/>
        </w:rPr>
        <w:t>1.3</w:t>
      </w:r>
      <w:r w:rsidRPr="00DD067F">
        <w:rPr>
          <w:rFonts w:cs="Arial"/>
          <w:bCs/>
          <w:szCs w:val="19"/>
          <w:lang w:val="ru-RU"/>
        </w:rPr>
        <w:tab/>
      </w:r>
      <w:r w:rsidRPr="00DD067F">
        <w:rPr>
          <w:bCs/>
          <w:lang w:val="ru-RU"/>
        </w:rPr>
        <w:t>Опасения населения по поводу возможного вредного воздействия радиосигналов от оборудования электросвязи усугубляются тем фактом, что при установке такого оборудования с населением консультируются далеко не всегда</w:t>
      </w:r>
      <w:r w:rsidRPr="00DD067F">
        <w:rPr>
          <w:rFonts w:cs="Arial"/>
          <w:bCs/>
          <w:szCs w:val="19"/>
          <w:lang w:val="ru-RU"/>
        </w:rPr>
        <w:t xml:space="preserve">. Тот факт, что свидетельство возможного вредного воздействия радиосигналов носит инклюзивный характер, приводит ко многим выводам, например, что может существовать опасность для здоровья, и такое восприятие в большинстве стран мира носит серьезный характер. В настоящем отчете также рассматриваются меры, принимаемые в других странах для уменьшения столь негативного восприятия воздействия радиосигналов. </w:t>
      </w:r>
    </w:p>
    <w:p w:rsidR="001B6FDC" w:rsidRPr="00DD067F" w:rsidRDefault="001B6FDC" w:rsidP="00DD067F">
      <w:pPr>
        <w:rPr>
          <w:rFonts w:cs="Arial"/>
          <w:bCs/>
          <w:szCs w:val="19"/>
          <w:lang w:val="ru-RU"/>
        </w:rPr>
      </w:pPr>
      <w:r w:rsidRPr="00DD067F">
        <w:rPr>
          <w:rFonts w:cs="Arial"/>
          <w:bCs/>
          <w:szCs w:val="19"/>
          <w:lang w:val="ru-RU"/>
        </w:rPr>
        <w:t>1.4</w:t>
      </w:r>
      <w:r w:rsidRPr="00DD067F">
        <w:rPr>
          <w:rFonts w:cs="Arial"/>
          <w:bCs/>
          <w:szCs w:val="19"/>
          <w:lang w:val="ru-RU"/>
        </w:rPr>
        <w:tab/>
        <w:t xml:space="preserve">Из некоторых стран в другие поступают большие количества сотовых телефонов, и сложно вести наблюдение и осуществлять контроль за такими устройствами. Существуют опасения, что сложно проверять SAR сотовых телефонов на соблюдение и соответствие, поскольку предназначенные для этой цели устройства может быть сложно приобретать. Необходимо вести наблюдение за излучениями базовых станций, что также требует соответствующих инструментов и экспертов для использования таких устройств. </w:t>
      </w:r>
    </w:p>
    <w:p w:rsidR="001B6FDC" w:rsidRPr="00DD067F" w:rsidRDefault="001B6FDC" w:rsidP="00DD067F">
      <w:pPr>
        <w:rPr>
          <w:rFonts w:cs="Arial"/>
          <w:bCs/>
          <w:szCs w:val="19"/>
          <w:lang w:val="ru-RU"/>
        </w:rPr>
      </w:pPr>
      <w:r w:rsidRPr="00DD067F">
        <w:rPr>
          <w:rFonts w:cs="Arial"/>
          <w:bCs/>
          <w:szCs w:val="19"/>
          <w:lang w:val="ru-RU"/>
        </w:rPr>
        <w:t>1.5</w:t>
      </w:r>
      <w:r w:rsidRPr="00DD067F">
        <w:rPr>
          <w:rFonts w:cs="Arial"/>
          <w:bCs/>
          <w:szCs w:val="19"/>
          <w:lang w:val="ru-RU"/>
        </w:rPr>
        <w:tab/>
      </w:r>
      <w:r w:rsidRPr="00DD067F">
        <w:rPr>
          <w:bCs/>
          <w:lang w:val="ru-RU"/>
        </w:rPr>
        <w:t>Для того чтобы завоевать доверие населения (потребителей), что очень важно в связи с потребностью в постоянном развитии радиосвязи, 5</w:t>
      </w:r>
      <w:r w:rsidRPr="00DD067F">
        <w:rPr>
          <w:bCs/>
          <w:lang w:val="ru-RU"/>
        </w:rPr>
        <w:noBreakHyphen/>
        <w:t>я Исследовательская комиссия (ИК5) Сектора стандартизации электросвязи МСЭ (МСЭ-Т) и Рабочая группа 1С (РГ 1С) 1-й Исследовательской комиссии (ИК1) Сектора радиосвязи МСЭ (МСЭ</w:t>
      </w:r>
      <w:r w:rsidRPr="00DD067F">
        <w:rPr>
          <w:bCs/>
          <w:lang w:val="ru-RU"/>
        </w:rPr>
        <w:noBreakHyphen/>
        <w:t>R) провели исследования процесса измерений неионизирующего излучения для получения конкретной информации об оборудовании/измерительной аппаратуре и процедурах, которые должны использоваться для измерений</w:t>
      </w:r>
      <w:r w:rsidRPr="00DD067F">
        <w:rPr>
          <w:rFonts w:cs="Arial"/>
          <w:bCs/>
          <w:szCs w:val="19"/>
          <w:lang w:val="ru-RU"/>
        </w:rPr>
        <w:t xml:space="preserve">. </w:t>
      </w:r>
    </w:p>
    <w:p w:rsidR="001B6FDC" w:rsidRPr="00DD067F" w:rsidRDefault="001B6FDC" w:rsidP="008A262D">
      <w:pPr>
        <w:rPr>
          <w:rFonts w:cs="Arial"/>
          <w:lang w:val="ru-RU"/>
        </w:rPr>
      </w:pPr>
      <w:r w:rsidRPr="00DD067F">
        <w:rPr>
          <w:rFonts w:cs="Arial"/>
          <w:lang w:val="ru-RU"/>
        </w:rPr>
        <w:t>1.6</w:t>
      </w:r>
      <w:r w:rsidRPr="00DD067F">
        <w:rPr>
          <w:rFonts w:cs="Arial"/>
          <w:lang w:val="ru-RU"/>
        </w:rPr>
        <w:tab/>
        <w:t>В</w:t>
      </w:r>
      <w:r w:rsidRPr="00DD067F">
        <w:rPr>
          <w:lang w:val="ru-RU"/>
        </w:rPr>
        <w:t> рамках Вопроса 23/1 1-й Исследовательской комиссии (ИК1) Сектора развития электросвязи МСЭ (МСЭ-D) проводятся исследования различных механизмов регулирования и связи в целях повышения уровня информированности населения и предоставления ему информации, а также содействия развертыванию и работе систем радиосвязи</w:t>
      </w:r>
      <w:r w:rsidRPr="00DD067F">
        <w:rPr>
          <w:rFonts w:cs="Arial"/>
          <w:lang w:val="ru-RU"/>
        </w:rPr>
        <w:t>.</w:t>
      </w:r>
    </w:p>
    <w:p w:rsidR="001B6FDC" w:rsidRPr="00DD067F" w:rsidRDefault="001B6FDC" w:rsidP="00DD067F">
      <w:pPr>
        <w:rPr>
          <w:bCs/>
          <w:lang w:val="ru-RU"/>
        </w:rPr>
      </w:pPr>
      <w:r w:rsidRPr="00DD067F">
        <w:rPr>
          <w:bCs/>
          <w:lang w:val="ru-RU"/>
        </w:rPr>
        <w:t>1.7</w:t>
      </w:r>
      <w:r w:rsidRPr="00DD067F">
        <w:rPr>
          <w:bCs/>
          <w:lang w:val="ru-RU"/>
        </w:rPr>
        <w:tab/>
        <w:t xml:space="preserve">В рамках Вопроса 23/1 "Стратегии и политика, касающиеся воздействия электромагнитных полей на человека" собираются данные и проводится анализ регуляторной политики различных </w:t>
      </w:r>
      <w:r w:rsidRPr="00DD067F">
        <w:rPr>
          <w:bCs/>
          <w:lang w:val="ru-RU"/>
        </w:rPr>
        <w:lastRenderedPageBreak/>
        <w:t>стран, проводимой или рассматриваемой для санкционирования установки оборудования радиосвязи. Причиной этого является наличие представлений, согласно которым длительное воздействие излучений от оборудования радиосвязи представляет опасность.</w:t>
      </w:r>
    </w:p>
    <w:p w:rsidR="001B6FDC" w:rsidRPr="00DD067F" w:rsidRDefault="001B6FDC" w:rsidP="00DD067F">
      <w:pPr>
        <w:rPr>
          <w:bCs/>
          <w:lang w:val="ru-RU"/>
        </w:rPr>
      </w:pPr>
      <w:r w:rsidRPr="00DD067F">
        <w:rPr>
          <w:bCs/>
          <w:lang w:val="ru-RU"/>
        </w:rPr>
        <w:t>1.8</w:t>
      </w:r>
      <w:r w:rsidRPr="00DD067F">
        <w:rPr>
          <w:bCs/>
          <w:lang w:val="ru-RU"/>
        </w:rPr>
        <w:tab/>
        <w:t>Поскольку проводимые в настоящее время исследования убедительно не подтверждают причинения вреда человеку, важно донести эти сведения до потребителей, чтобы уменьшить опасения и создать условия для беспрепятственного развертывания оборудования связи. Установлено, что в некоторых странах операторы электросвязи общего пользования получают отказы в выделении земельных участков (для развертывания сетей). В некоторых случаях заболевшие люди винят в этом поставщиков услуг связи, утверждая, что причиной заболеваний являются воздействие радиочастотного излучения их оборудования.</w:t>
      </w:r>
    </w:p>
    <w:p w:rsidR="001B6FDC" w:rsidRPr="00DD067F" w:rsidRDefault="001B6FDC" w:rsidP="00DD067F">
      <w:pPr>
        <w:rPr>
          <w:bCs/>
          <w:lang w:val="ru-RU"/>
        </w:rPr>
      </w:pPr>
      <w:r w:rsidRPr="00DD067F">
        <w:rPr>
          <w:bCs/>
          <w:lang w:val="ru-RU"/>
        </w:rPr>
        <w:t>1.9</w:t>
      </w:r>
      <w:r w:rsidRPr="00DD067F">
        <w:rPr>
          <w:bCs/>
          <w:lang w:val="ru-RU"/>
        </w:rPr>
        <w:tab/>
        <w:t>Ввиду этого необходимо, чтобы МСЭ занял позицию по разработке руководящих указаний для стран-членов, которые позволили бы избегать отказа в развертывании сетей связи и в то же время принимать меры предосторожности, чтобы не причинять возможного вреда в связи с продолжительным воздействием РЧ.</w:t>
      </w:r>
    </w:p>
    <w:p w:rsidR="001B6FDC" w:rsidRPr="00DD067F" w:rsidRDefault="001B6FDC" w:rsidP="00DD067F">
      <w:pPr>
        <w:rPr>
          <w:rFonts w:cs="Arial"/>
          <w:bCs/>
          <w:lang w:val="ru-RU"/>
        </w:rPr>
      </w:pPr>
      <w:r w:rsidRPr="00DD067F">
        <w:rPr>
          <w:rFonts w:cs="Arial"/>
          <w:bCs/>
          <w:lang w:val="ru-RU"/>
        </w:rPr>
        <w:t>1.10</w:t>
      </w:r>
      <w:r w:rsidRPr="00DD067F">
        <w:rPr>
          <w:rFonts w:cs="Arial"/>
          <w:bCs/>
          <w:lang w:val="ru-RU"/>
        </w:rPr>
        <w:tab/>
        <w:t>На Всемирной ассамблее по стандартизации электросвязи 2012 года (ВАСЭ-12), прошедшей в Дубае, была принята следующая Резолюция:</w:t>
      </w:r>
    </w:p>
    <w:p w:rsidR="001B6FDC" w:rsidRPr="0044642E" w:rsidRDefault="001B6FDC" w:rsidP="001B6FDC">
      <w:pPr>
        <w:pStyle w:val="Enumlevel1"/>
        <w:rPr>
          <w:szCs w:val="19"/>
          <w:lang w:val="ru-RU"/>
        </w:rPr>
      </w:pPr>
      <w:r w:rsidRPr="0044642E">
        <w:rPr>
          <w:szCs w:val="19"/>
          <w:lang w:val="ru-RU"/>
        </w:rPr>
        <w:t>−</w:t>
      </w:r>
      <w:r w:rsidRPr="0044642E">
        <w:rPr>
          <w:szCs w:val="19"/>
          <w:lang w:val="ru-RU"/>
        </w:rPr>
        <w:tab/>
        <w:t>Резолюция 72 "</w:t>
      </w:r>
      <w:r w:rsidRPr="0044642E">
        <w:rPr>
          <w:lang w:val="ru-RU"/>
        </w:rPr>
        <w:t>Важность измерений, связанных с воздействием электромагнитных полей на человека"</w:t>
      </w:r>
      <w:r w:rsidRPr="0044642E">
        <w:rPr>
          <w:szCs w:val="19"/>
          <w:lang w:val="ru-RU"/>
        </w:rPr>
        <w:t>.</w:t>
      </w:r>
    </w:p>
    <w:p w:rsidR="001B6FDC" w:rsidRPr="00DD067F" w:rsidRDefault="001B6FDC" w:rsidP="001B6FDC">
      <w:pPr>
        <w:keepNext/>
        <w:rPr>
          <w:rFonts w:cs="Arial"/>
          <w:bCs/>
          <w:szCs w:val="19"/>
          <w:lang w:val="ru-RU"/>
        </w:rPr>
      </w:pPr>
      <w:r w:rsidRPr="00DD067F">
        <w:rPr>
          <w:rFonts w:cs="Arial"/>
          <w:bCs/>
          <w:szCs w:val="19"/>
          <w:lang w:val="ru-RU"/>
        </w:rPr>
        <w:t>1.11</w:t>
      </w:r>
      <w:r w:rsidRPr="00DD067F">
        <w:rPr>
          <w:rFonts w:cs="Arial"/>
          <w:bCs/>
          <w:szCs w:val="19"/>
          <w:lang w:val="ru-RU"/>
        </w:rPr>
        <w:tab/>
        <w:t>Наряду с этим пятая Всемирная конференция по развитию электросвязи 2010 года (ВКРЭ</w:t>
      </w:r>
      <w:r w:rsidRPr="00DD067F">
        <w:rPr>
          <w:rFonts w:cs="Arial"/>
          <w:bCs/>
          <w:szCs w:val="19"/>
          <w:lang w:val="ru-RU"/>
        </w:rPr>
        <w:noBreakHyphen/>
        <w:t>10), прошедшая в Хайдарабаде, Индия, утвердила следующее:</w:t>
      </w:r>
    </w:p>
    <w:p w:rsidR="001B6FDC" w:rsidRPr="0044642E" w:rsidRDefault="001B6FDC" w:rsidP="001B6FDC">
      <w:pPr>
        <w:pStyle w:val="Enumlevel1"/>
        <w:rPr>
          <w:szCs w:val="16"/>
          <w:lang w:val="ru-RU"/>
        </w:rPr>
      </w:pPr>
      <w:r w:rsidRPr="0044642E">
        <w:rPr>
          <w:szCs w:val="16"/>
          <w:lang w:val="ru-RU"/>
        </w:rPr>
        <w:t>−</w:t>
      </w:r>
      <w:r w:rsidRPr="0044642E">
        <w:rPr>
          <w:szCs w:val="16"/>
          <w:lang w:val="ru-RU"/>
        </w:rPr>
        <w:tab/>
        <w:t>Резолюция 62 "</w:t>
      </w:r>
      <w:r w:rsidRPr="0044642E">
        <w:rPr>
          <w:lang w:val="ru-RU"/>
        </w:rPr>
        <w:t>Важность измерений, связанных с воздействием электромагнитных полей на человека"</w:t>
      </w:r>
      <w:r w:rsidRPr="0044642E">
        <w:rPr>
          <w:szCs w:val="16"/>
          <w:lang w:val="ru-RU"/>
        </w:rPr>
        <w:t>;</w:t>
      </w:r>
    </w:p>
    <w:p w:rsidR="001B6FDC" w:rsidRPr="0044642E" w:rsidRDefault="001B6FDC" w:rsidP="001B6FDC">
      <w:pPr>
        <w:pStyle w:val="Enumlevel1"/>
        <w:rPr>
          <w:szCs w:val="19"/>
          <w:lang w:val="ru-RU"/>
        </w:rPr>
      </w:pPr>
      <w:r w:rsidRPr="0044642E">
        <w:rPr>
          <w:szCs w:val="16"/>
          <w:lang w:val="ru-RU"/>
        </w:rPr>
        <w:t>−</w:t>
      </w:r>
      <w:r w:rsidRPr="0044642E">
        <w:rPr>
          <w:szCs w:val="16"/>
          <w:lang w:val="ru-RU"/>
        </w:rPr>
        <w:tab/>
        <w:t xml:space="preserve">Вопрос 23/1 </w:t>
      </w:r>
      <w:r w:rsidRPr="0044642E">
        <w:rPr>
          <w:lang w:val="ru-RU"/>
        </w:rPr>
        <w:t>1-й Исследовательской комиссии МСЭ-</w:t>
      </w:r>
      <w:r w:rsidRPr="001F3A1E">
        <w:t>D</w:t>
      </w:r>
      <w:r w:rsidRPr="0044642E">
        <w:rPr>
          <w:lang w:val="ru-RU"/>
        </w:rPr>
        <w:t xml:space="preserve"> "Стратегии и политика, касающиеся воздействия электромагнитных полей на человека" был утвержден</w:t>
      </w:r>
      <w:r w:rsidRPr="0044642E">
        <w:rPr>
          <w:szCs w:val="19"/>
          <w:lang w:val="ru-RU"/>
        </w:rPr>
        <w:t xml:space="preserve">. </w:t>
      </w:r>
    </w:p>
    <w:p w:rsidR="001B6FDC" w:rsidRPr="00DD067F" w:rsidRDefault="001B6FDC" w:rsidP="00DD067F">
      <w:pPr>
        <w:rPr>
          <w:szCs w:val="19"/>
          <w:lang w:val="ru-RU"/>
        </w:rPr>
      </w:pPr>
      <w:r w:rsidRPr="00DD067F">
        <w:rPr>
          <w:szCs w:val="19"/>
          <w:lang w:val="ru-RU"/>
        </w:rPr>
        <w:t>1.12</w:t>
      </w:r>
      <w:r w:rsidRPr="00DD067F">
        <w:rPr>
          <w:szCs w:val="19"/>
          <w:lang w:val="ru-RU"/>
        </w:rPr>
        <w:tab/>
      </w:r>
      <w:r w:rsidRPr="00DD067F">
        <w:rPr>
          <w:lang w:val="ru-RU"/>
        </w:rPr>
        <w:t>Полномочная конференция (ПК-10), которая прошла в Гвадалахаре, Мексика, утвердила новую Резолюцию 176 "Воздействие электромагнитных полей на человека и их измерение" и призвала Государства-Члены в различных регионах мира сотрудничать в обмене специальными знаниями и содействовать в деятельности, связанной с измерениями и профессиональной подготовкой</w:t>
      </w:r>
      <w:r w:rsidRPr="00DD067F">
        <w:rPr>
          <w:szCs w:val="19"/>
          <w:lang w:val="ru-RU"/>
        </w:rPr>
        <w:t>.</w:t>
      </w:r>
    </w:p>
    <w:p w:rsidR="001B6FDC" w:rsidRPr="00DD067F" w:rsidRDefault="001B6FDC" w:rsidP="00DD067F">
      <w:pPr>
        <w:rPr>
          <w:rFonts w:cs="Arial"/>
          <w:szCs w:val="19"/>
          <w:lang w:val="ru-RU"/>
        </w:rPr>
      </w:pPr>
      <w:r w:rsidRPr="00DD067F">
        <w:rPr>
          <w:rFonts w:cs="Arial"/>
          <w:szCs w:val="19"/>
          <w:lang w:val="ru-RU"/>
        </w:rPr>
        <w:t>1.13</w:t>
      </w:r>
      <w:r w:rsidRPr="00DD067F">
        <w:rPr>
          <w:rFonts w:cs="Arial"/>
          <w:szCs w:val="19"/>
          <w:lang w:val="ru-RU"/>
        </w:rPr>
        <w:tab/>
      </w:r>
      <w:r w:rsidRPr="00DD067F">
        <w:rPr>
          <w:lang w:val="ru-RU"/>
        </w:rPr>
        <w:t>В новой Резолюции 176 ПК-10 Директору Бюро развития электросвязи (БРЭ) поручается в сотрудничестве с Директорами Бюро радиосвязи (БР) и Бюро стандартизации электросвязи (БСЭ</w:t>
      </w:r>
      <w:r w:rsidRPr="00DD067F">
        <w:rPr>
          <w:rFonts w:cs="Arial"/>
          <w:szCs w:val="19"/>
          <w:lang w:val="ru-RU"/>
        </w:rPr>
        <w:t>):</w:t>
      </w:r>
    </w:p>
    <w:p w:rsidR="001B6FDC" w:rsidRPr="0044642E" w:rsidRDefault="001B6FDC" w:rsidP="001B6FDC">
      <w:pPr>
        <w:pStyle w:val="Enumlevel1"/>
        <w:rPr>
          <w:szCs w:val="16"/>
          <w:lang w:val="ru-RU"/>
        </w:rPr>
      </w:pPr>
      <w:r w:rsidRPr="0044642E">
        <w:rPr>
          <w:lang w:val="ru-RU"/>
        </w:rPr>
        <w:t>−</w:t>
      </w:r>
      <w:r w:rsidRPr="0044642E">
        <w:rPr>
          <w:lang w:val="ru-RU"/>
        </w:rPr>
        <w:tab/>
        <w:t>поощрять Государства-Члены сотрудничать в области обмена специальными знаниями и</w:t>
      </w:r>
      <w:r w:rsidRPr="001F3A1E">
        <w:t> </w:t>
      </w:r>
      <w:r w:rsidRPr="0044642E">
        <w:rPr>
          <w:lang w:val="ru-RU"/>
        </w:rPr>
        <w:t>ресурсами;</w:t>
      </w:r>
    </w:p>
    <w:p w:rsidR="001B6FDC" w:rsidRPr="0044642E" w:rsidRDefault="001B6FDC" w:rsidP="001B6FDC">
      <w:pPr>
        <w:pStyle w:val="Enumlevel1"/>
        <w:rPr>
          <w:rFonts w:cs="Arial"/>
          <w:szCs w:val="16"/>
          <w:lang w:val="ru-RU"/>
        </w:rPr>
      </w:pPr>
      <w:r w:rsidRPr="0044642E">
        <w:rPr>
          <w:lang w:val="ru-RU"/>
        </w:rPr>
        <w:t>−</w:t>
      </w:r>
      <w:r w:rsidRPr="0044642E">
        <w:rPr>
          <w:lang w:val="ru-RU"/>
        </w:rPr>
        <w:tab/>
        <w:t>организовывать региональные семинары и семинары-практикумы</w:t>
      </w:r>
      <w:r w:rsidRPr="0044642E">
        <w:rPr>
          <w:rFonts w:cs="Arial"/>
          <w:szCs w:val="16"/>
          <w:lang w:val="ru-RU"/>
        </w:rPr>
        <w:t>.</w:t>
      </w:r>
    </w:p>
    <w:p w:rsidR="001B6FDC" w:rsidRPr="001B6FDC" w:rsidRDefault="001B6FDC" w:rsidP="001B6FDC">
      <w:pPr>
        <w:pStyle w:val="Heading1"/>
        <w:rPr>
          <w:lang w:val="ru-RU"/>
        </w:rPr>
      </w:pPr>
      <w:bookmarkStart w:id="23" w:name="_Toc370394194"/>
      <w:bookmarkStart w:id="24" w:name="_Toc370477277"/>
      <w:bookmarkStart w:id="25" w:name="_Toc370477556"/>
      <w:bookmarkStart w:id="26" w:name="_Toc377482090"/>
      <w:r w:rsidRPr="001B6FDC">
        <w:rPr>
          <w:lang w:val="ru-RU"/>
        </w:rPr>
        <w:t>2</w:t>
      </w:r>
      <w:r w:rsidRPr="001B6FDC">
        <w:rPr>
          <w:lang w:val="ru-RU"/>
        </w:rPr>
        <w:tab/>
        <w:t>Сфера охвата и цели настоящего Отчета</w:t>
      </w:r>
      <w:bookmarkEnd w:id="23"/>
      <w:bookmarkEnd w:id="24"/>
      <w:bookmarkEnd w:id="25"/>
      <w:bookmarkEnd w:id="26"/>
    </w:p>
    <w:p w:rsidR="001B6FDC" w:rsidRPr="001F3A1E" w:rsidRDefault="001B6FDC" w:rsidP="001B6FDC">
      <w:pPr>
        <w:keepNext/>
        <w:keepLines/>
        <w:rPr>
          <w:rFonts w:cs="Arial"/>
          <w:szCs w:val="19"/>
          <w:lang w:val="ru-RU"/>
        </w:rPr>
      </w:pPr>
      <w:r w:rsidRPr="001F3A1E">
        <w:rPr>
          <w:lang w:val="ru-RU"/>
        </w:rPr>
        <w:t>Ожидается, что настоящий отчет будет охватывать следующие области</w:t>
      </w:r>
      <w:r w:rsidRPr="001F3A1E">
        <w:rPr>
          <w:rFonts w:cs="Arial"/>
          <w:szCs w:val="19"/>
          <w:lang w:val="ru-RU"/>
        </w:rPr>
        <w:t>:</w:t>
      </w:r>
    </w:p>
    <w:p w:rsidR="001B6FDC" w:rsidRPr="00DD067F" w:rsidRDefault="001B6FDC" w:rsidP="001B6FDC">
      <w:pPr>
        <w:rPr>
          <w:bCs/>
          <w:szCs w:val="19"/>
          <w:lang w:val="ru-RU"/>
        </w:rPr>
      </w:pPr>
      <w:r w:rsidRPr="00DD067F">
        <w:rPr>
          <w:bCs/>
          <w:szCs w:val="19"/>
          <w:lang w:val="ru-RU"/>
        </w:rPr>
        <w:t>2.1</w:t>
      </w:r>
      <w:r w:rsidRPr="00DD067F">
        <w:rPr>
          <w:bCs/>
          <w:szCs w:val="19"/>
          <w:lang w:val="ru-RU"/>
        </w:rPr>
        <w:tab/>
        <w:t>Сбор и анализ данных по р</w:t>
      </w:r>
      <w:r w:rsidRPr="00DD067F">
        <w:rPr>
          <w:bCs/>
          <w:lang w:val="ru-RU"/>
        </w:rPr>
        <w:t>егуляторной политике, касающейся воздействия электромагнитных полей от РЧ на человека, которую следует рассматривать или осуществлять для выдачи разрешений на установку станций радиосвязи</w:t>
      </w:r>
      <w:r w:rsidRPr="00DD067F">
        <w:rPr>
          <w:bCs/>
          <w:szCs w:val="19"/>
          <w:lang w:val="ru-RU"/>
        </w:rPr>
        <w:t xml:space="preserve">. </w:t>
      </w:r>
    </w:p>
    <w:p w:rsidR="001B6FDC" w:rsidRPr="00DD067F" w:rsidRDefault="001B6FDC" w:rsidP="001B6FDC">
      <w:pPr>
        <w:rPr>
          <w:bCs/>
          <w:szCs w:val="19"/>
          <w:lang w:val="ru-RU"/>
        </w:rPr>
      </w:pPr>
      <w:r w:rsidRPr="00DD067F">
        <w:rPr>
          <w:bCs/>
          <w:szCs w:val="19"/>
          <w:lang w:val="ru-RU"/>
        </w:rPr>
        <w:t>2.2</w:t>
      </w:r>
      <w:r w:rsidRPr="00DD067F">
        <w:rPr>
          <w:bCs/>
          <w:szCs w:val="19"/>
          <w:lang w:val="ru-RU"/>
        </w:rPr>
        <w:tab/>
      </w:r>
      <w:r w:rsidRPr="00DD067F">
        <w:rPr>
          <w:bCs/>
          <w:lang w:val="ru-RU"/>
        </w:rPr>
        <w:t>Описание стратегий и методов, применяемых для повышения уровня информированности населения и предоставления информации населению об установленном воздействии электромагнитных полей от РЧ, создаваемых системами радиосвязи</w:t>
      </w:r>
      <w:r w:rsidRPr="00DD067F">
        <w:rPr>
          <w:bCs/>
          <w:szCs w:val="19"/>
          <w:lang w:val="ru-RU"/>
        </w:rPr>
        <w:t>.</w:t>
      </w:r>
    </w:p>
    <w:p w:rsidR="001B6FDC" w:rsidRPr="00DD067F" w:rsidRDefault="001B6FDC" w:rsidP="001B6FDC">
      <w:pPr>
        <w:rPr>
          <w:szCs w:val="19"/>
          <w:lang w:val="ru-RU"/>
        </w:rPr>
      </w:pPr>
      <w:r w:rsidRPr="00DD067F">
        <w:rPr>
          <w:bCs/>
          <w:szCs w:val="19"/>
          <w:lang w:val="ru-RU"/>
        </w:rPr>
        <w:t>2.3</w:t>
      </w:r>
      <w:r w:rsidRPr="00DD067F">
        <w:rPr>
          <w:szCs w:val="19"/>
          <w:lang w:val="ru-RU"/>
        </w:rPr>
        <w:tab/>
        <w:t>Предложение руководящих указаний по методам повышения уровня осведомленности населения наряду с образцами передового опыта на основе деятельности стран по этому вопросу.</w:t>
      </w:r>
    </w:p>
    <w:p w:rsidR="001B6FDC" w:rsidRPr="00DD067F" w:rsidRDefault="001B6FDC" w:rsidP="001B6FDC">
      <w:pPr>
        <w:rPr>
          <w:rFonts w:cs="Arial"/>
          <w:szCs w:val="19"/>
          <w:lang w:val="ru-RU"/>
        </w:rPr>
      </w:pPr>
      <w:r w:rsidRPr="00DD067F">
        <w:rPr>
          <w:rFonts w:cs="Arial"/>
          <w:szCs w:val="19"/>
          <w:lang w:val="ru-RU"/>
        </w:rPr>
        <w:lastRenderedPageBreak/>
        <w:t>2.4</w:t>
      </w:r>
      <w:r w:rsidRPr="00DD067F">
        <w:rPr>
          <w:rFonts w:cs="Arial"/>
          <w:szCs w:val="19"/>
          <w:lang w:val="ru-RU"/>
        </w:rPr>
        <w:tab/>
        <w:t>Отчет рассчитан на то, чтобы ориентировать Государства-Члены в обеспечении соблюдения стандартов воздействия РЧ на человека и реагировании на представления о воздействии РЧ на человека.</w:t>
      </w:r>
    </w:p>
    <w:p w:rsidR="001B6FDC" w:rsidRPr="00DD067F" w:rsidRDefault="001B6FDC" w:rsidP="001B6FDC">
      <w:pPr>
        <w:rPr>
          <w:rFonts w:cs="Arial"/>
          <w:szCs w:val="19"/>
          <w:lang w:val="ru-RU"/>
        </w:rPr>
      </w:pPr>
      <w:r w:rsidRPr="00DD067F">
        <w:rPr>
          <w:rFonts w:cs="Arial"/>
          <w:szCs w:val="19"/>
          <w:lang w:val="ru-RU"/>
        </w:rPr>
        <w:t>2.5</w:t>
      </w:r>
      <w:r w:rsidRPr="00DD067F">
        <w:rPr>
          <w:rFonts w:cs="Arial"/>
          <w:szCs w:val="19"/>
          <w:lang w:val="ru-RU"/>
        </w:rPr>
        <w:tab/>
        <w:t>В отчете приводятся:</w:t>
      </w:r>
    </w:p>
    <w:p w:rsidR="001B6FDC" w:rsidRPr="0044642E" w:rsidRDefault="001B6FDC" w:rsidP="001B6FDC">
      <w:pPr>
        <w:pStyle w:val="Enumlevel1"/>
        <w:rPr>
          <w:szCs w:val="16"/>
          <w:lang w:val="ru-RU"/>
        </w:rPr>
      </w:pPr>
      <w:r w:rsidRPr="0044642E">
        <w:rPr>
          <w:lang w:val="ru-RU"/>
        </w:rPr>
        <w:t>−</w:t>
      </w:r>
      <w:r w:rsidRPr="0044642E">
        <w:rPr>
          <w:lang w:val="ru-RU"/>
        </w:rPr>
        <w:tab/>
        <w:t>информация о технических параметрах (например, предельно допустимых уровнях воздействия РЧ, минимальное расстояние, высота антенны над крышей)</w:t>
      </w:r>
      <w:r w:rsidRPr="0044642E">
        <w:rPr>
          <w:szCs w:val="16"/>
          <w:lang w:val="ru-RU"/>
        </w:rPr>
        <w:t>;</w:t>
      </w:r>
    </w:p>
    <w:p w:rsidR="001B6FDC" w:rsidRPr="00DD067F" w:rsidRDefault="001B6FDC" w:rsidP="001B6FDC">
      <w:pPr>
        <w:pStyle w:val="Enumlevel1"/>
        <w:rPr>
          <w:szCs w:val="16"/>
          <w:lang w:val="ru-RU"/>
        </w:rPr>
      </w:pPr>
      <w:r w:rsidRPr="00DD067F">
        <w:rPr>
          <w:lang w:val="ru-RU"/>
        </w:rPr>
        <w:t>−</w:t>
      </w:r>
      <w:r w:rsidRPr="00DD067F">
        <w:rPr>
          <w:lang w:val="ru-RU"/>
        </w:rPr>
        <w:tab/>
        <w:t>технические оценки для установления соблюдения передающими антеннами соответствующих предельно допустимых уровней воздействия РЧ</w:t>
      </w:r>
      <w:r w:rsidRPr="00DD067F">
        <w:rPr>
          <w:szCs w:val="16"/>
          <w:lang w:val="ru-RU"/>
        </w:rPr>
        <w:t>;</w:t>
      </w:r>
    </w:p>
    <w:p w:rsidR="001B6FDC" w:rsidRPr="0044642E" w:rsidRDefault="001B6FDC" w:rsidP="001B6FDC">
      <w:pPr>
        <w:pStyle w:val="Enumlevel1"/>
        <w:rPr>
          <w:szCs w:val="16"/>
          <w:lang w:val="ru-RU"/>
        </w:rPr>
      </w:pPr>
      <w:r w:rsidRPr="0044642E">
        <w:rPr>
          <w:lang w:val="ru-RU"/>
        </w:rPr>
        <w:t>−</w:t>
      </w:r>
      <w:r w:rsidRPr="0044642E">
        <w:rPr>
          <w:lang w:val="ru-RU"/>
        </w:rPr>
        <w:tab/>
        <w:t>сведения о том, как поступать в случае расположения узлов вблизи объектов общественного пользования</w:t>
      </w:r>
      <w:r w:rsidRPr="0044642E">
        <w:rPr>
          <w:szCs w:val="16"/>
          <w:lang w:val="ru-RU"/>
        </w:rPr>
        <w:t>;</w:t>
      </w:r>
    </w:p>
    <w:p w:rsidR="001B6FDC" w:rsidRPr="0044642E" w:rsidRDefault="001B6FDC" w:rsidP="001B6FDC">
      <w:pPr>
        <w:pStyle w:val="Enumlevel1"/>
        <w:rPr>
          <w:szCs w:val="16"/>
          <w:lang w:val="ru-RU"/>
        </w:rPr>
      </w:pPr>
      <w:r w:rsidRPr="0044642E">
        <w:rPr>
          <w:lang w:val="ru-RU"/>
        </w:rPr>
        <w:t>−</w:t>
      </w:r>
      <w:r w:rsidRPr="0044642E">
        <w:rPr>
          <w:lang w:val="ru-RU"/>
        </w:rPr>
        <w:tab/>
        <w:t>данные о контроле за тем, чтобы оборудование соответствовало предельно допустимым уровням воздействия РЧ; и</w:t>
      </w:r>
      <w:r w:rsidRPr="0044642E">
        <w:rPr>
          <w:szCs w:val="16"/>
          <w:lang w:val="ru-RU"/>
        </w:rPr>
        <w:t xml:space="preserve"> </w:t>
      </w:r>
    </w:p>
    <w:p w:rsidR="001B6FDC" w:rsidRPr="0044642E" w:rsidRDefault="001B6FDC" w:rsidP="001B6FDC">
      <w:pPr>
        <w:pStyle w:val="Enumlevel1"/>
        <w:rPr>
          <w:szCs w:val="16"/>
          <w:lang w:val="ru-RU"/>
        </w:rPr>
      </w:pPr>
      <w:r w:rsidRPr="0044642E">
        <w:rPr>
          <w:lang w:val="ru-RU"/>
        </w:rPr>
        <w:t>−</w:t>
      </w:r>
      <w:r w:rsidRPr="0044642E">
        <w:rPr>
          <w:lang w:val="ru-RU"/>
        </w:rPr>
        <w:tab/>
        <w:t>руководство по измерению уровней воздействия РЧ</w:t>
      </w:r>
      <w:r w:rsidRPr="0044642E">
        <w:rPr>
          <w:szCs w:val="16"/>
          <w:lang w:val="ru-RU"/>
        </w:rPr>
        <w:t>.</w:t>
      </w:r>
    </w:p>
    <w:p w:rsidR="001B6FDC" w:rsidRPr="001B6FDC" w:rsidRDefault="001B6FDC" w:rsidP="001B6FDC">
      <w:pPr>
        <w:pStyle w:val="Heading1"/>
        <w:rPr>
          <w:lang w:val="ru-RU"/>
        </w:rPr>
      </w:pPr>
      <w:bookmarkStart w:id="27" w:name="_Toc370394195"/>
      <w:bookmarkStart w:id="28" w:name="_Toc370477278"/>
      <w:bookmarkStart w:id="29" w:name="_Toc370477557"/>
      <w:bookmarkStart w:id="30" w:name="_Toc377482091"/>
      <w:r w:rsidRPr="001B6FDC">
        <w:rPr>
          <w:lang w:val="ru-RU"/>
        </w:rPr>
        <w:t>3</w:t>
      </w:r>
      <w:r w:rsidRPr="001B6FDC">
        <w:rPr>
          <w:lang w:val="ru-RU"/>
        </w:rPr>
        <w:tab/>
        <w:t>Сотрудничество с другими Секторами и организациями</w:t>
      </w:r>
      <w:bookmarkEnd w:id="27"/>
      <w:bookmarkEnd w:id="28"/>
      <w:bookmarkEnd w:id="29"/>
      <w:bookmarkEnd w:id="30"/>
    </w:p>
    <w:p w:rsidR="001B6FDC" w:rsidRPr="00DD067F" w:rsidRDefault="001B6FDC" w:rsidP="00DD067F">
      <w:pPr>
        <w:rPr>
          <w:rFonts w:cs="Arial"/>
          <w:bCs/>
          <w:lang w:val="ru-RU"/>
        </w:rPr>
      </w:pPr>
      <w:r w:rsidRPr="00DD067F">
        <w:rPr>
          <w:bCs/>
          <w:lang w:val="ru-RU"/>
        </w:rPr>
        <w:t>3.1</w:t>
      </w:r>
      <w:r w:rsidRPr="00DD067F">
        <w:rPr>
          <w:bCs/>
          <w:lang w:val="ru-RU"/>
        </w:rPr>
        <w:tab/>
        <w:t>На протяжении исследовательского периода данный Вопрос сотрудничал с другими Секторами и организациями, такими как ИК5 МСЭ-Т, РГ 1С ИК1 МСЭ-R и ВОЗ</w:t>
      </w:r>
      <w:r w:rsidRPr="00DD067F">
        <w:rPr>
          <w:rFonts w:cs="Arial"/>
          <w:bCs/>
          <w:lang w:val="ru-RU"/>
        </w:rPr>
        <w:t>.</w:t>
      </w:r>
    </w:p>
    <w:p w:rsidR="001B6FDC" w:rsidRPr="00DD067F" w:rsidRDefault="001B6FDC" w:rsidP="00DD067F">
      <w:pPr>
        <w:rPr>
          <w:rFonts w:cs="Arial"/>
          <w:bCs/>
          <w:lang w:val="ru-RU"/>
        </w:rPr>
      </w:pPr>
      <w:r w:rsidRPr="00DD067F">
        <w:rPr>
          <w:bCs/>
          <w:lang w:val="ru-RU"/>
        </w:rPr>
        <w:t>3.2</w:t>
      </w:r>
      <w:r w:rsidRPr="00DD067F">
        <w:rPr>
          <w:bCs/>
          <w:lang w:val="ru-RU"/>
        </w:rPr>
        <w:tab/>
        <w:t>В адрес ИК5 МСЭ-Т и РГ 1С ИК1 МСЭ-R были направлены заявления о взаимодействии с просьбой предоставлять информацию по итогам технических заключений и периодически обновлять сведения о ходе проводимой ими работы в области ЭМП</w:t>
      </w:r>
      <w:r w:rsidRPr="00DD067F">
        <w:rPr>
          <w:rFonts w:cs="Arial"/>
          <w:bCs/>
          <w:lang w:val="ru-RU"/>
        </w:rPr>
        <w:t>. ИК представили подробную информацию о соответствующих видах деятельности и выразили мнение, что сотрудничество по вопросам ЭМП, тем более что эксперты участвуют в работе всех групп, обеспечивает отсутствие дублирования усилий. Это приносит пользу всем группам.</w:t>
      </w:r>
    </w:p>
    <w:p w:rsidR="001B6FDC" w:rsidRPr="00DD067F" w:rsidRDefault="001B6FDC" w:rsidP="00DD067F">
      <w:pPr>
        <w:rPr>
          <w:rFonts w:cs="Arial"/>
          <w:bCs/>
          <w:lang w:val="ru-RU"/>
        </w:rPr>
      </w:pPr>
      <w:r w:rsidRPr="00DD067F">
        <w:rPr>
          <w:rFonts w:cs="Arial"/>
          <w:bCs/>
          <w:lang w:val="ru-RU"/>
        </w:rPr>
        <w:t>3.3</w:t>
      </w:r>
      <w:r w:rsidRPr="00DD067F">
        <w:rPr>
          <w:rFonts w:cs="Arial"/>
          <w:bCs/>
          <w:lang w:val="ru-RU"/>
        </w:rPr>
        <w:tab/>
        <w:t>В рамках своей инициативы по сокращению разрыва в стандартизации МСЭ-Т проводил в различных странах мира мероприятия, с тем чтобы помочь странам в реализации стандартов МСЭ</w:t>
      </w:r>
      <w:r w:rsidRPr="00DD067F">
        <w:rPr>
          <w:rFonts w:cs="Arial"/>
          <w:bCs/>
          <w:lang w:val="ru-RU"/>
        </w:rPr>
        <w:noBreakHyphen/>
        <w:t>Т. Для повышения уровня осведомленности по вопросам ЭМП также проводились семинары-практикумы, последний из которых состоялся в Турине, Италия, 9 мая 2013 года, и на нем был принят призыв к действиям</w:t>
      </w:r>
      <w:r w:rsidRPr="00DD067F">
        <w:rPr>
          <w:rStyle w:val="FootnoteReference"/>
          <w:rFonts w:cs="Arial"/>
          <w:bCs/>
          <w:lang w:val="ru-RU"/>
        </w:rPr>
        <w:footnoteReference w:id="3"/>
      </w:r>
      <w:r w:rsidRPr="00DD067F">
        <w:rPr>
          <w:rFonts w:cs="Arial"/>
          <w:bCs/>
          <w:lang w:val="ru-RU"/>
        </w:rPr>
        <w:t xml:space="preserve">. </w:t>
      </w:r>
    </w:p>
    <w:p w:rsidR="001B6FDC" w:rsidRPr="00DD067F" w:rsidRDefault="001B6FDC" w:rsidP="00DD067F">
      <w:pPr>
        <w:rPr>
          <w:bCs/>
          <w:lang w:val="ru-RU"/>
        </w:rPr>
      </w:pPr>
      <w:r w:rsidRPr="00DD067F">
        <w:rPr>
          <w:rFonts w:cs="Arial"/>
          <w:bCs/>
          <w:lang w:val="ru-RU"/>
        </w:rPr>
        <w:t>3.4</w:t>
      </w:r>
      <w:r w:rsidRPr="00DD067F">
        <w:rPr>
          <w:rFonts w:cs="Arial"/>
          <w:bCs/>
          <w:lang w:val="ru-RU"/>
        </w:rPr>
        <w:tab/>
      </w:r>
      <w:r w:rsidRPr="00DD067F">
        <w:rPr>
          <w:bCs/>
          <w:lang w:val="ru-RU"/>
        </w:rPr>
        <w:t>РГ С1 ИК1 МСЭ-R, работающая над темой "Контроль за использованием спектра", утвердила издание Справочника МСЭ по контролю за использованием спектра 2011 года, в котором содержится информация по измерениям неионизирующего излучения</w:t>
      </w:r>
      <w:r w:rsidRPr="00DD067F">
        <w:rPr>
          <w:rFonts w:cs="Arial"/>
          <w:bCs/>
          <w:lang w:val="ru-RU"/>
        </w:rPr>
        <w:t>.</w:t>
      </w:r>
    </w:p>
    <w:p w:rsidR="001B6FDC" w:rsidRPr="00DD067F" w:rsidRDefault="001B6FDC" w:rsidP="00DD067F">
      <w:pPr>
        <w:rPr>
          <w:rFonts w:cs="Arial"/>
          <w:bCs/>
          <w:szCs w:val="19"/>
          <w:lang w:val="ru-RU"/>
        </w:rPr>
      </w:pPr>
      <w:r w:rsidRPr="00DD067F">
        <w:rPr>
          <w:rFonts w:cs="Arial"/>
          <w:bCs/>
          <w:szCs w:val="19"/>
          <w:lang w:val="ru-RU"/>
        </w:rPr>
        <w:t>3.5</w:t>
      </w:r>
      <w:r w:rsidRPr="00DD067F">
        <w:rPr>
          <w:rFonts w:cs="Arial"/>
          <w:bCs/>
          <w:szCs w:val="19"/>
          <w:lang w:val="ru-RU"/>
        </w:rPr>
        <w:tab/>
      </w:r>
      <w:r w:rsidRPr="00DD067F">
        <w:rPr>
          <w:bCs/>
          <w:lang w:val="ru-RU"/>
        </w:rPr>
        <w:t>Кроме того, ИК6 МСЭ-R опубликовала Рекомендацию BS.1698 (2005 г.) "Оценка полей от наземных радиовещательных передающих систем, работающих в любых полосах частот, для определения воздействия неионизирующего излучения". В этой Рекомендации дается оценка значений воздействия РЧ радиовещательных станций в целях содействия в разработке стандартов для защиты человека от потенциально вредного воздействия</w:t>
      </w:r>
      <w:r w:rsidRPr="00DD067F">
        <w:rPr>
          <w:rFonts w:cs="Arial"/>
          <w:bCs/>
          <w:szCs w:val="19"/>
          <w:lang w:val="ru-RU"/>
        </w:rPr>
        <w:t>.</w:t>
      </w:r>
    </w:p>
    <w:p w:rsidR="001B6FDC" w:rsidRPr="00DD067F" w:rsidRDefault="001B6FDC" w:rsidP="00DD067F">
      <w:pPr>
        <w:rPr>
          <w:rFonts w:cs="Arial"/>
          <w:bCs/>
          <w:szCs w:val="19"/>
          <w:lang w:val="ru-RU"/>
        </w:rPr>
      </w:pPr>
      <w:r w:rsidRPr="00DD067F">
        <w:rPr>
          <w:rFonts w:cs="Arial"/>
          <w:bCs/>
          <w:szCs w:val="19"/>
          <w:lang w:val="ru-RU"/>
        </w:rPr>
        <w:t>3.6</w:t>
      </w:r>
      <w:r w:rsidRPr="00DD067F">
        <w:rPr>
          <w:rFonts w:cs="Arial"/>
          <w:bCs/>
          <w:szCs w:val="19"/>
          <w:lang w:val="ru-RU"/>
        </w:rPr>
        <w:tab/>
      </w:r>
      <w:r w:rsidRPr="00DD067F">
        <w:rPr>
          <w:bCs/>
          <w:lang w:val="ru-RU"/>
        </w:rPr>
        <w:t>ИК5 МСЭ-Т информировала МСЭ-D о</w:t>
      </w:r>
      <w:r w:rsidRPr="00DD067F">
        <w:rPr>
          <w:rFonts w:cs="Arial"/>
          <w:bCs/>
          <w:szCs w:val="19"/>
          <w:lang w:val="ru-RU"/>
        </w:rPr>
        <w:t xml:space="preserve"> наличии новых Рекомендаций</w:t>
      </w:r>
      <w:r w:rsidRPr="00DD067F">
        <w:rPr>
          <w:bCs/>
          <w:szCs w:val="19"/>
          <w:lang w:val="ru-RU"/>
        </w:rPr>
        <w:t>:</w:t>
      </w:r>
    </w:p>
    <w:p w:rsidR="001B6FDC" w:rsidRPr="0044642E" w:rsidRDefault="001B6FDC" w:rsidP="00DD067F">
      <w:pPr>
        <w:pStyle w:val="Enumlevel1"/>
        <w:rPr>
          <w:szCs w:val="16"/>
          <w:lang w:val="ru-RU"/>
        </w:rPr>
      </w:pPr>
      <w:r w:rsidRPr="0044642E">
        <w:rPr>
          <w:szCs w:val="16"/>
          <w:lang w:val="ru-RU"/>
        </w:rPr>
        <w:t>−</w:t>
      </w:r>
      <w:r w:rsidRPr="0044642E">
        <w:rPr>
          <w:szCs w:val="16"/>
          <w:lang w:val="ru-RU"/>
        </w:rPr>
        <w:tab/>
      </w:r>
      <w:r w:rsidRPr="001F3A1E">
        <w:rPr>
          <w:szCs w:val="16"/>
        </w:rPr>
        <w:t>K</w:t>
      </w:r>
      <w:r w:rsidRPr="0044642E">
        <w:rPr>
          <w:szCs w:val="16"/>
          <w:lang w:val="ru-RU"/>
        </w:rPr>
        <w:t>.91 "</w:t>
      </w:r>
      <w:r w:rsidRPr="0044642E">
        <w:rPr>
          <w:lang w:val="ru-RU"/>
        </w:rPr>
        <w:t>Руководство по оценке, определению и контролю воздействия электромагнитных полей от радиочастот на человека"</w:t>
      </w:r>
      <w:r w:rsidRPr="0044642E">
        <w:rPr>
          <w:szCs w:val="16"/>
          <w:lang w:val="ru-RU"/>
        </w:rPr>
        <w:t>;</w:t>
      </w:r>
    </w:p>
    <w:p w:rsidR="001B6FDC" w:rsidRPr="0044642E" w:rsidRDefault="001B6FDC" w:rsidP="00DD067F">
      <w:pPr>
        <w:pStyle w:val="Enumlevel1"/>
        <w:rPr>
          <w:szCs w:val="16"/>
          <w:lang w:val="ru-RU"/>
        </w:rPr>
      </w:pPr>
      <w:r w:rsidRPr="0044642E">
        <w:rPr>
          <w:szCs w:val="16"/>
          <w:lang w:val="ru-RU"/>
        </w:rPr>
        <w:t>−</w:t>
      </w:r>
      <w:r w:rsidRPr="0044642E">
        <w:rPr>
          <w:szCs w:val="16"/>
          <w:lang w:val="ru-RU"/>
        </w:rPr>
        <w:tab/>
      </w:r>
      <w:r w:rsidRPr="001F3A1E">
        <w:rPr>
          <w:szCs w:val="16"/>
        </w:rPr>
        <w:t>K</w:t>
      </w:r>
      <w:r w:rsidRPr="0044642E">
        <w:rPr>
          <w:szCs w:val="16"/>
          <w:lang w:val="ru-RU"/>
        </w:rPr>
        <w:t>.83 "</w:t>
      </w:r>
      <w:r w:rsidRPr="0044642E">
        <w:rPr>
          <w:lang w:val="ru-RU"/>
        </w:rPr>
        <w:t>Контроль за уровнями электромагнитных полей"</w:t>
      </w:r>
      <w:r w:rsidRPr="0044642E">
        <w:rPr>
          <w:szCs w:val="16"/>
          <w:lang w:val="ru-RU"/>
        </w:rPr>
        <w:t>;</w:t>
      </w:r>
    </w:p>
    <w:p w:rsidR="001B6FDC" w:rsidRPr="001B6FDC" w:rsidRDefault="001B6FDC" w:rsidP="00DD067F">
      <w:pPr>
        <w:pStyle w:val="Enumlevel1"/>
        <w:rPr>
          <w:szCs w:val="16"/>
          <w:lang w:val="ru-RU"/>
        </w:rPr>
      </w:pPr>
      <w:r w:rsidRPr="001B6FDC">
        <w:rPr>
          <w:lang w:val="ru-RU"/>
        </w:rPr>
        <w:lastRenderedPageBreak/>
        <w:t>−</w:t>
      </w:r>
      <w:r w:rsidRPr="001B6FDC">
        <w:rPr>
          <w:lang w:val="ru-RU"/>
        </w:rPr>
        <w:tab/>
        <w:t xml:space="preserve">Рекомендации </w:t>
      </w:r>
      <w:r w:rsidRPr="001F3A1E">
        <w:t>K</w:t>
      </w:r>
      <w:r w:rsidRPr="001B6FDC">
        <w:rPr>
          <w:lang w:val="ru-RU"/>
        </w:rPr>
        <w:t>.70 (06/2007) "Методы снижения воздействия РЧ-сигналов на человека вблизи станций радиосвязи";</w:t>
      </w:r>
    </w:p>
    <w:p w:rsidR="001B6FDC" w:rsidRPr="001B6FDC" w:rsidRDefault="001B6FDC" w:rsidP="00DD067F">
      <w:pPr>
        <w:pStyle w:val="Enumlevel1"/>
        <w:rPr>
          <w:szCs w:val="16"/>
          <w:lang w:val="ru-RU"/>
        </w:rPr>
      </w:pPr>
      <w:r w:rsidRPr="001B6FDC">
        <w:rPr>
          <w:szCs w:val="16"/>
          <w:lang w:val="ru-RU"/>
        </w:rPr>
        <w:t>−</w:t>
      </w:r>
      <w:r w:rsidRPr="001B6FDC">
        <w:rPr>
          <w:szCs w:val="16"/>
          <w:lang w:val="ru-RU"/>
        </w:rPr>
        <w:tab/>
        <w:t>Нового Вопроса 7/5 МСЭ-Т по воздействию на человека.</w:t>
      </w:r>
    </w:p>
    <w:p w:rsidR="001B6FDC" w:rsidRPr="00DD067F" w:rsidRDefault="001B6FDC" w:rsidP="00DD067F">
      <w:pPr>
        <w:rPr>
          <w:bCs/>
          <w:smallCaps/>
          <w:lang w:val="ru-RU"/>
        </w:rPr>
      </w:pPr>
      <w:r w:rsidRPr="00DD067F">
        <w:rPr>
          <w:bCs/>
          <w:lang w:val="ru-RU"/>
        </w:rPr>
        <w:t>3.7</w:t>
      </w:r>
      <w:r w:rsidRPr="00DD067F">
        <w:rPr>
          <w:bCs/>
          <w:lang w:val="ru-RU"/>
        </w:rPr>
        <w:tab/>
        <w:t>Взгляды Всемирной организации здравоохранения (ВОЗ)</w:t>
      </w:r>
    </w:p>
    <w:p w:rsidR="001B6FDC" w:rsidRPr="00DD067F" w:rsidRDefault="001B6FDC" w:rsidP="00DD067F">
      <w:pPr>
        <w:rPr>
          <w:rFonts w:cs="Arial"/>
          <w:szCs w:val="19"/>
          <w:lang w:val="ru-RU"/>
        </w:rPr>
      </w:pPr>
      <w:r w:rsidRPr="00DD067F">
        <w:rPr>
          <w:rFonts w:cs="Arial"/>
          <w:szCs w:val="19"/>
          <w:lang w:val="ru-RU"/>
        </w:rPr>
        <w:t>3.7.1</w:t>
      </w:r>
      <w:r w:rsidRPr="00DD067F">
        <w:rPr>
          <w:rFonts w:cs="Arial"/>
          <w:szCs w:val="19"/>
          <w:lang w:val="ru-RU"/>
        </w:rPr>
        <w:tab/>
      </w:r>
      <w:r w:rsidRPr="00DD067F">
        <w:rPr>
          <w:lang w:val="ru-RU"/>
        </w:rPr>
        <w:t>Международный проект ВОЗ в области ЭМП был создан в 1996 году. К числу его целей относятся следующие: обзор литературы по воздействию ЭМП на здоровье человека и содействие разработке согласованных стандартов, приемлемых на международном уровне. К партнерам ВОЗ в этой области относятся МСЭ, Международная организация труда (МОТ), Международная комиссия по защите от неионизирующего излучения (</w:t>
      </w:r>
      <w:r w:rsidRPr="00DD067F">
        <w:rPr>
          <w:rFonts w:cs="Segoe UI"/>
          <w:color w:val="000000"/>
          <w:szCs w:val="18"/>
          <w:lang w:val="ru-RU"/>
        </w:rPr>
        <w:t>ICNIRP</w:t>
      </w:r>
      <w:r w:rsidRPr="00DD067F">
        <w:rPr>
          <w:lang w:val="ru-RU"/>
        </w:rPr>
        <w:t>), Программа Организации Объединенных Наций по окружающей среде (ЮНЕП) и другие. ВОЗ не проводит и не финансирует исследований, а оценивает результаты исследований, которые представляются на научных семинарах-практикумах, и оценки риска здоровью</w:t>
      </w:r>
      <w:r w:rsidRPr="00DD067F">
        <w:rPr>
          <w:rFonts w:cs="Arial"/>
          <w:szCs w:val="19"/>
          <w:lang w:val="ru-RU"/>
        </w:rPr>
        <w:t xml:space="preserve">. </w:t>
      </w:r>
    </w:p>
    <w:p w:rsidR="001B6FDC" w:rsidRPr="00DD067F" w:rsidRDefault="001B6FDC" w:rsidP="00DD067F">
      <w:pPr>
        <w:rPr>
          <w:rFonts w:cs="Arial"/>
          <w:szCs w:val="19"/>
          <w:lang w:val="ru-RU"/>
        </w:rPr>
      </w:pPr>
      <w:r w:rsidRPr="00DD067F">
        <w:rPr>
          <w:rFonts w:cs="Arial"/>
          <w:szCs w:val="19"/>
          <w:lang w:val="ru-RU"/>
        </w:rPr>
        <w:t>3.7.2</w:t>
      </w:r>
      <w:r w:rsidRPr="00DD067F">
        <w:rPr>
          <w:rFonts w:cs="Arial"/>
          <w:szCs w:val="19"/>
          <w:lang w:val="ru-RU"/>
        </w:rPr>
        <w:tab/>
      </w:r>
      <w:r w:rsidRPr="00DD067F">
        <w:rPr>
          <w:lang w:val="ru-RU"/>
        </w:rPr>
        <w:t>Согласно информационному бюллетеню 193 ВОЗ от 2011 года</w:t>
      </w:r>
      <w:r w:rsidRPr="00DD067F">
        <w:rPr>
          <w:rStyle w:val="FootnoteReference"/>
          <w:lang w:val="ru-RU"/>
        </w:rPr>
        <w:footnoteReference w:id="4"/>
      </w:r>
      <w:r w:rsidRPr="00DD067F">
        <w:rPr>
          <w:lang w:val="ru-RU"/>
        </w:rPr>
        <w:t>, не было установлено какого-либо вредного воздействия на здоровье от пользования мобильными телефонами и продолжаются исследования по оценке потенциального долгосрочного воздействия пользования мобильными телефонами. Вывод, содержащийся в информационном бюллетене 304 ВОЗ, состоит в том, что до настоящего времени не имеется убедительных научных свидетельств того, что слабые РЧ-сигналы от базовых станций и беспроводных сетей оказывают вредное воздействие на здоровье</w:t>
      </w:r>
      <w:r w:rsidRPr="00DD067F">
        <w:rPr>
          <w:rStyle w:val="FootnoteReference"/>
          <w:lang w:val="ru-RU"/>
        </w:rPr>
        <w:footnoteReference w:id="5"/>
      </w:r>
      <w:r w:rsidRPr="00DD067F">
        <w:rPr>
          <w:lang w:val="ru-RU"/>
        </w:rPr>
        <w:t>.</w:t>
      </w:r>
    </w:p>
    <w:p w:rsidR="001B6FDC" w:rsidRPr="001B6FDC" w:rsidRDefault="001B6FDC" w:rsidP="001B6FDC">
      <w:pPr>
        <w:pStyle w:val="Heading1"/>
        <w:rPr>
          <w:lang w:val="ru-RU"/>
        </w:rPr>
      </w:pPr>
      <w:bookmarkStart w:id="31" w:name="_Toc370394196"/>
      <w:bookmarkStart w:id="32" w:name="_Toc370477279"/>
      <w:bookmarkStart w:id="33" w:name="_Toc370477558"/>
      <w:bookmarkStart w:id="34" w:name="_Toc377482092"/>
      <w:r w:rsidRPr="001B6FDC">
        <w:rPr>
          <w:lang w:val="ru-RU"/>
        </w:rPr>
        <w:t>4</w:t>
      </w:r>
      <w:r w:rsidRPr="001B6FDC">
        <w:rPr>
          <w:lang w:val="ru-RU"/>
        </w:rPr>
        <w:tab/>
        <w:t>Принцип предосторожности применительно к воздействию ЭМП на человека</w:t>
      </w:r>
      <w:bookmarkEnd w:id="31"/>
      <w:bookmarkEnd w:id="32"/>
      <w:bookmarkEnd w:id="33"/>
      <w:bookmarkEnd w:id="34"/>
    </w:p>
    <w:p w:rsidR="001B6FDC" w:rsidRPr="00DD067F" w:rsidRDefault="001B6FDC" w:rsidP="00DD067F">
      <w:pPr>
        <w:rPr>
          <w:bCs/>
          <w:szCs w:val="19"/>
          <w:lang w:val="ru-RU"/>
        </w:rPr>
      </w:pPr>
      <w:r w:rsidRPr="00DD067F">
        <w:rPr>
          <w:bCs/>
          <w:szCs w:val="19"/>
          <w:lang w:val="ru-RU"/>
        </w:rPr>
        <w:t>4.1</w:t>
      </w:r>
      <w:r w:rsidRPr="00DD067F">
        <w:rPr>
          <w:bCs/>
          <w:szCs w:val="19"/>
          <w:lang w:val="ru-RU"/>
        </w:rPr>
        <w:tab/>
      </w:r>
      <w:r w:rsidRPr="00DD067F">
        <w:rPr>
          <w:bCs/>
          <w:lang w:val="ru-RU"/>
        </w:rPr>
        <w:t xml:space="preserve">В настоящее время основная обеспокоенность населения связана с возможными долговременными последствиями для здоровья, вызванными воздействием электромагнитных полей с более низкими уровнями, чем те, при которых возникают острые биологические реакции. В проекте </w:t>
      </w:r>
      <w:r w:rsidRPr="00DD067F">
        <w:rPr>
          <w:bCs/>
          <w:szCs w:val="19"/>
          <w:lang w:val="ru-RU"/>
        </w:rPr>
        <w:t>справочного документа</w:t>
      </w:r>
      <w:r w:rsidRPr="00DD067F">
        <w:rPr>
          <w:rStyle w:val="FootnoteReference"/>
          <w:bCs/>
          <w:szCs w:val="19"/>
          <w:lang w:val="ru-RU"/>
        </w:rPr>
        <w:footnoteReference w:id="6"/>
      </w:r>
      <w:r w:rsidRPr="00DD067F">
        <w:rPr>
          <w:bCs/>
          <w:szCs w:val="19"/>
          <w:lang w:val="ru-RU"/>
        </w:rPr>
        <w:t xml:space="preserve">, подготовленном ВОЗ к международному семинару для заинтересованных сторон по вопросам политики в области радиочастот (Париж, Франция, 5 июня 2013 г.), определены пять существующих в мире и возможно пересекающихся категорий профилей политики, связанной с управлением рисками воздействия РЧ. Определены следующие пять категорий политики: </w:t>
      </w:r>
    </w:p>
    <w:p w:rsidR="001B6FDC" w:rsidRPr="0044642E" w:rsidRDefault="001B6FDC" w:rsidP="00DD067F">
      <w:pPr>
        <w:pStyle w:val="Enumlevel1"/>
        <w:rPr>
          <w:lang w:val="ru-RU"/>
        </w:rPr>
      </w:pPr>
      <w:r w:rsidRPr="0044642E">
        <w:rPr>
          <w:lang w:val="ru-RU"/>
        </w:rPr>
        <w:t>−</w:t>
      </w:r>
      <w:r w:rsidRPr="0044642E">
        <w:rPr>
          <w:lang w:val="ru-RU"/>
        </w:rPr>
        <w:tab/>
        <w:t>на основе доказательств;</w:t>
      </w:r>
    </w:p>
    <w:p w:rsidR="001B6FDC" w:rsidRPr="0044642E" w:rsidRDefault="001B6FDC" w:rsidP="00DD067F">
      <w:pPr>
        <w:pStyle w:val="Enumlevel1"/>
        <w:rPr>
          <w:lang w:val="ru-RU"/>
        </w:rPr>
      </w:pPr>
      <w:r w:rsidRPr="0044642E">
        <w:rPr>
          <w:lang w:val="ru-RU"/>
        </w:rPr>
        <w:t>−</w:t>
      </w:r>
      <w:r w:rsidRPr="0044642E">
        <w:rPr>
          <w:lang w:val="ru-RU"/>
        </w:rPr>
        <w:tab/>
        <w:t>подход на основе принципа "предосторожности";</w:t>
      </w:r>
    </w:p>
    <w:p w:rsidR="001B6FDC" w:rsidRPr="0044642E" w:rsidRDefault="001B6FDC" w:rsidP="00DD067F">
      <w:pPr>
        <w:pStyle w:val="Enumlevel1"/>
        <w:rPr>
          <w:lang w:val="ru-RU"/>
        </w:rPr>
      </w:pPr>
      <w:r w:rsidRPr="0044642E">
        <w:rPr>
          <w:lang w:val="ru-RU"/>
        </w:rPr>
        <w:t>−</w:t>
      </w:r>
      <w:r w:rsidRPr="0044642E">
        <w:rPr>
          <w:lang w:val="ru-RU"/>
        </w:rPr>
        <w:tab/>
        <w:t xml:space="preserve">принцип </w:t>
      </w:r>
      <w:r w:rsidRPr="001F3A1E">
        <w:t>ALARA</w:t>
      </w:r>
      <w:r w:rsidRPr="001F3A1E">
        <w:rPr>
          <w:rStyle w:val="FootnoteReference"/>
          <w:szCs w:val="19"/>
          <w:lang w:val="ru-RU"/>
        </w:rPr>
        <w:footnoteReference w:id="7"/>
      </w:r>
      <w:r w:rsidRPr="0044642E">
        <w:rPr>
          <w:lang w:val="ru-RU"/>
        </w:rPr>
        <w:t>;</w:t>
      </w:r>
    </w:p>
    <w:p w:rsidR="001B6FDC" w:rsidRPr="0044642E" w:rsidRDefault="001B6FDC" w:rsidP="00DD067F">
      <w:pPr>
        <w:pStyle w:val="Enumlevel1"/>
        <w:rPr>
          <w:lang w:val="ru-RU"/>
        </w:rPr>
      </w:pPr>
      <w:r w:rsidRPr="0044642E">
        <w:rPr>
          <w:lang w:val="ru-RU"/>
        </w:rPr>
        <w:t>−</w:t>
      </w:r>
      <w:r w:rsidRPr="0044642E">
        <w:rPr>
          <w:lang w:val="ru-RU"/>
        </w:rPr>
        <w:tab/>
        <w:t>рекомендательная;</w:t>
      </w:r>
    </w:p>
    <w:p w:rsidR="001B6FDC" w:rsidRPr="0044642E" w:rsidRDefault="001B6FDC" w:rsidP="00DD067F">
      <w:pPr>
        <w:pStyle w:val="Enumlevel1"/>
        <w:rPr>
          <w:lang w:val="ru-RU"/>
        </w:rPr>
      </w:pPr>
      <w:r w:rsidRPr="0044642E">
        <w:rPr>
          <w:lang w:val="ru-RU"/>
        </w:rPr>
        <w:t>−</w:t>
      </w:r>
      <w:r w:rsidRPr="0044642E">
        <w:rPr>
          <w:lang w:val="ru-RU"/>
        </w:rPr>
        <w:tab/>
        <w:t>информация и консультации.</w:t>
      </w:r>
    </w:p>
    <w:p w:rsidR="001B6FDC" w:rsidRPr="00DD067F" w:rsidRDefault="001B6FDC" w:rsidP="00DD067F">
      <w:pPr>
        <w:rPr>
          <w:lang w:val="ru-RU"/>
        </w:rPr>
      </w:pPr>
      <w:r w:rsidRPr="00DD067F">
        <w:rPr>
          <w:lang w:val="ru-RU"/>
        </w:rPr>
        <w:lastRenderedPageBreak/>
        <w:t>По итогам анализа ответов</w:t>
      </w:r>
      <w:r w:rsidRPr="00DD067F">
        <w:rPr>
          <w:rStyle w:val="FootnoteReference"/>
          <w:szCs w:val="19"/>
          <w:lang w:val="ru-RU"/>
        </w:rPr>
        <w:footnoteReference w:id="8"/>
      </w:r>
      <w:r w:rsidRPr="00DD067F">
        <w:rPr>
          <w:lang w:val="ru-RU"/>
        </w:rPr>
        <w:t>, представленных в ходе обследования ВОЗ, в проекте доклада указано, что из 85 стран-респондентов в 77 странах установлены предельные уровни для стационарных установок. Среди стран, в которых определены предельные уровни воздействия (N=77), большинство придерживается значений ICNIRP (N=55), четыре страны заявили, что они установили собственные предельные значения, определенные на основе научных данных, две страны придерживаются предельных значений ФКС</w:t>
      </w:r>
      <w:r w:rsidRPr="00DD067F">
        <w:rPr>
          <w:rStyle w:val="FootnoteReference"/>
          <w:szCs w:val="19"/>
          <w:lang w:val="ru-RU"/>
        </w:rPr>
        <w:footnoteReference w:id="9"/>
      </w:r>
      <w:r w:rsidRPr="00DD067F">
        <w:rPr>
          <w:lang w:val="ru-RU"/>
        </w:rPr>
        <w:t>, и 16 стран используют предельные значения воздействия, которые ниже определенных в международных руководящих документах, в рамках ALARA (N=3) или подхода на основе принципа "предосторожности" (N=13).</w:t>
      </w:r>
    </w:p>
    <w:p w:rsidR="001B6FDC" w:rsidRPr="006253B9" w:rsidRDefault="001B6FDC" w:rsidP="00DD067F">
      <w:pPr>
        <w:rPr>
          <w:lang w:val="ru-RU"/>
        </w:rPr>
      </w:pPr>
      <w:r w:rsidRPr="00DD067F">
        <w:rPr>
          <w:lang w:val="ru-RU"/>
        </w:rPr>
        <w:t>Исследование ЭМП было начато ВОЗ и многими другими организациями для получения научно обоснованных и объективных ответов в связи с обеспокоенностью населения возможными опасностями электромагнитных полей. Как поясняет ВОЗ</w:t>
      </w:r>
      <w:r w:rsidRPr="00DD067F">
        <w:rPr>
          <w:rStyle w:val="FootnoteReference"/>
          <w:szCs w:val="19"/>
          <w:lang w:val="ru-RU"/>
        </w:rPr>
        <w:footnoteReference w:id="10"/>
      </w:r>
      <w:r w:rsidRPr="00DD067F">
        <w:rPr>
          <w:lang w:val="ru-RU"/>
        </w:rPr>
        <w:t xml:space="preserve">: </w:t>
      </w:r>
      <w:r w:rsidRPr="006253B9">
        <w:rPr>
          <w:lang w:val="ru-RU"/>
        </w:rPr>
        <w:t>"Принцип предосторожности</w:t>
      </w:r>
      <w:r w:rsidRPr="00D3476D">
        <w:t> </w:t>
      </w:r>
      <w:r w:rsidRPr="006253B9">
        <w:rPr>
          <w:lang w:val="ru-RU"/>
        </w:rPr>
        <w:t xml:space="preserve">– это политика управления рисками, применяемая в обстоятельствах, характеризующихся высокой степенью неопределенности, который отражает необходимость принятия мер в отношении потенциально значительного риска, не дожидаясь результатов научных исследований".  </w:t>
      </w:r>
    </w:p>
    <w:p w:rsidR="001B6FDC" w:rsidRPr="00DD067F" w:rsidRDefault="001B6FDC" w:rsidP="00DD067F">
      <w:pPr>
        <w:rPr>
          <w:lang w:val="ru-RU"/>
        </w:rPr>
      </w:pPr>
      <w:r w:rsidRPr="00DD067F">
        <w:rPr>
          <w:lang w:val="ru-RU"/>
        </w:rPr>
        <w:t>4.2</w:t>
      </w:r>
      <w:r w:rsidRPr="00DD067F">
        <w:rPr>
          <w:lang w:val="ru-RU"/>
        </w:rPr>
        <w:tab/>
        <w:t>Существуют ситуации, когда ранние предупреждения об опасностях для здоровья или окружающей среды игнорировались, исключительно потому что доказательства высокой вероятности риска не были научно установлены. Такое отношение заставляет ждать, пока не будет причинен вред здоровью или окружающей среде или, по меньшей мере, пока не будет доказан реальный характер этого риска, прежде чем реагировать и принимать меры защиты. Последствия для здоровья человека и для окружающей среды известны слишком хорошо. В дело вступает принцип предосторожности, не допускающий отрицания риска на том основании, что он не был доказан, и, напротив, обязывающий нас приобрести средства определения заранее возможных последствий для окружающей среды и здоровья, чтобы эффективнее их предотвращать.</w:t>
      </w:r>
    </w:p>
    <w:p w:rsidR="001B6FDC" w:rsidRPr="00DD067F" w:rsidRDefault="001B6FDC" w:rsidP="00DD067F">
      <w:pPr>
        <w:rPr>
          <w:lang w:val="ru-RU"/>
        </w:rPr>
      </w:pPr>
      <w:r w:rsidRPr="00DD067F">
        <w:rPr>
          <w:lang w:val="ru-RU"/>
        </w:rPr>
        <w:t>4.3</w:t>
      </w:r>
      <w:r w:rsidRPr="00DD067F">
        <w:rPr>
          <w:lang w:val="ru-RU"/>
        </w:rPr>
        <w:tab/>
        <w:t>Принцип предосторожности не является решением проблемы научной неопределенности, но его применение представляет собой регулярный интерактивный процесс взаимодействия действий и знаний. В отличие от фиксированного правила, он обеспечивает контрольные точки (абстрактные или конкретные), которые периодически пересматриваются, требуя критического рассмотрения в каждом отдельном случае. Полезно заранее заняться гипотетическими рисками серьезного ущерба для их предотвращения и разработки комплексов превентивных действий, предусматривающих надлежащие эффективные меры. Проблема заключается в том, чтобы не проявлять излишнюю осторожность в отношении предотвращения, но учитывать риск на ранней стадии.</w:t>
      </w:r>
    </w:p>
    <w:p w:rsidR="001B6FDC" w:rsidRPr="00DD067F" w:rsidRDefault="001B6FDC" w:rsidP="00DD067F">
      <w:pPr>
        <w:rPr>
          <w:lang w:val="ru-RU"/>
        </w:rPr>
      </w:pPr>
      <w:r w:rsidRPr="00DD067F">
        <w:rPr>
          <w:lang w:val="ru-RU"/>
        </w:rPr>
        <w:t>4.4</w:t>
      </w:r>
      <w:r w:rsidRPr="00DD067F">
        <w:rPr>
          <w:lang w:val="ru-RU"/>
        </w:rPr>
        <w:tab/>
        <w:t xml:space="preserve">Здесь присутствуют две противоположные позиции: упреждающее стремление к определенности относительно наличия и масштабов риска, с одной стороны, и неосведомленность – с другой. Очевидно, что состояние неосведомленности не способствует управлению рисками, тогда как существуют правила, общие для принципов предосторожности и предотвращения: определять, оценивать и ранжировать риск. В отсутствие определенности относительно базового явления и наличия опасности риск является гипотетическим. Вместе с тем, хотя это могло быть не подтверждено, это не означает, что можно рассматривать это как в высшей степени невероятное или даже пренебрежимое. Это определенная возможность риска, точная </w:t>
      </w:r>
      <w:r w:rsidRPr="00DD067F">
        <w:rPr>
          <w:lang w:val="ru-RU"/>
        </w:rPr>
        <w:lastRenderedPageBreak/>
        <w:t>вероятность которого еще неизвестна. Соответственно, сфера применения принципа предосторожности теоретически потенциально не ограничена.</w:t>
      </w:r>
    </w:p>
    <w:p w:rsidR="001B6FDC" w:rsidRPr="00DD067F" w:rsidRDefault="001B6FDC" w:rsidP="00DD067F">
      <w:pPr>
        <w:rPr>
          <w:lang w:val="ru-RU"/>
        </w:rPr>
      </w:pPr>
      <w:r w:rsidRPr="00DD067F">
        <w:rPr>
          <w:lang w:val="ru-RU"/>
        </w:rPr>
        <w:t>4.5</w:t>
      </w:r>
      <w:r w:rsidRPr="00DD067F">
        <w:rPr>
          <w:lang w:val="ru-RU"/>
        </w:rPr>
        <w:tab/>
        <w:t>Принцип предосторожности был введен, чтобы обосновать действия властей в отношении охраны здоровья ввиду вероятных, серьезных и неотвратимых опасностей, связанных с происходящим и будущим воздействием, и, при преобладании неопределенности, нехватки научных знаний. История показывает, что принятие соответствующих мер предосторожности, как только выявлены первые признаки угрозы, дают нам возможность избежать расходов, связанных с асбестом, табаком, ПХД, рентгеновскими лучами и т. п. Чтобы не поступаться научной добросовестностью, директивные органы должны принять во внимание предубеждение, с которым может столкнуться экологическая медицина при выявлении подлинной опасности, поскольку такое предубеждение может поставить под угрозу и здоровье, и окружающую среду.</w:t>
      </w:r>
    </w:p>
    <w:p w:rsidR="001B6FDC" w:rsidRPr="00DD067F" w:rsidRDefault="001B6FDC" w:rsidP="00DD067F">
      <w:pPr>
        <w:rPr>
          <w:lang w:val="ru-RU"/>
        </w:rPr>
      </w:pPr>
      <w:r w:rsidRPr="00DD067F">
        <w:rPr>
          <w:lang w:val="ru-RU"/>
        </w:rPr>
        <w:t>4.6</w:t>
      </w:r>
      <w:r w:rsidRPr="00DD067F">
        <w:rPr>
          <w:lang w:val="ru-RU"/>
        </w:rPr>
        <w:tab/>
        <w:t>Принцип предосторожности базируется на различных уровнях доказательств (или силы данных) для обоснования возможных уменьшений уровней воздействия. Выбираемый уровень доказательств зависит от таких фактов, как: характер и баланс расходов, связанных с проведением или непроведением действий; польза, получаемая от данного продукта или вещества; наличие альтернатив; и так далее. Ожидание высоких уровней научных доказательств причинно-следственной связи или знания задействованных механизмов может оказаться весьма дорогостоящим в отношении компенсации ущерба, здравоохранения, потери рабочих мест и снижения доверия со стороны научного сообщества. Выбранный для обоснования действий уровень доказательств не определяет каких-либо конкретных мер или типа действий. Это зависит от таких факторов, как стоимость различных мер, капитал, источники риска (добровольные или навязанные). Должны принимать участие различные заинтересованные стороны, чтобы способствовать оценке проблем управления рисками и выбору надлежащих уровней и типов действий, которые следует проводить для уменьшения воздействия.</w:t>
      </w:r>
    </w:p>
    <w:p w:rsidR="001B6FDC" w:rsidRPr="00DD067F" w:rsidRDefault="001B6FDC" w:rsidP="00DD067F">
      <w:pPr>
        <w:rPr>
          <w:lang w:val="ru-RU"/>
        </w:rPr>
      </w:pPr>
      <w:r w:rsidRPr="00DD067F">
        <w:rPr>
          <w:lang w:val="ru-RU"/>
        </w:rPr>
        <w:t>4.7</w:t>
      </w:r>
      <w:r w:rsidRPr="00DD067F">
        <w:rPr>
          <w:lang w:val="ru-RU"/>
        </w:rPr>
        <w:tab/>
        <w:t>Прошедшая в Стокгольме в 1972 году Конференция Организации Объединенных Наций по окружающей человека среде установила первые правила и обязательства в сфере охраны окружающей среды. Принцип 1 гласит:</w:t>
      </w:r>
    </w:p>
    <w:p w:rsidR="001B6FDC" w:rsidRPr="0044642E" w:rsidRDefault="001B6FDC" w:rsidP="00DD067F">
      <w:pPr>
        <w:pStyle w:val="Enumlevel1"/>
        <w:rPr>
          <w:lang w:val="ru-RU"/>
        </w:rPr>
      </w:pPr>
      <w:r w:rsidRPr="0044642E">
        <w:rPr>
          <w:lang w:val="ru-RU"/>
        </w:rPr>
        <w:t>−</w:t>
      </w:r>
      <w:r w:rsidRPr="0044642E">
        <w:rPr>
          <w:lang w:val="ru-RU"/>
        </w:rPr>
        <w:tab/>
        <w:t>"Человек имеет основное право на свободу, равенство и благоприятные условия жизни в окружающей среде, качество которой позволяет вести достойную и процветающую жизнь, и несет главную ответственность за охрану и улучшение окружающей среды на благо нынешнего и будущих поколений".</w:t>
      </w:r>
    </w:p>
    <w:p w:rsidR="001B6FDC" w:rsidRPr="0044642E" w:rsidRDefault="001B6FDC" w:rsidP="00DD067F">
      <w:pPr>
        <w:pStyle w:val="Enumlevel1"/>
        <w:rPr>
          <w:lang w:val="ru-RU"/>
        </w:rPr>
      </w:pPr>
      <w:r w:rsidRPr="0044642E">
        <w:rPr>
          <w:lang w:val="ru-RU"/>
        </w:rPr>
        <w:t>−</w:t>
      </w:r>
      <w:r w:rsidRPr="0044642E">
        <w:rPr>
          <w:lang w:val="ru-RU"/>
        </w:rPr>
        <w:tab/>
        <w:t>В рамках системы Организации Объединенных Наций принцип предосторожности был впервые сформулирован в 1992</w:t>
      </w:r>
      <w:r w:rsidRPr="001F3A1E">
        <w:t> </w:t>
      </w:r>
      <w:r w:rsidRPr="0044642E">
        <w:rPr>
          <w:lang w:val="ru-RU"/>
        </w:rPr>
        <w:t>году как Принцип</w:t>
      </w:r>
      <w:r w:rsidRPr="001F3A1E">
        <w:t> </w:t>
      </w:r>
      <w:r w:rsidRPr="0044642E">
        <w:rPr>
          <w:lang w:val="ru-RU"/>
        </w:rPr>
        <w:t>15 Рио-де-Жанейрской декларации по окружающей среде и развитию: "В тех случаях, когда существует угроза серьезного или необратимого ущерба, отсутствие полной научной уверенности не используется в качестве причины для отсрочки принятия экономически эффективных мер по предупреждению ухудшения состояния окружающей среды", а также в Рамочной конвенции Организации Объединенных Наций по изменению климата (РКООНИК, 1994</w:t>
      </w:r>
      <w:r w:rsidRPr="001F3A1E">
        <w:t> </w:t>
      </w:r>
      <w:r w:rsidRPr="0044642E">
        <w:rPr>
          <w:lang w:val="ru-RU"/>
        </w:rPr>
        <w:t>г.) и в Киотском протоколе к ней (1997</w:t>
      </w:r>
      <w:r w:rsidRPr="001F3A1E">
        <w:t> </w:t>
      </w:r>
      <w:r w:rsidRPr="0044642E">
        <w:rPr>
          <w:lang w:val="ru-RU"/>
        </w:rPr>
        <w:t>г.).</w:t>
      </w:r>
    </w:p>
    <w:p w:rsidR="001B6FDC" w:rsidRPr="00DD067F" w:rsidRDefault="001B6FDC" w:rsidP="001B6FDC">
      <w:pPr>
        <w:rPr>
          <w:bCs/>
          <w:lang w:val="ru-RU"/>
        </w:rPr>
      </w:pPr>
      <w:r w:rsidRPr="00DD067F">
        <w:rPr>
          <w:bCs/>
          <w:lang w:val="ru-RU"/>
        </w:rPr>
        <w:t>4.8</w:t>
      </w:r>
      <w:r w:rsidRPr="00DD067F">
        <w:rPr>
          <w:bCs/>
          <w:lang w:val="ru-RU"/>
        </w:rPr>
        <w:tab/>
        <w:t>Принцип предосторожности установлен:</w:t>
      </w:r>
    </w:p>
    <w:p w:rsidR="001B6FDC" w:rsidRPr="0044642E" w:rsidRDefault="001B6FDC" w:rsidP="008920E3">
      <w:pPr>
        <w:rPr>
          <w:lang w:val="ru-RU"/>
        </w:rPr>
      </w:pPr>
      <w:r w:rsidRPr="00DD067F">
        <w:t>a</w:t>
      </w:r>
      <w:r w:rsidRPr="0044642E">
        <w:rPr>
          <w:lang w:val="ru-RU"/>
        </w:rPr>
        <w:t>)</w:t>
      </w:r>
      <w:r w:rsidRPr="0044642E">
        <w:rPr>
          <w:lang w:val="ru-RU"/>
        </w:rPr>
        <w:tab/>
        <w:t xml:space="preserve">в статье 5.7, о предосторожности, Соглашения ВТО о принятии санитарных и фитосанитарных мер (Соглашение </w:t>
      </w:r>
      <w:r w:rsidRPr="00DD067F">
        <w:t>SPS</w:t>
      </w:r>
      <w:r w:rsidRPr="0044642E">
        <w:rPr>
          <w:lang w:val="ru-RU"/>
        </w:rPr>
        <w:t>) (1994</w:t>
      </w:r>
      <w:r w:rsidRPr="00DD067F">
        <w:t> </w:t>
      </w:r>
      <w:r w:rsidRPr="0044642E">
        <w:rPr>
          <w:lang w:val="ru-RU"/>
        </w:rPr>
        <w:t>г.), где содержится четкое разрешение на принятие мер в предохранительных целях, когда правительство считает, что отсутствуют достаточные научные доказательства, которые позволили бы принять окончательное решение относительно безопасности продукта или процесса;</w:t>
      </w:r>
    </w:p>
    <w:p w:rsidR="001B6FDC" w:rsidRPr="0044642E" w:rsidRDefault="001B6FDC" w:rsidP="008920E3">
      <w:pPr>
        <w:rPr>
          <w:lang w:val="ru-RU"/>
        </w:rPr>
      </w:pPr>
      <w:r w:rsidRPr="00DD067F">
        <w:t>b</w:t>
      </w:r>
      <w:r w:rsidRPr="0044642E">
        <w:rPr>
          <w:lang w:val="ru-RU"/>
        </w:rPr>
        <w:t>)</w:t>
      </w:r>
      <w:r w:rsidRPr="0044642E">
        <w:rPr>
          <w:lang w:val="ru-RU"/>
        </w:rPr>
        <w:tab/>
        <w:t>в Протоколе по биобезопасности, утвержденном в Монреале в январе 2000</w:t>
      </w:r>
      <w:r w:rsidRPr="00DD067F">
        <w:t> </w:t>
      </w:r>
      <w:r w:rsidRPr="0044642E">
        <w:rPr>
          <w:lang w:val="ru-RU"/>
        </w:rPr>
        <w:t>года. Включение этого принципа в настоящее время в постановляющие статьи Протокола по биобезопасности является частью более широкого движения за придание этому принципу силы в правовых рамках.</w:t>
      </w:r>
    </w:p>
    <w:p w:rsidR="001B6FDC" w:rsidRPr="001F3A1E" w:rsidRDefault="001B6FDC" w:rsidP="001B6FDC">
      <w:pPr>
        <w:rPr>
          <w:lang w:val="ru-RU"/>
        </w:rPr>
      </w:pPr>
      <w:r w:rsidRPr="001F3A1E">
        <w:rPr>
          <w:lang w:val="ru-RU"/>
        </w:rPr>
        <w:t xml:space="preserve">ПРИМЕЧАНИЕ. − Принцип предосторожности не нашел четкого определения в соглашениях ВТО. Орган по урегулированию споров, ответственный за арбитраж в спорах между членами </w:t>
      </w:r>
      <w:r w:rsidRPr="001F3A1E">
        <w:rPr>
          <w:lang w:val="ru-RU"/>
        </w:rPr>
        <w:lastRenderedPageBreak/>
        <w:t>организации, неизменно отказывается принять какое-либо решение относительно фактической сферы применения принципа предосторожности, который он не считает общим принципом права. Если имеются подозрения относительно возможного риска, Орган по урегулированию споров санкционирует ограничения в торговле на основании применения принципа исключительно при наличии весомых доказательств опасной ситуации.</w:t>
      </w:r>
    </w:p>
    <w:p w:rsidR="001B6FDC" w:rsidRPr="001B6FDC" w:rsidRDefault="001B6FDC" w:rsidP="001B6FDC">
      <w:pPr>
        <w:pStyle w:val="Heading1"/>
        <w:spacing w:before="240"/>
        <w:rPr>
          <w:lang w:val="ru-RU"/>
        </w:rPr>
      </w:pPr>
      <w:bookmarkStart w:id="35" w:name="_Toc330816726"/>
      <w:bookmarkStart w:id="36" w:name="_Toc370394197"/>
      <w:bookmarkStart w:id="37" w:name="_Toc370477280"/>
      <w:bookmarkStart w:id="38" w:name="_Toc370477559"/>
      <w:bookmarkStart w:id="39" w:name="_Toc377482093"/>
      <w:r w:rsidRPr="001B6FDC">
        <w:rPr>
          <w:lang w:val="ru-RU"/>
        </w:rPr>
        <w:t>5</w:t>
      </w:r>
      <w:r w:rsidRPr="001B6FDC">
        <w:rPr>
          <w:lang w:val="ru-RU"/>
        </w:rPr>
        <w:tab/>
        <w:t>Анализ регуляторной политики в некоторых странах</w:t>
      </w:r>
      <w:bookmarkEnd w:id="35"/>
      <w:bookmarkEnd w:id="36"/>
      <w:bookmarkEnd w:id="37"/>
      <w:bookmarkEnd w:id="38"/>
      <w:bookmarkEnd w:id="39"/>
    </w:p>
    <w:p w:rsidR="001B6FDC" w:rsidRPr="001F3A1E" w:rsidRDefault="001B6FDC" w:rsidP="001B6FDC">
      <w:pPr>
        <w:rPr>
          <w:rFonts w:cs="Arial"/>
          <w:szCs w:val="19"/>
          <w:lang w:val="ru-RU"/>
        </w:rPr>
      </w:pPr>
      <w:r w:rsidRPr="001F3A1E">
        <w:rPr>
          <w:rFonts w:cs="Arial"/>
          <w:szCs w:val="19"/>
          <w:lang w:val="ru-RU"/>
        </w:rPr>
        <w:t xml:space="preserve">При составлении настоящего отчета проводился сбор и анализ данных по мерам регуляторной политики, относящейся к воздействию электромагнитных полей на человека, которые принимаются Государствами-Членами для санкционирования сооружения объектов радиосвязи. Также предметом обсуждения являются стратегии и методы предоставления населению информации относительно воздействия электромагнитных полей, создаваемых системами радиосвязи. </w:t>
      </w:r>
    </w:p>
    <w:p w:rsidR="001B6FDC" w:rsidRPr="001B6FDC" w:rsidRDefault="001B6FDC" w:rsidP="001B6FDC">
      <w:pPr>
        <w:pStyle w:val="Heading2"/>
        <w:rPr>
          <w:lang w:val="ru-RU"/>
        </w:rPr>
      </w:pPr>
      <w:bookmarkStart w:id="40" w:name="_Toc330816727"/>
      <w:bookmarkStart w:id="41" w:name="_Toc370394198"/>
      <w:bookmarkStart w:id="42" w:name="_Toc370477281"/>
      <w:bookmarkStart w:id="43" w:name="_Toc370477560"/>
      <w:bookmarkStart w:id="44" w:name="_Toc377482094"/>
      <w:r w:rsidRPr="001B6FDC">
        <w:rPr>
          <w:lang w:val="ru-RU"/>
        </w:rPr>
        <w:t>5.1</w:t>
      </w:r>
      <w:r w:rsidRPr="001B6FDC">
        <w:rPr>
          <w:lang w:val="ru-RU"/>
        </w:rPr>
        <w:tab/>
        <w:t>Кот-д'Ивуар</w:t>
      </w:r>
      <w:bookmarkEnd w:id="40"/>
      <w:bookmarkEnd w:id="41"/>
      <w:bookmarkEnd w:id="42"/>
      <w:bookmarkEnd w:id="43"/>
      <w:bookmarkEnd w:id="44"/>
    </w:p>
    <w:p w:rsidR="001B6FDC" w:rsidRPr="00DD067F" w:rsidRDefault="001B6FDC" w:rsidP="00DD067F">
      <w:pPr>
        <w:rPr>
          <w:bCs/>
          <w:lang w:val="ru-RU"/>
        </w:rPr>
      </w:pPr>
      <w:r w:rsidRPr="00DD067F">
        <w:rPr>
          <w:bCs/>
          <w:lang w:val="ru-RU"/>
        </w:rPr>
        <w:t>Политика: Регуляторный орган и другие местные органы власти в Кот-д'Ивуаре утверждают строительство или изменение установки радиосвязи. Принимаются меры предосторожности для защиты населения от воздействия РЧ, в особенности в таких общественных местах повышенной уязвимости, как больницы, школы, ясли, места скопления людей и места проживания уязвимых групп населения. Целью этих мер предосторожности является не избежание возведения антенн связи, но учет диаграмм направленности и избежание излишнего воздействия. Перед размещением антенн связи принимаются следующие меры:</w:t>
      </w:r>
    </w:p>
    <w:p w:rsidR="001B6FDC" w:rsidRPr="0044642E" w:rsidRDefault="001B6FDC" w:rsidP="00DD067F">
      <w:pPr>
        <w:pStyle w:val="Enumlevel1"/>
        <w:rPr>
          <w:lang w:val="ru-RU"/>
        </w:rPr>
      </w:pPr>
      <w:r w:rsidRPr="0044642E">
        <w:rPr>
          <w:lang w:val="ru-RU"/>
        </w:rPr>
        <w:t>−</w:t>
      </w:r>
      <w:r w:rsidRPr="0044642E">
        <w:rPr>
          <w:lang w:val="ru-RU"/>
        </w:rPr>
        <w:tab/>
        <w:t>проводится оценка технических характеристик для проверки соответствия регуляторным требованиям, основанным на Рекомендациях МСЭ-</w:t>
      </w:r>
      <w:r w:rsidRPr="001F3A1E">
        <w:t>T</w:t>
      </w:r>
      <w:r w:rsidRPr="0044642E">
        <w:rPr>
          <w:lang w:val="ru-RU"/>
        </w:rPr>
        <w:t>;</w:t>
      </w:r>
    </w:p>
    <w:p w:rsidR="001B6FDC" w:rsidRPr="0044642E" w:rsidRDefault="001B6FDC" w:rsidP="00DD067F">
      <w:pPr>
        <w:pStyle w:val="Enumlevel1"/>
        <w:rPr>
          <w:lang w:val="ru-RU"/>
        </w:rPr>
      </w:pPr>
      <w:r w:rsidRPr="0044642E">
        <w:rPr>
          <w:lang w:val="ru-RU"/>
        </w:rPr>
        <w:t>−</w:t>
      </w:r>
      <w:r w:rsidRPr="0044642E">
        <w:rPr>
          <w:lang w:val="ru-RU"/>
        </w:rPr>
        <w:tab/>
        <w:t>проводится проверка площадки с целью убедиться, что работы ведутся в соответствии с</w:t>
      </w:r>
      <w:r w:rsidRPr="001F3A1E">
        <w:t> </w:t>
      </w:r>
      <w:r w:rsidRPr="0044642E">
        <w:rPr>
          <w:lang w:val="ru-RU"/>
        </w:rPr>
        <w:t>разрешением на строительство;</w:t>
      </w:r>
    </w:p>
    <w:p w:rsidR="001B6FDC" w:rsidRPr="0044642E" w:rsidRDefault="001B6FDC" w:rsidP="00DD067F">
      <w:pPr>
        <w:pStyle w:val="Enumlevel1"/>
        <w:rPr>
          <w:lang w:val="ru-RU"/>
        </w:rPr>
      </w:pPr>
      <w:r w:rsidRPr="0044642E">
        <w:rPr>
          <w:lang w:val="ru-RU"/>
        </w:rPr>
        <w:t>−</w:t>
      </w:r>
      <w:r w:rsidRPr="0044642E">
        <w:rPr>
          <w:lang w:val="ru-RU"/>
        </w:rPr>
        <w:tab/>
        <w:t>проводится технический анализ для окончательного санкционирования эксплуатации объекта;</w:t>
      </w:r>
    </w:p>
    <w:p w:rsidR="001B6FDC" w:rsidRPr="0044642E" w:rsidRDefault="001B6FDC" w:rsidP="00DD067F">
      <w:pPr>
        <w:pStyle w:val="Enumlevel1"/>
        <w:rPr>
          <w:lang w:val="ru-RU"/>
        </w:rPr>
      </w:pPr>
      <w:r w:rsidRPr="0044642E">
        <w:rPr>
          <w:lang w:val="ru-RU"/>
        </w:rPr>
        <w:t>−</w:t>
      </w:r>
      <w:r w:rsidRPr="0044642E">
        <w:rPr>
          <w:lang w:val="ru-RU"/>
        </w:rPr>
        <w:tab/>
        <w:t>ежегодно осуществляются на национальном уровне измерения на месте согласно соответствующим стандартам;</w:t>
      </w:r>
    </w:p>
    <w:p w:rsidR="001B6FDC" w:rsidRPr="0044642E" w:rsidRDefault="001B6FDC" w:rsidP="00DD067F">
      <w:pPr>
        <w:pStyle w:val="Enumlevel1"/>
        <w:rPr>
          <w:lang w:val="ru-RU"/>
        </w:rPr>
      </w:pPr>
      <w:r w:rsidRPr="0044642E">
        <w:rPr>
          <w:lang w:val="ru-RU"/>
        </w:rPr>
        <w:t>−</w:t>
      </w:r>
      <w:r w:rsidRPr="0044642E">
        <w:rPr>
          <w:lang w:val="ru-RU"/>
        </w:rPr>
        <w:tab/>
        <w:t>также осуществляется политический проект по регулированию воздействия РЧ, который позволит;</w:t>
      </w:r>
    </w:p>
    <w:p w:rsidR="001B6FDC" w:rsidRPr="0044642E" w:rsidRDefault="001B6FDC" w:rsidP="00DD067F">
      <w:pPr>
        <w:pStyle w:val="Enumlevel1"/>
        <w:rPr>
          <w:lang w:val="ru-RU"/>
        </w:rPr>
      </w:pPr>
      <w:r w:rsidRPr="0044642E">
        <w:rPr>
          <w:lang w:val="ru-RU"/>
        </w:rPr>
        <w:t>−</w:t>
      </w:r>
      <w:r w:rsidRPr="0044642E">
        <w:rPr>
          <w:lang w:val="ru-RU"/>
        </w:rPr>
        <w:tab/>
        <w:t xml:space="preserve">устанавливаются минимальные значения для ограничения воздействия объектов радиосвязи, ведущих передачи на РЧ, в Кот-д'Ивуаре в соответствии с принципами </w:t>
      </w:r>
      <w:r w:rsidRPr="001F3A1E">
        <w:rPr>
          <w:rFonts w:cs="Segoe UI"/>
          <w:color w:val="000000"/>
          <w:szCs w:val="14"/>
        </w:rPr>
        <w:t>ICNIRP</w:t>
      </w:r>
      <w:r w:rsidRPr="0044642E">
        <w:rPr>
          <w:lang w:val="ru-RU"/>
        </w:rPr>
        <w:t>;</w:t>
      </w:r>
    </w:p>
    <w:p w:rsidR="001B6FDC" w:rsidRPr="0044642E" w:rsidRDefault="001B6FDC" w:rsidP="00DD067F">
      <w:pPr>
        <w:pStyle w:val="Enumlevel1"/>
        <w:rPr>
          <w:lang w:val="ru-RU"/>
        </w:rPr>
      </w:pPr>
      <w:r w:rsidRPr="0044642E">
        <w:rPr>
          <w:lang w:val="ru-RU"/>
        </w:rPr>
        <w:t>−</w:t>
      </w:r>
      <w:r w:rsidRPr="0044642E">
        <w:rPr>
          <w:lang w:val="ru-RU"/>
        </w:rPr>
        <w:tab/>
        <w:t>определить обязательства владельцев таких объектов.</w:t>
      </w:r>
    </w:p>
    <w:p w:rsidR="001B6FDC" w:rsidRPr="00DD067F" w:rsidRDefault="001B6FDC" w:rsidP="001B6FDC">
      <w:pPr>
        <w:rPr>
          <w:bCs/>
          <w:szCs w:val="19"/>
          <w:lang w:val="ru-RU"/>
        </w:rPr>
      </w:pPr>
      <w:r w:rsidRPr="00D3476D">
        <w:rPr>
          <w:b/>
          <w:szCs w:val="19"/>
          <w:lang w:val="ru-RU"/>
        </w:rPr>
        <w:t>Предоставление информации и участие населения</w:t>
      </w:r>
      <w:r w:rsidRPr="00DD067F">
        <w:rPr>
          <w:bCs/>
          <w:szCs w:val="19"/>
          <w:lang w:val="ru-RU"/>
        </w:rPr>
        <w:t>: До возведения антенн проводятся общественные консультации. Для информирования населения о сигналах РЧ используются радиовещательные службы. На веб-сайте регуляторного органа есть раздел часто задаваемых вопросов о неионизирующем излучении и SAR. Результаты измерений публикуются.</w:t>
      </w:r>
    </w:p>
    <w:p w:rsidR="001B6FDC" w:rsidRPr="001F3A1E" w:rsidRDefault="001B6FDC" w:rsidP="001B6FDC">
      <w:pPr>
        <w:pStyle w:val="Headingb0"/>
        <w:rPr>
          <w:bCs/>
          <w:i/>
          <w:iCs/>
          <w:lang w:val="ru-RU"/>
        </w:rPr>
      </w:pPr>
      <w:bookmarkStart w:id="45" w:name="_Toc377482095"/>
      <w:r w:rsidRPr="001F3A1E">
        <w:rPr>
          <w:i/>
          <w:iCs/>
          <w:lang w:val="ru-RU"/>
        </w:rPr>
        <w:t>Анализ</w:t>
      </w:r>
      <w:bookmarkEnd w:id="45"/>
    </w:p>
    <w:p w:rsidR="001B6FDC" w:rsidRPr="001F3A1E" w:rsidRDefault="001B6FDC" w:rsidP="001B6FDC">
      <w:pPr>
        <w:rPr>
          <w:szCs w:val="19"/>
          <w:lang w:val="ru-RU"/>
        </w:rPr>
      </w:pPr>
      <w:r w:rsidRPr="001F3A1E">
        <w:rPr>
          <w:szCs w:val="19"/>
          <w:lang w:val="ru-RU"/>
        </w:rPr>
        <w:t xml:space="preserve">Эту политику могли бы применять другие Государства-Члены. Рекомендуется, чтобы проект по установлению минимальных значений следовал руководящим указаниям </w:t>
      </w:r>
      <w:r w:rsidRPr="001F3A1E">
        <w:rPr>
          <w:rFonts w:cs="Segoe UI"/>
          <w:color w:val="000000"/>
          <w:szCs w:val="14"/>
          <w:lang w:val="ru-RU"/>
        </w:rPr>
        <w:t>ICNIRP</w:t>
      </w:r>
      <w:r w:rsidRPr="001F3A1E">
        <w:rPr>
          <w:szCs w:val="19"/>
          <w:lang w:val="ru-RU"/>
        </w:rPr>
        <w:t xml:space="preserve"> по ограничению воздействия источников РЧ.</w:t>
      </w:r>
    </w:p>
    <w:p w:rsidR="001B6FDC" w:rsidRPr="001B6FDC" w:rsidRDefault="001B6FDC" w:rsidP="001B6FDC">
      <w:pPr>
        <w:pStyle w:val="Heading2"/>
        <w:rPr>
          <w:lang w:val="ru-RU"/>
        </w:rPr>
      </w:pPr>
      <w:bookmarkStart w:id="46" w:name="Proposal"/>
      <w:bookmarkStart w:id="47" w:name="_Toc330816728"/>
      <w:bookmarkStart w:id="48" w:name="_Toc370394199"/>
      <w:bookmarkStart w:id="49" w:name="_Toc370477282"/>
      <w:bookmarkStart w:id="50" w:name="_Toc370477561"/>
      <w:bookmarkStart w:id="51" w:name="_Toc377482096"/>
      <w:bookmarkEnd w:id="46"/>
      <w:r w:rsidRPr="001B6FDC">
        <w:rPr>
          <w:lang w:val="ru-RU"/>
        </w:rPr>
        <w:t>5.2</w:t>
      </w:r>
      <w:r w:rsidRPr="001B6FDC">
        <w:rPr>
          <w:lang w:val="ru-RU"/>
        </w:rPr>
        <w:tab/>
      </w:r>
      <w:bookmarkEnd w:id="47"/>
      <w:r w:rsidRPr="001B6FDC">
        <w:rPr>
          <w:lang w:val="ru-RU"/>
        </w:rPr>
        <w:t>Бразилия</w:t>
      </w:r>
      <w:bookmarkEnd w:id="48"/>
      <w:bookmarkEnd w:id="49"/>
      <w:bookmarkEnd w:id="50"/>
      <w:bookmarkEnd w:id="51"/>
    </w:p>
    <w:p w:rsidR="001B6FDC" w:rsidRPr="00DD067F" w:rsidRDefault="001B6FDC" w:rsidP="00DD067F">
      <w:pPr>
        <w:rPr>
          <w:bCs/>
          <w:lang w:val="ru-RU"/>
        </w:rPr>
      </w:pPr>
      <w:r w:rsidRPr="00DD067F">
        <w:rPr>
          <w:bCs/>
          <w:lang w:val="ru-RU"/>
        </w:rPr>
        <w:t xml:space="preserve">Политика: Предельные уровни воздействия в Бразилии соответствуют руководящим указаниям Международной комиссии по защите от неионизирующего излучения (ICNIRP). Согласно </w:t>
      </w:r>
      <w:r w:rsidRPr="00DD067F">
        <w:rPr>
          <w:bCs/>
          <w:lang w:val="ru-RU"/>
        </w:rPr>
        <w:lastRenderedPageBreak/>
        <w:t>федеральному закону Бразилии ведется контроль для обеспечения соответствия систем радиосвязи уровням электромагнитных полей, рекомендованным ВОЗ.</w:t>
      </w:r>
    </w:p>
    <w:p w:rsidR="001B6FDC" w:rsidRPr="00DD067F" w:rsidRDefault="001B6FDC" w:rsidP="00DD067F">
      <w:pPr>
        <w:rPr>
          <w:bCs/>
          <w:lang w:val="ru-RU"/>
        </w:rPr>
      </w:pPr>
      <w:r w:rsidRPr="00DD067F">
        <w:rPr>
          <w:rFonts w:cs="Arial"/>
          <w:bCs/>
          <w:lang w:val="ru-RU"/>
        </w:rPr>
        <w:t>Измерение уровней излучения в Бразилии: Anatel проводит оценку соблюдения воздействия ЭМП станций радиосвязи, установленных в радиусе 50 метров от больниц, клиник, школ, детских садов и домов престарелых, в течение 60 дней с выдачи станции лицензии</w:t>
      </w:r>
      <w:r w:rsidRPr="00DD067F">
        <w:rPr>
          <w:bCs/>
          <w:lang w:val="ru-RU"/>
        </w:rPr>
        <w:t>.</w:t>
      </w:r>
    </w:p>
    <w:p w:rsidR="001B6FDC" w:rsidRPr="00DD067F" w:rsidRDefault="001B6FDC" w:rsidP="00DD067F">
      <w:pPr>
        <w:rPr>
          <w:rFonts w:cs="Calibri"/>
          <w:bCs/>
          <w:lang w:val="ru-RU"/>
        </w:rPr>
      </w:pPr>
      <w:r w:rsidRPr="00DD067F">
        <w:rPr>
          <w:rFonts w:cs="Calibri"/>
          <w:bCs/>
          <w:lang w:val="ru-RU"/>
        </w:rPr>
        <w:t>Оценка воздействия ЭМП проводится не реже чем раз в пять лет. Anatel осуществляет измерения на планируемых площадках в рамках годового плана обеспечения осуществления в соответствии с законом и конкретными запросами, поступающими от населения и собираемыми из различных источников, таких как центры обработки вызовов, веб-службы и другие каналы связи с общественностью. Большинство оценок соответствия связаны с сотовыми базовыми передающими станциями (BTS), а некоторые оценки проводятся в связи с жалобами окрестных жителей и опасениями относительно воздействия ЭМП.</w:t>
      </w:r>
    </w:p>
    <w:p w:rsidR="001B6FDC" w:rsidRPr="00DD067F" w:rsidRDefault="001B6FDC" w:rsidP="00DD067F">
      <w:pPr>
        <w:rPr>
          <w:rFonts w:cs="Calibri"/>
          <w:bCs/>
          <w:lang w:val="ru-RU"/>
        </w:rPr>
      </w:pPr>
      <w:r w:rsidRPr="00DD067F">
        <w:rPr>
          <w:bCs/>
          <w:lang w:val="ru-RU"/>
        </w:rPr>
        <w:t xml:space="preserve">Предоставление информации: </w:t>
      </w:r>
      <w:r w:rsidRPr="00DD067F">
        <w:rPr>
          <w:bCs/>
          <w:szCs w:val="18"/>
          <w:lang w:val="ru-RU"/>
        </w:rPr>
        <w:t>Агентство Anatel выпустило программный продукт, представляющий результаты теоретических расчетов общего коэффициента облучения, рассчитанные с использованием модели распространения в свободном пространстве и национальной базы данных по станциям радиосвязи. В этот программный продукт включены результаты измерений, проводившихся Отделом обеспечения осуществления Anatel, поэтому при отсутствии данных измерений приводятся расчетные данные</w:t>
      </w:r>
      <w:r w:rsidRPr="00DD067F">
        <w:rPr>
          <w:rFonts w:cs="Calibri"/>
          <w:bCs/>
          <w:lang w:val="ru-RU"/>
        </w:rPr>
        <w:t xml:space="preserve">. </w:t>
      </w:r>
    </w:p>
    <w:p w:rsidR="001B6FDC" w:rsidRPr="00DD067F" w:rsidRDefault="001B6FDC" w:rsidP="00DD067F">
      <w:pPr>
        <w:rPr>
          <w:rFonts w:cs="Calibri"/>
          <w:bCs/>
          <w:lang w:val="ru-RU"/>
        </w:rPr>
      </w:pPr>
      <w:r w:rsidRPr="00DD067F">
        <w:rPr>
          <w:rFonts w:cs="Calibri"/>
          <w:bCs/>
          <w:lang w:val="ru-RU"/>
        </w:rPr>
        <w:t>На веб-странице Anatel также приводятся значения коэффициента удельного поглощения (SAR) всех мобильных телефонов, сертифицированных в Бразилии. Бразилия считает, что для обеспечения предоставления населению актуальной и точной информации полезно было быть иметь интерактивную карту с результатами измерений и теоретическими расчетами</w:t>
      </w:r>
      <w:r w:rsidRPr="00DD067F">
        <w:rPr>
          <w:bCs/>
          <w:lang w:val="ru-RU"/>
        </w:rPr>
        <w:t>.</w:t>
      </w:r>
    </w:p>
    <w:p w:rsidR="001B6FDC" w:rsidRPr="001F3A1E" w:rsidRDefault="001B6FDC" w:rsidP="001B6FDC">
      <w:pPr>
        <w:pStyle w:val="Headingb0"/>
        <w:rPr>
          <w:bCs/>
          <w:i/>
          <w:iCs/>
          <w:lang w:val="ru-RU"/>
        </w:rPr>
      </w:pPr>
      <w:bookmarkStart w:id="52" w:name="_Toc377482097"/>
      <w:r w:rsidRPr="001F3A1E">
        <w:rPr>
          <w:i/>
          <w:iCs/>
          <w:lang w:val="ru-RU"/>
        </w:rPr>
        <w:t>Анализ</w:t>
      </w:r>
      <w:bookmarkEnd w:id="52"/>
    </w:p>
    <w:p w:rsidR="001B6FDC" w:rsidRPr="001F3A1E" w:rsidRDefault="001B6FDC" w:rsidP="00DD067F">
      <w:pPr>
        <w:rPr>
          <w:lang w:val="ru-RU"/>
        </w:rPr>
      </w:pPr>
      <w:r w:rsidRPr="001F3A1E">
        <w:rPr>
          <w:lang w:val="ru-RU"/>
        </w:rPr>
        <w:t xml:space="preserve">Политика следует руководящим указаниям ВОЗ и ICNIRP. Уделяется внимание таким важным зонам, как больницы. Поступление жалоб может означать, что люди знают об ЭМП, и поэтому </w:t>
      </w:r>
      <w:r w:rsidRPr="001F3A1E">
        <w:rPr>
          <w:rFonts w:cs="Calibri"/>
          <w:lang w:val="ru-RU"/>
        </w:rPr>
        <w:t>обнародование</w:t>
      </w:r>
      <w:r w:rsidRPr="001F3A1E">
        <w:rPr>
          <w:lang w:val="ru-RU"/>
        </w:rPr>
        <w:t xml:space="preserve"> данных на основе программного продукта стало хорошим способом предоставления населению информации.</w:t>
      </w:r>
    </w:p>
    <w:p w:rsidR="001B6FDC" w:rsidRPr="001B6FDC" w:rsidRDefault="001B6FDC" w:rsidP="001B6FDC">
      <w:pPr>
        <w:pStyle w:val="Heading2"/>
        <w:rPr>
          <w:lang w:val="ru-RU"/>
        </w:rPr>
      </w:pPr>
      <w:bookmarkStart w:id="53" w:name="_Toc330816729"/>
      <w:bookmarkStart w:id="54" w:name="_Toc370394200"/>
      <w:bookmarkStart w:id="55" w:name="_Toc370477283"/>
      <w:bookmarkStart w:id="56" w:name="_Toc370477562"/>
      <w:bookmarkStart w:id="57" w:name="_Toc377482098"/>
      <w:r w:rsidRPr="001B6FDC">
        <w:rPr>
          <w:lang w:val="ru-RU"/>
        </w:rPr>
        <w:t>5.3</w:t>
      </w:r>
      <w:r w:rsidRPr="001B6FDC">
        <w:rPr>
          <w:lang w:val="ru-RU"/>
        </w:rPr>
        <w:tab/>
        <w:t>Республика Корея</w:t>
      </w:r>
      <w:bookmarkEnd w:id="53"/>
      <w:bookmarkEnd w:id="54"/>
      <w:bookmarkEnd w:id="55"/>
      <w:bookmarkEnd w:id="56"/>
      <w:bookmarkEnd w:id="57"/>
    </w:p>
    <w:p w:rsidR="001B6FDC" w:rsidRPr="00DD067F" w:rsidRDefault="001B6FDC" w:rsidP="001B6FDC">
      <w:pPr>
        <w:rPr>
          <w:bCs/>
          <w:lang w:val="ru-RU"/>
        </w:rPr>
      </w:pPr>
      <w:r w:rsidRPr="00DD067F">
        <w:rPr>
          <w:bCs/>
          <w:lang w:val="ru-RU"/>
        </w:rPr>
        <w:t xml:space="preserve">Политика: Применяются установленные ICNIRP и IEEE предельные значения воздействия ЭМП. Сообщаются данные экологических оценок ЭМП базовых станций и радиовещательных </w:t>
      </w:r>
      <w:r w:rsidRPr="00DD067F">
        <w:rPr>
          <w:rFonts w:cs="Calibri"/>
          <w:bCs/>
          <w:szCs w:val="19"/>
          <w:lang w:val="ru-RU"/>
        </w:rPr>
        <w:t>передатчиков</w:t>
      </w:r>
      <w:r w:rsidRPr="00DD067F">
        <w:rPr>
          <w:bCs/>
          <w:lang w:val="ru-RU"/>
        </w:rPr>
        <w:t xml:space="preserve">. Измеряются уровни ЭМП всего оборудования, излучающего РЧ энергию, за исключением радиооборудования: </w:t>
      </w:r>
      <w:r w:rsidRPr="00DD067F">
        <w:rPr>
          <w:rFonts w:cs="Segoe UI"/>
          <w:bCs/>
          <w:color w:val="000000"/>
          <w:szCs w:val="18"/>
          <w:lang w:val="ru-RU"/>
        </w:rPr>
        <w:t>мобильных станций, аварийных станций, станций, расположенных в труднодоступных районах (например, станции, расположенные на горах, островах и т. д.), маломощных станций, например нелицензируемых беспроводных микрофонов, устройств радиоуправления и радиопейджеров</w:t>
      </w:r>
      <w:r w:rsidRPr="00DD067F">
        <w:rPr>
          <w:bCs/>
          <w:lang w:val="ru-RU"/>
        </w:rPr>
        <w:t>.</w:t>
      </w:r>
    </w:p>
    <w:p w:rsidR="001B6FDC" w:rsidRPr="00DD067F" w:rsidRDefault="001B6FDC" w:rsidP="001B6FDC">
      <w:pPr>
        <w:rPr>
          <w:bCs/>
          <w:lang w:val="ru-RU"/>
        </w:rPr>
      </w:pPr>
      <w:r w:rsidRPr="00DD067F">
        <w:rPr>
          <w:bCs/>
          <w:lang w:val="ru-RU"/>
        </w:rPr>
        <w:t xml:space="preserve">Радиостанции, расположенные вблизи общественных мест, должны сообщать результаты оценки уровней ЭМП, показывая соответствие ограничениям, до начала регулярной эксплуатации. </w:t>
      </w:r>
    </w:p>
    <w:p w:rsidR="001B6FDC" w:rsidRPr="00DD067F" w:rsidRDefault="001B6FDC" w:rsidP="001B6FDC">
      <w:pPr>
        <w:rPr>
          <w:rFonts w:eastAsia="SimSun"/>
          <w:bCs/>
          <w:lang w:val="ru-RU" w:eastAsia="ko-KR"/>
        </w:rPr>
      </w:pPr>
      <w:r w:rsidRPr="00DD067F">
        <w:rPr>
          <w:bCs/>
          <w:lang w:val="ru-RU"/>
        </w:rPr>
        <w:t>Предоставление информации: С 2004 года два раза в год издаются два информационных бюллетеня, один по стандартам измерения ЭМП</w:t>
      </w:r>
      <w:r w:rsidRPr="00DD067F">
        <w:rPr>
          <w:rFonts w:eastAsia="SimSun"/>
          <w:bCs/>
          <w:lang w:val="ru-RU" w:eastAsia="ko-KR"/>
        </w:rPr>
        <w:t xml:space="preserve"> (силами RRA)</w:t>
      </w:r>
      <w:r w:rsidRPr="00DD067F">
        <w:rPr>
          <w:bCs/>
          <w:lang w:val="ru-RU"/>
        </w:rPr>
        <w:t xml:space="preserve"> а другой – по биологическим </w:t>
      </w:r>
      <w:r w:rsidRPr="00DD067F">
        <w:rPr>
          <w:rFonts w:cs="Calibri"/>
          <w:bCs/>
          <w:szCs w:val="19"/>
          <w:lang w:val="ru-RU"/>
        </w:rPr>
        <w:t>последствиям</w:t>
      </w:r>
      <w:r w:rsidRPr="00DD067F">
        <w:rPr>
          <w:rFonts w:eastAsia="SimSun"/>
          <w:bCs/>
          <w:lang w:val="ru-RU" w:eastAsia="ko-KR"/>
        </w:rPr>
        <w:t xml:space="preserve"> (силами KIEES)</w:t>
      </w:r>
      <w:r w:rsidRPr="00DD067F">
        <w:rPr>
          <w:bCs/>
          <w:lang w:val="ru-RU"/>
        </w:rPr>
        <w:t>, предельным значениям воздействия и мерам политического характера. Раз в два года издаются путеводители и компакт-диски с информацией о воздействии ЭМП. Раз в год выходит специализированный журнал для профессионалов. С 1999 года один или два раза в год проводятся семинары-практикумы по соотношению ЭМП и биологических факторов.</w:t>
      </w:r>
    </w:p>
    <w:p w:rsidR="001B6FDC" w:rsidRPr="001F3A1E" w:rsidRDefault="001B6FDC" w:rsidP="001B6FDC">
      <w:pPr>
        <w:pStyle w:val="Headingb0"/>
        <w:rPr>
          <w:bCs/>
          <w:i/>
          <w:iCs/>
          <w:lang w:val="ru-RU"/>
        </w:rPr>
      </w:pPr>
      <w:bookmarkStart w:id="58" w:name="_Toc377482099"/>
      <w:r w:rsidRPr="001F3A1E">
        <w:rPr>
          <w:i/>
          <w:iCs/>
          <w:lang w:val="ru-RU"/>
        </w:rPr>
        <w:t>Анализ</w:t>
      </w:r>
      <w:bookmarkEnd w:id="58"/>
    </w:p>
    <w:p w:rsidR="001B6FDC" w:rsidRPr="001F3A1E" w:rsidRDefault="001B6FDC" w:rsidP="001B6FDC">
      <w:pPr>
        <w:rPr>
          <w:szCs w:val="19"/>
          <w:lang w:val="ru-RU"/>
        </w:rPr>
      </w:pPr>
      <w:r w:rsidRPr="001F3A1E">
        <w:rPr>
          <w:szCs w:val="19"/>
          <w:lang w:val="ru-RU"/>
        </w:rPr>
        <w:t xml:space="preserve">Республика Корея активно участвует в исследовательских проектах, касающихся ЭМП. Население также </w:t>
      </w:r>
      <w:r w:rsidRPr="001F3A1E">
        <w:rPr>
          <w:rFonts w:cs="Calibri"/>
          <w:szCs w:val="19"/>
          <w:lang w:val="ru-RU"/>
        </w:rPr>
        <w:t>привлекается</w:t>
      </w:r>
      <w:r w:rsidRPr="001F3A1E">
        <w:rPr>
          <w:szCs w:val="19"/>
          <w:lang w:val="ru-RU"/>
        </w:rPr>
        <w:t xml:space="preserve"> посредством газет, компакт-дисков, семинаров-практикумов и книг. Также применяются стандарты ICNIRP и IEEE. </w:t>
      </w:r>
    </w:p>
    <w:p w:rsidR="001B6FDC" w:rsidRPr="001B6FDC" w:rsidRDefault="001B6FDC" w:rsidP="001B6FDC">
      <w:pPr>
        <w:pStyle w:val="Heading2"/>
        <w:rPr>
          <w:lang w:val="ru-RU"/>
        </w:rPr>
      </w:pPr>
      <w:bookmarkStart w:id="59" w:name="_Toc330816730"/>
      <w:bookmarkStart w:id="60" w:name="_Toc370394201"/>
      <w:bookmarkStart w:id="61" w:name="_Toc370477284"/>
      <w:bookmarkStart w:id="62" w:name="_Toc370477563"/>
      <w:bookmarkStart w:id="63" w:name="_Toc377482100"/>
      <w:r w:rsidRPr="001B6FDC">
        <w:rPr>
          <w:lang w:val="ru-RU"/>
        </w:rPr>
        <w:lastRenderedPageBreak/>
        <w:t>5.4</w:t>
      </w:r>
      <w:r w:rsidRPr="001B6FDC">
        <w:rPr>
          <w:lang w:val="ru-RU"/>
        </w:rPr>
        <w:tab/>
        <w:t>Израиль</w:t>
      </w:r>
      <w:bookmarkEnd w:id="59"/>
      <w:bookmarkEnd w:id="60"/>
      <w:bookmarkEnd w:id="61"/>
      <w:bookmarkEnd w:id="62"/>
      <w:bookmarkEnd w:id="63"/>
    </w:p>
    <w:p w:rsidR="001B6FDC" w:rsidRPr="00DD067F" w:rsidRDefault="001B6FDC" w:rsidP="001B6FDC">
      <w:pPr>
        <w:rPr>
          <w:bCs/>
          <w:lang w:val="ru-RU"/>
        </w:rPr>
      </w:pPr>
      <w:r w:rsidRPr="00DD067F">
        <w:rPr>
          <w:bCs/>
          <w:lang w:val="ru-RU"/>
        </w:rPr>
        <w:t>Политика: Используются предельные значения воздействия ICNIRP. Министерство охраны окружающей среды отвечает за контроль над воздействием на человека электромагнитного излучения от базовых станций. Система регулирования в Израиле основывается на Законе о неионизирующем излучении от 2006 года; и Регламенте по неионизирующему излучению 2009 года. В Законе о неионизирующем излучении принципу предосторожности придан обязательный характер. Израиль был первой страной, которая ввела обязательные измерения излучений передающих базовых станций. Любой гражданин может в онлайновом режиме видеть все площадки расположения сот: 8591 станция по состоянию на 10 июля 2013 года (см. файл в формате xls</w:t>
      </w:r>
      <w:r w:rsidRPr="00DD067F">
        <w:rPr>
          <w:rStyle w:val="FootnoteReference"/>
          <w:bCs/>
          <w:szCs w:val="19"/>
          <w:lang w:val="ru-RU"/>
        </w:rPr>
        <w:footnoteReference w:id="11"/>
      </w:r>
      <w:r w:rsidRPr="00DD067F">
        <w:rPr>
          <w:bCs/>
          <w:lang w:val="ru-RU"/>
        </w:rPr>
        <w:t>)</w:t>
      </w:r>
      <w:r w:rsidRPr="00DD067F">
        <w:rPr>
          <w:rFonts w:cs="Arial"/>
          <w:bCs/>
          <w:color w:val="006600"/>
          <w:lang w:val="ru-RU"/>
        </w:rPr>
        <w:t>.</w:t>
      </w:r>
      <w:r w:rsidRPr="00DD067F">
        <w:rPr>
          <w:rFonts w:cs="Arial"/>
          <w:bCs/>
          <w:lang w:val="ru-RU"/>
        </w:rPr>
        <w:t xml:space="preserve">Приводятся </w:t>
      </w:r>
      <w:r w:rsidRPr="00DD067F">
        <w:rPr>
          <w:bCs/>
          <w:lang w:val="ru-RU"/>
        </w:rPr>
        <w:t>название оператора, точный адрес, координаты, даты утверждения и развертывания.</w:t>
      </w:r>
    </w:p>
    <w:p w:rsidR="001B6FDC" w:rsidRPr="00DD067F" w:rsidRDefault="001B6FDC" w:rsidP="001B6FDC">
      <w:pPr>
        <w:rPr>
          <w:rFonts w:cs="Arial"/>
          <w:bCs/>
          <w:szCs w:val="19"/>
          <w:lang w:val="ru-RU"/>
        </w:rPr>
      </w:pPr>
      <w:r w:rsidRPr="00DD067F">
        <w:rPr>
          <w:bCs/>
          <w:szCs w:val="18"/>
          <w:lang w:val="ru-RU" w:eastAsia="en-US" w:bidi="he-IL"/>
        </w:rPr>
        <w:t>Инновационная программа, осуществлять которую в 2010 году начал</w:t>
      </w:r>
      <w:r w:rsidRPr="00DD067F">
        <w:rPr>
          <w:rFonts w:cstheme="minorHAnsi"/>
          <w:bCs/>
          <w:szCs w:val="18"/>
          <w:lang w:val="ru-RU"/>
        </w:rPr>
        <w:t xml:space="preserve"> Департамент по снижению уровней шума и радиации Министерства охраны окружающей среды, </w:t>
      </w:r>
      <w:r w:rsidRPr="00DD067F">
        <w:rPr>
          <w:bCs/>
          <w:szCs w:val="18"/>
          <w:lang w:val="ru-RU" w:eastAsia="en-US" w:bidi="he-IL"/>
        </w:rPr>
        <w:t>дает</w:t>
      </w:r>
      <w:r w:rsidRPr="00DD067F">
        <w:rPr>
          <w:rFonts w:cstheme="minorHAnsi"/>
          <w:bCs/>
          <w:szCs w:val="18"/>
          <w:lang w:val="ru-RU"/>
        </w:rPr>
        <w:t xml:space="preserve"> Комиссару по вопросам радиации </w:t>
      </w:r>
      <w:r w:rsidRPr="00DD067F">
        <w:rPr>
          <w:bCs/>
          <w:lang w:val="ru-RU"/>
        </w:rPr>
        <w:t>возможность</w:t>
      </w:r>
      <w:r w:rsidRPr="00DD067F">
        <w:rPr>
          <w:bCs/>
          <w:szCs w:val="18"/>
          <w:lang w:val="ru-RU" w:eastAsia="en-US" w:bidi="he-IL"/>
        </w:rPr>
        <w:t>, не вставая из-за рабочего стола, вести мониторинг свыше 30 тыс. секторов UMTS по всей стране и получать все относящиеся к излучению данные по каждой антенне в стране круглосуточно 365 дней в году.</w:t>
      </w:r>
      <w:r w:rsidRPr="00DD067F">
        <w:rPr>
          <w:rFonts w:cs="Arial"/>
          <w:bCs/>
          <w:szCs w:val="19"/>
          <w:lang w:val="ru-RU"/>
        </w:rPr>
        <w:t xml:space="preserve"> Программа </w:t>
      </w:r>
      <w:r w:rsidRPr="00DD067F">
        <w:rPr>
          <w:bCs/>
          <w:szCs w:val="18"/>
          <w:lang w:val="ru-RU" w:eastAsia="en-US" w:bidi="he-IL"/>
        </w:rPr>
        <w:t>извлекает необработанные данные непосредственно из коммутационных контроллеров оператора сотовой связи</w:t>
      </w:r>
      <w:r w:rsidRPr="00DD067F">
        <w:rPr>
          <w:rFonts w:cs="Arial"/>
          <w:bCs/>
          <w:szCs w:val="19"/>
          <w:lang w:val="ru-RU"/>
        </w:rPr>
        <w:t xml:space="preserve">. </w:t>
      </w:r>
      <w:r w:rsidRPr="00DD067F">
        <w:rPr>
          <w:bCs/>
          <w:szCs w:val="18"/>
          <w:lang w:val="ru-RU" w:eastAsia="en-US" w:bidi="he-IL"/>
        </w:rPr>
        <w:t>Подлинность данных проверяется, анализируется, сравнивается с пороговыми значениями</w:t>
      </w:r>
      <w:r w:rsidRPr="00DD067F">
        <w:rPr>
          <w:rFonts w:cs="Arial"/>
          <w:bCs/>
          <w:szCs w:val="19"/>
          <w:lang w:val="ru-RU"/>
        </w:rPr>
        <w:t xml:space="preserve">. Нарушения отмечаются. </w:t>
      </w:r>
    </w:p>
    <w:p w:rsidR="001B6FDC" w:rsidRPr="00DD067F" w:rsidRDefault="001B6FDC" w:rsidP="001B6FDC">
      <w:pPr>
        <w:rPr>
          <w:bCs/>
          <w:lang w:val="ru-RU"/>
        </w:rPr>
      </w:pPr>
      <w:r w:rsidRPr="00DD067F">
        <w:rPr>
          <w:bCs/>
          <w:lang w:val="ru-RU"/>
        </w:rPr>
        <w:t>Эта система может также применяться для постоянного контроля таких параметров, как использование радиочастоты в сравнении с присвоенным спектром и таких параметров качества обслуживания (QoS), как показатели разъединения вызова, блокированные вызовы, время возвращения к работе, покрытие по типу зоны.</w:t>
      </w:r>
    </w:p>
    <w:p w:rsidR="001B6FDC" w:rsidRPr="00DD067F" w:rsidRDefault="001B6FDC" w:rsidP="001B6FDC">
      <w:pPr>
        <w:rPr>
          <w:bCs/>
          <w:lang w:val="ru-RU"/>
        </w:rPr>
      </w:pPr>
      <w:r w:rsidRPr="00DD067F">
        <w:rPr>
          <w:bCs/>
          <w:lang w:val="ru-RU"/>
        </w:rPr>
        <w:t xml:space="preserve">Предоставление информации: Применяемая в Израиле технология мониторинга упрощает доступ к данным, поскольку они существуют в электронном виде и к ним можно получить доступ, анализировать их и публиковать на веб-сайте министерства, обеспечивая для населения полную прозрачность. </w:t>
      </w:r>
      <w:r w:rsidRPr="00DD067F">
        <w:rPr>
          <w:rFonts w:cs="Segoe UI"/>
          <w:bCs/>
          <w:color w:val="000000"/>
          <w:szCs w:val="18"/>
          <w:lang w:val="ru-RU"/>
        </w:rPr>
        <w:t>Когда система выявляет аномалию, автоматически генерируются сигналы тревоги, как внутри министерства, так и операторам; и ведется четкий учет деятельности от начала до закрытия. Список аномалий размещается на веб-сайте</w:t>
      </w:r>
      <w:r w:rsidRPr="00DD067F">
        <w:rPr>
          <w:bCs/>
          <w:lang w:val="ru-RU"/>
        </w:rPr>
        <w:t xml:space="preserve">. </w:t>
      </w:r>
    </w:p>
    <w:p w:rsidR="001B6FDC" w:rsidRPr="001F3A1E" w:rsidRDefault="001B6FDC" w:rsidP="001B6FDC">
      <w:pPr>
        <w:pStyle w:val="Headingb0"/>
        <w:rPr>
          <w:bCs/>
          <w:i/>
          <w:iCs/>
          <w:lang w:val="ru-RU"/>
        </w:rPr>
      </w:pPr>
      <w:bookmarkStart w:id="64" w:name="_Toc377482101"/>
      <w:r w:rsidRPr="001F3A1E">
        <w:rPr>
          <w:i/>
          <w:iCs/>
          <w:lang w:val="ru-RU"/>
        </w:rPr>
        <w:t>Анализ</w:t>
      </w:r>
      <w:bookmarkEnd w:id="64"/>
    </w:p>
    <w:p w:rsidR="001B6FDC" w:rsidRPr="001F3A1E" w:rsidRDefault="001B6FDC" w:rsidP="001B6FDC">
      <w:pPr>
        <w:rPr>
          <w:szCs w:val="19"/>
          <w:lang w:val="ru-RU"/>
        </w:rPr>
      </w:pPr>
      <w:r w:rsidRPr="001F3A1E">
        <w:rPr>
          <w:szCs w:val="19"/>
          <w:lang w:val="ru-RU"/>
        </w:rPr>
        <w:t xml:space="preserve">Израиль применяет удобную для пользователей систему мониторинга, которая отличается большей </w:t>
      </w:r>
      <w:r w:rsidRPr="001F3A1E">
        <w:rPr>
          <w:lang w:val="ru-RU"/>
        </w:rPr>
        <w:t>эффективностью</w:t>
      </w:r>
      <w:r w:rsidRPr="001F3A1E">
        <w:rPr>
          <w:szCs w:val="19"/>
          <w:lang w:val="ru-RU"/>
        </w:rPr>
        <w:t xml:space="preserve"> и надежностью. </w:t>
      </w:r>
    </w:p>
    <w:p w:rsidR="001B6FDC" w:rsidRPr="001F3A1E" w:rsidRDefault="001B6FDC" w:rsidP="001B6FDC">
      <w:pPr>
        <w:rPr>
          <w:szCs w:val="19"/>
          <w:lang w:val="ru-RU"/>
        </w:rPr>
      </w:pPr>
      <w:r w:rsidRPr="001F3A1E">
        <w:rPr>
          <w:rFonts w:cs="Segoe UI"/>
          <w:color w:val="000000"/>
          <w:szCs w:val="18"/>
          <w:lang w:val="ru-RU"/>
        </w:rPr>
        <w:t>Ввиду того, что большое число людей подвергается радиочастотному излучению от сотовых базовых станций и в науке сохраняется неопределенность относительно его вредных последствий</w:t>
      </w:r>
      <w:r w:rsidRPr="001F3A1E">
        <w:rPr>
          <w:szCs w:val="18"/>
          <w:lang w:val="ru-RU"/>
        </w:rPr>
        <w:t>, Израиль предлагает отдать приоритет альтернативным кабельным и спутниковым средствам электросвязи по отношению к фиксированной беспроводной электросвязи</w:t>
      </w:r>
      <w:r w:rsidRPr="001F3A1E">
        <w:rPr>
          <w:szCs w:val="19"/>
          <w:lang w:val="ru-RU"/>
        </w:rPr>
        <w:t xml:space="preserve">, </w:t>
      </w:r>
      <w:r w:rsidRPr="001F3A1E">
        <w:rPr>
          <w:rFonts w:cs="Segoe UI"/>
          <w:color w:val="000000"/>
          <w:szCs w:val="18"/>
          <w:lang w:val="ru-RU"/>
        </w:rPr>
        <w:t>эфирному телевидению и беспроводным интернет-маршрутизаторам</w:t>
      </w:r>
      <w:r w:rsidRPr="001F3A1E">
        <w:rPr>
          <w:szCs w:val="19"/>
          <w:lang w:val="ru-RU"/>
        </w:rPr>
        <w:t>. Также следует содействовать размещению сот различных операторов в одном месте для сокращения числа базовых станций и уменьшению воздействия ЭМП на человека.</w:t>
      </w:r>
    </w:p>
    <w:p w:rsidR="001B6FDC" w:rsidRPr="001B6FDC" w:rsidRDefault="001B6FDC" w:rsidP="001B6FDC">
      <w:pPr>
        <w:pStyle w:val="Heading2"/>
        <w:rPr>
          <w:lang w:val="ru-RU"/>
        </w:rPr>
      </w:pPr>
      <w:bookmarkStart w:id="65" w:name="_Toc330816731"/>
      <w:bookmarkStart w:id="66" w:name="_Toc370394202"/>
      <w:bookmarkStart w:id="67" w:name="_Toc370477285"/>
      <w:bookmarkStart w:id="68" w:name="_Toc370477564"/>
      <w:bookmarkStart w:id="69" w:name="_Toc377482102"/>
      <w:r w:rsidRPr="001B6FDC">
        <w:rPr>
          <w:lang w:val="ru-RU"/>
        </w:rPr>
        <w:t>5.5</w:t>
      </w:r>
      <w:r w:rsidRPr="001B6FDC">
        <w:rPr>
          <w:lang w:val="ru-RU"/>
        </w:rPr>
        <w:tab/>
      </w:r>
      <w:bookmarkEnd w:id="65"/>
      <w:r w:rsidRPr="001B6FDC">
        <w:rPr>
          <w:lang w:val="ru-RU"/>
        </w:rPr>
        <w:t>Венесуэла</w:t>
      </w:r>
      <w:bookmarkEnd w:id="66"/>
      <w:bookmarkEnd w:id="67"/>
      <w:bookmarkEnd w:id="68"/>
      <w:bookmarkEnd w:id="69"/>
    </w:p>
    <w:p w:rsidR="001B6FDC" w:rsidRPr="00DD067F" w:rsidRDefault="001B6FDC" w:rsidP="001B6FDC">
      <w:pPr>
        <w:rPr>
          <w:bCs/>
          <w:szCs w:val="19"/>
          <w:lang w:val="ru-RU"/>
        </w:rPr>
      </w:pPr>
      <w:r w:rsidRPr="00DD067F">
        <w:rPr>
          <w:bCs/>
          <w:szCs w:val="19"/>
          <w:lang w:val="ru-RU"/>
        </w:rPr>
        <w:t>Политика: Административное решение</w:t>
      </w:r>
      <w:r w:rsidRPr="00DD067F">
        <w:rPr>
          <w:bCs/>
          <w:szCs w:val="18"/>
          <w:lang w:val="ru-RU"/>
        </w:rPr>
        <w:t xml:space="preserve"> № 581 было опубликовано CONATEL 3 июня 2005 года</w:t>
      </w:r>
      <w:r w:rsidRPr="00DD067F">
        <w:rPr>
          <w:bCs/>
          <w:szCs w:val="19"/>
          <w:lang w:val="ru-RU"/>
        </w:rPr>
        <w:t xml:space="preserve">. </w:t>
      </w:r>
      <w:r w:rsidRPr="00DD067F">
        <w:rPr>
          <w:bCs/>
          <w:szCs w:val="18"/>
          <w:lang w:val="ru-RU"/>
        </w:rPr>
        <w:t xml:space="preserve">Целью этого решения является создание условий безопасности, связанных с воздействием радиочастоты, производимыми фиксированными радиостанциями в диапазоне 3 кГц – 300 ГГц, а именно разработка технических требований по монтажу передающих антенн, а также методики </w:t>
      </w:r>
      <w:r w:rsidRPr="00DD067F">
        <w:rPr>
          <w:bCs/>
          <w:szCs w:val="18"/>
          <w:lang w:val="ru-RU"/>
        </w:rPr>
        <w:lastRenderedPageBreak/>
        <w:t>определения соответствия таких излучений предельным значениям, установленным в действующих нормативных актах.</w:t>
      </w:r>
    </w:p>
    <w:p w:rsidR="001B6FDC" w:rsidRPr="00DD067F" w:rsidRDefault="001B6FDC" w:rsidP="001B6FDC">
      <w:pPr>
        <w:rPr>
          <w:bCs/>
          <w:szCs w:val="18"/>
          <w:lang w:val="ru-RU"/>
        </w:rPr>
      </w:pPr>
      <w:r w:rsidRPr="00DD067F">
        <w:rPr>
          <w:bCs/>
          <w:szCs w:val="18"/>
          <w:lang w:val="ru-RU"/>
        </w:rPr>
        <w:t xml:space="preserve">В Административном решении содержится ряд статей по условиям безопасности, связанным с </w:t>
      </w:r>
      <w:r w:rsidRPr="00DD067F">
        <w:rPr>
          <w:bCs/>
          <w:lang w:val="ru-RU"/>
        </w:rPr>
        <w:t>радиочастотными</w:t>
      </w:r>
      <w:r w:rsidRPr="00DD067F">
        <w:rPr>
          <w:bCs/>
          <w:szCs w:val="18"/>
          <w:lang w:val="ru-RU"/>
        </w:rPr>
        <w:t xml:space="preserve"> излучениями, производимыми фиксированными радиостанциями в диапазоне 3 кГц – 300 ГГц, и три (3) приложения, дополняющих данные статьи. Оно применяется ко всем операторам фиксированных передающих радиостанций, работающих в диапазоне частот 3 кГц – 300 ГГц.</w:t>
      </w:r>
    </w:p>
    <w:p w:rsidR="001B6FDC" w:rsidRPr="00DD067F" w:rsidRDefault="001B6FDC" w:rsidP="001B6FDC">
      <w:pPr>
        <w:rPr>
          <w:bCs/>
          <w:szCs w:val="18"/>
          <w:lang w:val="ru-RU"/>
        </w:rPr>
      </w:pPr>
      <w:r w:rsidRPr="00DD067F">
        <w:rPr>
          <w:bCs/>
          <w:szCs w:val="18"/>
          <w:lang w:val="ru-RU"/>
        </w:rPr>
        <w:t xml:space="preserve">В </w:t>
      </w:r>
      <w:r w:rsidRPr="00DD067F">
        <w:rPr>
          <w:bCs/>
          <w:lang w:val="ru-RU"/>
        </w:rPr>
        <w:t>отношении</w:t>
      </w:r>
      <w:r w:rsidRPr="00DD067F">
        <w:rPr>
          <w:bCs/>
          <w:szCs w:val="18"/>
          <w:lang w:val="ru-RU"/>
        </w:rPr>
        <w:t xml:space="preserve"> предельно допустимых уровней воздействия в Административном решении предусмотрено, что операторы фиксированных радиостанций обязаны обеспечить, чтобы получаемое количество энергии, вырабатываемой их станциями в различных зонах доступа, не превышало предельно допустимых значений для рабочей частоты такой радиостанции, указанных в соответствующих таблицах согласно значениям, установленным стандартом COVENIN 2238 Венесуэлы для диапазонов частот, указанных в данном Административном решении.</w:t>
      </w:r>
    </w:p>
    <w:p w:rsidR="001B6FDC" w:rsidRPr="00DD067F" w:rsidRDefault="001B6FDC" w:rsidP="001B6FDC">
      <w:pPr>
        <w:rPr>
          <w:bCs/>
          <w:szCs w:val="19"/>
          <w:lang w:val="ru-RU"/>
        </w:rPr>
      </w:pPr>
      <w:r w:rsidRPr="00DD067F">
        <w:rPr>
          <w:rStyle w:val="hps"/>
          <w:rFonts w:cs="Arial"/>
          <w:bCs/>
          <w:szCs w:val="19"/>
          <w:lang w:val="ru-RU"/>
        </w:rPr>
        <w:t>Согласно положениям Резолюции </w:t>
      </w:r>
      <w:r w:rsidRPr="00DD067F">
        <w:rPr>
          <w:rFonts w:cs="Arial"/>
          <w:bCs/>
          <w:szCs w:val="19"/>
          <w:lang w:val="ru-RU"/>
        </w:rPr>
        <w:t>508 Министерства здравоохранения, любая радиостанция, расположенная в здании вблизи школ, медицинских центров, санаториев, домов ребенка и детских площадок</w:t>
      </w:r>
      <w:r w:rsidRPr="00DD067F">
        <w:rPr>
          <w:rStyle w:val="hps"/>
          <w:rFonts w:cs="Arial"/>
          <w:bCs/>
          <w:szCs w:val="19"/>
          <w:lang w:val="ru-RU"/>
        </w:rPr>
        <w:t xml:space="preserve">, обязана произвести необходимые корректировки, с тем чтобы значение воздействия электромагнитных полей на человека в этих зонах было в десять раз меньше, чем значение, установленное </w:t>
      </w:r>
      <w:r w:rsidRPr="00DD067F">
        <w:rPr>
          <w:bCs/>
          <w:szCs w:val="18"/>
          <w:lang w:val="ru-RU"/>
        </w:rPr>
        <w:t>стандартом COVENIN 2238 Венесуэлы</w:t>
      </w:r>
      <w:r w:rsidRPr="00DD067F">
        <w:rPr>
          <w:rStyle w:val="hps"/>
          <w:rFonts w:cs="Arial"/>
          <w:bCs/>
          <w:szCs w:val="19"/>
          <w:lang w:val="ru-RU"/>
        </w:rPr>
        <w:t xml:space="preserve">. </w:t>
      </w:r>
    </w:p>
    <w:p w:rsidR="001B6FDC" w:rsidRPr="00DD067F" w:rsidRDefault="001B6FDC" w:rsidP="001B6FDC">
      <w:pPr>
        <w:rPr>
          <w:bCs/>
          <w:szCs w:val="19"/>
          <w:lang w:val="ru-RU"/>
        </w:rPr>
      </w:pPr>
      <w:r w:rsidRPr="00DD067F">
        <w:rPr>
          <w:bCs/>
          <w:szCs w:val="19"/>
          <w:lang w:val="ru-RU"/>
        </w:rPr>
        <w:t xml:space="preserve">Предоставление информации: </w:t>
      </w:r>
      <w:r w:rsidRPr="00DD067F">
        <w:rPr>
          <w:bCs/>
          <w:szCs w:val="18"/>
          <w:lang w:val="ru-RU"/>
        </w:rPr>
        <w:t xml:space="preserve">Для обеспечения соблюдения национального законодательства </w:t>
      </w:r>
      <w:r w:rsidRPr="00DD067F">
        <w:rPr>
          <w:bCs/>
          <w:szCs w:val="19"/>
          <w:lang w:val="ru-RU"/>
        </w:rPr>
        <w:t>CONATEL</w:t>
      </w:r>
      <w:r w:rsidRPr="00DD067F">
        <w:rPr>
          <w:bCs/>
          <w:szCs w:val="18"/>
          <w:lang w:val="ru-RU"/>
        </w:rPr>
        <w:t xml:space="preserve"> проводит замеры неионизирующего излучения на радиостанциях по всей стране в целях проверки отчетов операторов электросвязи, а затем представляет эти отчеты в Министерство здравоохранения, чтобы последнее приняло решение в отношении случаев воздействия радиочастотных излучений таких станций на здоровье людей и тем самым приняло адекватные, полномасштабные и своевременные ответные меры в отношении тех, кого затронуло развертывание и эксплуатация таких станций</w:t>
      </w:r>
      <w:r w:rsidRPr="00DD067F">
        <w:rPr>
          <w:bCs/>
          <w:szCs w:val="19"/>
          <w:lang w:val="ru-RU"/>
        </w:rPr>
        <w:t>.</w:t>
      </w:r>
    </w:p>
    <w:p w:rsidR="001B6FDC" w:rsidRPr="00DD067F" w:rsidRDefault="001B6FDC" w:rsidP="001B6FDC">
      <w:pPr>
        <w:rPr>
          <w:bCs/>
          <w:szCs w:val="18"/>
          <w:lang w:val="ru-RU"/>
        </w:rPr>
      </w:pPr>
      <w:r w:rsidRPr="00DD067F">
        <w:rPr>
          <w:bCs/>
          <w:szCs w:val="18"/>
          <w:lang w:val="ru-RU"/>
        </w:rPr>
        <w:t>Кроме того, в организованных сообществах проводятся информационные беседы по вопросам излучения радиостанций и его потенциального воздействия на здоровье человека. В ходе таких бесед обсуждаются достижения в области услуг электросвязи в стране, основные нормативные, правовые и практические правила, связанные с электромагнитными полями в жилых районах, с единственной целью содействия интеграции граждан в развитие и эволюцию электросвязи в стране.</w:t>
      </w:r>
    </w:p>
    <w:p w:rsidR="001B6FDC" w:rsidRPr="001F3A1E" w:rsidRDefault="001B6FDC" w:rsidP="001B6FDC">
      <w:pPr>
        <w:pStyle w:val="Headingb0"/>
        <w:rPr>
          <w:i/>
          <w:iCs/>
          <w:lang w:val="ru-RU"/>
        </w:rPr>
      </w:pPr>
      <w:bookmarkStart w:id="70" w:name="_Toc377482103"/>
      <w:r w:rsidRPr="001F3A1E">
        <w:rPr>
          <w:i/>
          <w:iCs/>
          <w:lang w:val="ru-RU"/>
        </w:rPr>
        <w:t>Анализ</w:t>
      </w:r>
      <w:bookmarkEnd w:id="70"/>
    </w:p>
    <w:p w:rsidR="001B6FDC" w:rsidRPr="001F3A1E" w:rsidRDefault="001B6FDC" w:rsidP="001B6FDC">
      <w:pPr>
        <w:rPr>
          <w:szCs w:val="19"/>
          <w:lang w:val="ru-RU"/>
        </w:rPr>
      </w:pPr>
      <w:r w:rsidRPr="001F3A1E">
        <w:rPr>
          <w:szCs w:val="19"/>
          <w:lang w:val="ru-RU"/>
        </w:rPr>
        <w:t xml:space="preserve">В рамках данной политики реализуются руководящие указания ВОЗ и ICNIRP. Наряду с этим стандарт COVENIN 2238 также базируется на рекомендациях ICNIRP. </w:t>
      </w:r>
    </w:p>
    <w:p w:rsidR="001B6FDC" w:rsidRPr="001F3A1E" w:rsidRDefault="001B6FDC" w:rsidP="001B6FDC">
      <w:pPr>
        <w:rPr>
          <w:szCs w:val="19"/>
          <w:lang w:val="ru-RU"/>
        </w:rPr>
      </w:pPr>
      <w:r w:rsidRPr="001F3A1E">
        <w:rPr>
          <w:szCs w:val="19"/>
          <w:lang w:val="ru-RU"/>
        </w:rPr>
        <w:t>Регуляторный орган, операторы систем подвижной связи и компетентные органы распространяют среди граждан важную информацию.</w:t>
      </w:r>
    </w:p>
    <w:p w:rsidR="001B6FDC" w:rsidRPr="001B6FDC" w:rsidRDefault="001B6FDC" w:rsidP="001B6FDC">
      <w:pPr>
        <w:pStyle w:val="Heading2"/>
        <w:rPr>
          <w:lang w:val="ru-RU"/>
        </w:rPr>
      </w:pPr>
      <w:bookmarkStart w:id="71" w:name="_Toc370394203"/>
      <w:bookmarkStart w:id="72" w:name="_Toc370477286"/>
      <w:bookmarkStart w:id="73" w:name="_Toc370477565"/>
      <w:bookmarkStart w:id="74" w:name="_Toc377482104"/>
      <w:r w:rsidRPr="001B6FDC">
        <w:rPr>
          <w:lang w:val="ru-RU"/>
        </w:rPr>
        <w:t>5.6</w:t>
      </w:r>
      <w:r w:rsidRPr="001B6FDC">
        <w:rPr>
          <w:lang w:val="ru-RU"/>
        </w:rPr>
        <w:tab/>
        <w:t>Венгрия</w:t>
      </w:r>
      <w:bookmarkEnd w:id="71"/>
      <w:bookmarkEnd w:id="72"/>
      <w:bookmarkEnd w:id="73"/>
      <w:bookmarkEnd w:id="74"/>
    </w:p>
    <w:p w:rsidR="001B6FDC" w:rsidRPr="001F3A1E" w:rsidRDefault="001B6FDC" w:rsidP="001B6FDC">
      <w:pPr>
        <w:rPr>
          <w:rStyle w:val="hps"/>
          <w:rFonts w:cs="Arial"/>
          <w:szCs w:val="19"/>
          <w:lang w:val="ru-RU"/>
        </w:rPr>
      </w:pPr>
      <w:r w:rsidRPr="00D3476D">
        <w:rPr>
          <w:bCs/>
          <w:szCs w:val="19"/>
          <w:lang w:val="ru-RU"/>
        </w:rPr>
        <w:t>Политика:</w:t>
      </w:r>
      <w:r w:rsidRPr="001F3A1E">
        <w:rPr>
          <w:szCs w:val="19"/>
          <w:lang w:val="ru-RU"/>
        </w:rPr>
        <w:t xml:space="preserve"> Связанные со здоровьем человека аспекты электромагнитного излучения в Венгрии изучает специализированное учреждение – Национальный научно-исследовательский институт радиобиологии и радиогигиены (NRIRR) Национальной службы здравоохранения</w:t>
      </w:r>
      <w:r w:rsidRPr="001F3A1E">
        <w:rPr>
          <w:rStyle w:val="hps"/>
          <w:rFonts w:cs="Arial"/>
          <w:szCs w:val="19"/>
          <w:lang w:val="ru-RU"/>
        </w:rPr>
        <w:t>. В его обязанности входит участие в лицензировании создания объектов радиосвязи и проведении конкретных измерений. Вместе с тем благодаря наличию потенциала и специальных знаний Национальное управление средств массовой информации и инфокоммуникаций Венгрии (NMIAH) создало национальную сеть мониторинга ЭМП и информирования о них по согласованию с NRIRR.</w:t>
      </w:r>
    </w:p>
    <w:p w:rsidR="001B6FDC" w:rsidRPr="001F3A1E" w:rsidRDefault="001B6FDC" w:rsidP="001B6FDC">
      <w:pPr>
        <w:rPr>
          <w:b/>
          <w:szCs w:val="19"/>
          <w:lang w:val="ru-RU"/>
        </w:rPr>
      </w:pPr>
      <w:r w:rsidRPr="001F3A1E">
        <w:rPr>
          <w:rStyle w:val="hps"/>
          <w:rFonts w:cs="Arial"/>
          <w:szCs w:val="19"/>
          <w:lang w:val="ru-RU"/>
        </w:rPr>
        <w:t>Программа измерений включает сбор данных с использованием двадцати пяти (25) зональных инструментов мониторинга, раз в две недели перемещаемых на новые места. Измерения проводятся в отобранных учебных заведениях, детских садах и школах, расположенных поблизости от объектов радиосвязи. Иногда измерения производятся по просьбе частных лиц.</w:t>
      </w:r>
    </w:p>
    <w:p w:rsidR="001B6FDC" w:rsidRPr="00DD067F" w:rsidRDefault="001B6FDC" w:rsidP="001B6FDC">
      <w:pPr>
        <w:rPr>
          <w:bCs/>
          <w:szCs w:val="19"/>
          <w:lang w:val="ru-RU"/>
        </w:rPr>
      </w:pPr>
      <w:r w:rsidRPr="00DD067F">
        <w:rPr>
          <w:bCs/>
          <w:szCs w:val="19"/>
          <w:lang w:val="ru-RU"/>
        </w:rPr>
        <w:lastRenderedPageBreak/>
        <w:t>Предоставление информации: Результаты измерений размещаются на веб-сайте.</w:t>
      </w:r>
    </w:p>
    <w:p w:rsidR="001B6FDC" w:rsidRPr="001F3A1E" w:rsidRDefault="001B6FDC" w:rsidP="001B6FDC">
      <w:pPr>
        <w:pStyle w:val="Headingb0"/>
        <w:rPr>
          <w:i/>
          <w:iCs/>
          <w:lang w:val="ru-RU"/>
        </w:rPr>
      </w:pPr>
      <w:bookmarkStart w:id="75" w:name="_Toc377482105"/>
      <w:r w:rsidRPr="001F3A1E">
        <w:rPr>
          <w:i/>
          <w:iCs/>
          <w:lang w:val="ru-RU"/>
        </w:rPr>
        <w:t>Анализ</w:t>
      </w:r>
      <w:bookmarkEnd w:id="75"/>
    </w:p>
    <w:p w:rsidR="001B6FDC" w:rsidRPr="001F3A1E" w:rsidRDefault="001B6FDC" w:rsidP="001B6FDC">
      <w:pPr>
        <w:rPr>
          <w:szCs w:val="19"/>
          <w:lang w:val="ru-RU"/>
        </w:rPr>
      </w:pPr>
      <w:r w:rsidRPr="001F3A1E">
        <w:rPr>
          <w:szCs w:val="19"/>
          <w:lang w:val="ru-RU"/>
        </w:rPr>
        <w:t>Национальная система мониторинга в Венгрии и публикация результатов на веб-сайте являются инструментом решения проблем, связанных с опасностями для здоровья, создаваемыми электромагнитными полями, и повышения осведомленности населения.</w:t>
      </w:r>
    </w:p>
    <w:p w:rsidR="001B6FDC" w:rsidRPr="001B6FDC" w:rsidRDefault="001B6FDC" w:rsidP="001B6FDC">
      <w:pPr>
        <w:pStyle w:val="Heading2"/>
        <w:rPr>
          <w:lang w:val="ru-RU"/>
        </w:rPr>
      </w:pPr>
      <w:bookmarkStart w:id="76" w:name="_Toc370394204"/>
      <w:bookmarkStart w:id="77" w:name="_Toc370477287"/>
      <w:bookmarkStart w:id="78" w:name="_Toc370477566"/>
      <w:bookmarkStart w:id="79" w:name="_Toc377482106"/>
      <w:r w:rsidRPr="001B6FDC">
        <w:rPr>
          <w:lang w:val="ru-RU"/>
        </w:rPr>
        <w:t>5.7</w:t>
      </w:r>
      <w:r w:rsidRPr="001B6FDC">
        <w:rPr>
          <w:lang w:val="ru-RU"/>
        </w:rPr>
        <w:tab/>
        <w:t>Узбекистан</w:t>
      </w:r>
      <w:bookmarkEnd w:id="76"/>
      <w:bookmarkEnd w:id="77"/>
      <w:bookmarkEnd w:id="78"/>
      <w:bookmarkEnd w:id="79"/>
    </w:p>
    <w:p w:rsidR="001B6FDC" w:rsidRPr="00DD067F" w:rsidRDefault="001B6FDC" w:rsidP="001B6FDC">
      <w:pPr>
        <w:rPr>
          <w:bCs/>
          <w:szCs w:val="19"/>
          <w:lang w:val="ru-RU"/>
        </w:rPr>
      </w:pPr>
      <w:r w:rsidRPr="00DD067F">
        <w:rPr>
          <w:bCs/>
          <w:szCs w:val="19"/>
          <w:lang w:val="ru-RU"/>
        </w:rPr>
        <w:t>Политика: Государственная политика Узбекистана по вопросам, связанным с воздействием электромагнитных полей на человека, определяется двумя законами: Законом о радиочастотном спектре и Законом о государственной санитарной инспекции</w:t>
      </w:r>
      <w:r w:rsidRPr="00DD067F">
        <w:rPr>
          <w:rStyle w:val="hps"/>
          <w:rFonts w:cs="Arial"/>
          <w:bCs/>
          <w:color w:val="333333"/>
          <w:szCs w:val="19"/>
          <w:lang w:val="ru-RU"/>
        </w:rPr>
        <w:t xml:space="preserve">. </w:t>
      </w:r>
      <w:r w:rsidRPr="00DD067F">
        <w:rPr>
          <w:bCs/>
          <w:szCs w:val="19"/>
          <w:lang w:val="ru-RU"/>
        </w:rPr>
        <w:t>Законом о радиочастотном спектре устанавливает высший приоритет здоровья человека и благоприятных условий окружающей среды над использованием радиооборудования, работающего на высоких частотах. Законом о государственной санитарной инспекции регулируются социальные отношения с целью обеспечения санитарно-эпидемиологического благополучия и радиационной безопасности людей и провозглашаются права человека на благоприятные условия окружающей среды, другие связанные с этим права, а также гарантируется их реализация.</w:t>
      </w:r>
    </w:p>
    <w:p w:rsidR="001B6FDC" w:rsidRPr="00DD067F" w:rsidRDefault="001B6FDC" w:rsidP="001B6FDC">
      <w:pPr>
        <w:rPr>
          <w:bCs/>
          <w:szCs w:val="19"/>
          <w:lang w:val="ru-RU"/>
        </w:rPr>
      </w:pPr>
      <w:r w:rsidRPr="00DD067F">
        <w:rPr>
          <w:bCs/>
          <w:szCs w:val="19"/>
          <w:lang w:val="ru-RU"/>
        </w:rPr>
        <w:t xml:space="preserve">Организации, эксплуатирующие, перестраивающие или проектирующие объекты радиосвязи, обязаны обеспечивать соблюдение санитарных норм и правил. Контроль за соблюдением требований и предельных значений осуществляет государственное санитарно-эпидемиологическое управление, подчиняющееся Министерству здравоохранения. Уровни ЭМП, создаваемых объектами радиосвязи, определяются при использовании как расчетов, так и практических измерений. </w:t>
      </w:r>
    </w:p>
    <w:p w:rsidR="001B6FDC" w:rsidRPr="00DD067F" w:rsidRDefault="001B6FDC" w:rsidP="001B6FDC">
      <w:pPr>
        <w:rPr>
          <w:bCs/>
          <w:szCs w:val="19"/>
          <w:lang w:val="ru-RU"/>
        </w:rPr>
      </w:pPr>
      <w:r w:rsidRPr="00DD067F">
        <w:rPr>
          <w:bCs/>
          <w:szCs w:val="19"/>
          <w:lang w:val="ru-RU"/>
        </w:rPr>
        <w:t>Предоставление информации: Каждый объект радиосвязи, ведущий передачу и излучающий электромагнитную энергию в окружающую среду, должен иметь санитарный паспорт, подписанный директором и государственным санитарным инспектором и хранящийся на объекте.</w:t>
      </w:r>
    </w:p>
    <w:p w:rsidR="001B6FDC" w:rsidRPr="001B6FDC" w:rsidRDefault="001B6FDC" w:rsidP="001B6FDC">
      <w:pPr>
        <w:pStyle w:val="Heading2"/>
        <w:rPr>
          <w:lang w:val="ru-RU"/>
        </w:rPr>
      </w:pPr>
      <w:bookmarkStart w:id="80" w:name="_Toc370394205"/>
      <w:bookmarkStart w:id="81" w:name="_Toc370477288"/>
      <w:bookmarkStart w:id="82" w:name="_Toc370477567"/>
      <w:bookmarkStart w:id="83" w:name="_Toc377482107"/>
      <w:r w:rsidRPr="001B6FDC">
        <w:rPr>
          <w:lang w:val="ru-RU"/>
        </w:rPr>
        <w:t>5.8</w:t>
      </w:r>
      <w:r w:rsidRPr="001B6FDC">
        <w:rPr>
          <w:lang w:val="ru-RU"/>
        </w:rPr>
        <w:tab/>
        <w:t>Бенин</w:t>
      </w:r>
      <w:bookmarkEnd w:id="80"/>
      <w:bookmarkEnd w:id="81"/>
      <w:bookmarkEnd w:id="82"/>
      <w:bookmarkEnd w:id="83"/>
    </w:p>
    <w:p w:rsidR="001B6FDC" w:rsidRPr="00DD067F" w:rsidRDefault="001B6FDC" w:rsidP="001B6FDC">
      <w:pPr>
        <w:rPr>
          <w:rFonts w:eastAsia="Times New Roman"/>
          <w:bCs/>
          <w:szCs w:val="19"/>
          <w:lang w:val="ru-RU"/>
        </w:rPr>
      </w:pPr>
      <w:r w:rsidRPr="00DD067F">
        <w:rPr>
          <w:bCs/>
          <w:szCs w:val="19"/>
          <w:lang w:val="ru-RU"/>
        </w:rPr>
        <w:t>Политика: Национальный регуляторный орган Бенина</w:t>
      </w:r>
      <w:r w:rsidRPr="00DD067F">
        <w:rPr>
          <w:rFonts w:eastAsia="Times New Roman"/>
          <w:bCs/>
          <w:szCs w:val="19"/>
          <w:lang w:val="ru-RU"/>
        </w:rPr>
        <w:t xml:space="preserve"> (ATRPT) приобрел фиксированные и мобильные станции мониторинга, в том числе оборудование для оценки воздействия неионизирующего излучения на население, в начале 2012 года. Оборудование позволяет проводить измерения напряженности электрического поля в данной точке. ATRPT также провел в апреле 2012 года национальный семинар по воздействию неионизирующего излучения на здоровье населения.</w:t>
      </w:r>
    </w:p>
    <w:p w:rsidR="001B6FDC" w:rsidRPr="001F3A1E" w:rsidRDefault="001B6FDC" w:rsidP="001B6FDC">
      <w:pPr>
        <w:rPr>
          <w:rFonts w:eastAsia="Times New Roman"/>
          <w:bCs/>
          <w:szCs w:val="19"/>
          <w:lang w:val="ru-RU"/>
        </w:rPr>
      </w:pPr>
      <w:r w:rsidRPr="001F3A1E">
        <w:rPr>
          <w:rFonts w:eastAsia="Times New Roman"/>
          <w:szCs w:val="19"/>
          <w:lang w:val="ru-RU"/>
        </w:rPr>
        <w:t>Во время семинара были представлены проекты трех текстов регуляторного характера:</w:t>
      </w:r>
    </w:p>
    <w:p w:rsidR="001B6FDC" w:rsidRPr="0044642E" w:rsidRDefault="001B6FDC" w:rsidP="001B6FDC">
      <w:pPr>
        <w:pStyle w:val="Enumlevel1"/>
        <w:rPr>
          <w:szCs w:val="18"/>
          <w:lang w:val="ru-RU"/>
        </w:rPr>
      </w:pPr>
      <w:r w:rsidRPr="0044642E">
        <w:rPr>
          <w:lang w:val="ru-RU"/>
        </w:rPr>
        <w:t>−</w:t>
      </w:r>
      <w:r w:rsidRPr="0044642E">
        <w:rPr>
          <w:lang w:val="ru-RU"/>
        </w:rPr>
        <w:tab/>
        <w:t xml:space="preserve">проект указа о защите физических лиц от воздействия электрических, магнитных и электромагнитных полей в диапазоне от </w:t>
      </w:r>
      <w:r w:rsidRPr="0044642E">
        <w:rPr>
          <w:szCs w:val="18"/>
          <w:lang w:val="ru-RU"/>
        </w:rPr>
        <w:t>0 до 300 ГГц;</w:t>
      </w:r>
    </w:p>
    <w:p w:rsidR="001B6FDC" w:rsidRPr="0044642E" w:rsidRDefault="001B6FDC" w:rsidP="001B6FDC">
      <w:pPr>
        <w:pStyle w:val="Enumlevel1"/>
        <w:rPr>
          <w:szCs w:val="18"/>
          <w:lang w:val="ru-RU"/>
        </w:rPr>
      </w:pPr>
      <w:r w:rsidRPr="0044642E">
        <w:rPr>
          <w:lang w:val="ru-RU"/>
        </w:rPr>
        <w:t>−</w:t>
      </w:r>
      <w:r w:rsidRPr="0044642E">
        <w:rPr>
          <w:lang w:val="ru-RU"/>
        </w:rPr>
        <w:tab/>
        <w:t>проект указа об условиях монтажа радиостанций</w:t>
      </w:r>
      <w:r w:rsidRPr="0044642E">
        <w:rPr>
          <w:szCs w:val="18"/>
          <w:lang w:val="ru-RU"/>
        </w:rPr>
        <w:t>;</w:t>
      </w:r>
    </w:p>
    <w:p w:rsidR="001B6FDC" w:rsidRPr="0044642E" w:rsidRDefault="001B6FDC" w:rsidP="001B6FDC">
      <w:pPr>
        <w:pStyle w:val="Enumlevel1"/>
        <w:rPr>
          <w:bCs/>
          <w:lang w:val="ru-RU"/>
        </w:rPr>
      </w:pPr>
      <w:r w:rsidRPr="0044642E">
        <w:rPr>
          <w:lang w:val="ru-RU"/>
        </w:rPr>
        <w:t>−</w:t>
      </w:r>
      <w:r w:rsidRPr="0044642E">
        <w:rPr>
          <w:lang w:val="ru-RU"/>
        </w:rPr>
        <w:tab/>
        <w:t>проект указа о разработке технических условий, применимых к оконечному оборудованию электросвязи и радиосвязи.</w:t>
      </w:r>
    </w:p>
    <w:p w:rsidR="001B6FDC" w:rsidRPr="0044642E" w:rsidRDefault="001B6FDC" w:rsidP="001B6FDC">
      <w:pPr>
        <w:pStyle w:val="Enumlevel1"/>
        <w:rPr>
          <w:rFonts w:eastAsia="Times New Roman"/>
          <w:bCs/>
          <w:szCs w:val="19"/>
          <w:lang w:val="ru-RU" w:eastAsia="fr-FR"/>
        </w:rPr>
      </w:pPr>
      <w:r w:rsidRPr="0044642E">
        <w:rPr>
          <w:rFonts w:eastAsia="Times New Roman"/>
          <w:szCs w:val="19"/>
          <w:lang w:val="ru-RU" w:eastAsia="fr-FR"/>
        </w:rPr>
        <w:t>В разработанной нормативной базе содержатся следующие пункты:</w:t>
      </w:r>
    </w:p>
    <w:p w:rsidR="001B6FDC" w:rsidRPr="0044642E" w:rsidRDefault="001B6FDC" w:rsidP="001B6FDC">
      <w:pPr>
        <w:pStyle w:val="Enumlevel1"/>
        <w:rPr>
          <w:szCs w:val="18"/>
          <w:lang w:val="ru-RU"/>
        </w:rPr>
      </w:pPr>
      <w:r w:rsidRPr="0044642E">
        <w:rPr>
          <w:lang w:val="ru-RU"/>
        </w:rPr>
        <w:t>−</w:t>
      </w:r>
      <w:r w:rsidRPr="0044642E">
        <w:rPr>
          <w:lang w:val="ru-RU"/>
        </w:rPr>
        <w:tab/>
        <w:t xml:space="preserve">Используются уровни облучения, установленные </w:t>
      </w:r>
      <w:r w:rsidRPr="001F3A1E">
        <w:t>ICNIRP</w:t>
      </w:r>
      <w:r w:rsidRPr="0044642E">
        <w:rPr>
          <w:lang w:val="ru-RU"/>
        </w:rPr>
        <w:t xml:space="preserve"> для населения. Различия между работниками и населением не проводится</w:t>
      </w:r>
      <w:r w:rsidRPr="0044642E">
        <w:rPr>
          <w:szCs w:val="18"/>
          <w:lang w:val="ru-RU"/>
        </w:rPr>
        <w:t>.</w:t>
      </w:r>
    </w:p>
    <w:p w:rsidR="001B6FDC" w:rsidRPr="0044642E" w:rsidRDefault="001B6FDC" w:rsidP="001B6FDC">
      <w:pPr>
        <w:pStyle w:val="Enumlevel1"/>
        <w:rPr>
          <w:szCs w:val="18"/>
          <w:lang w:val="ru-RU"/>
        </w:rPr>
      </w:pPr>
      <w:r w:rsidRPr="0044642E">
        <w:rPr>
          <w:szCs w:val="18"/>
          <w:lang w:val="ru-RU"/>
        </w:rPr>
        <w:t>−</w:t>
      </w:r>
      <w:r w:rsidRPr="0044642E">
        <w:rPr>
          <w:szCs w:val="18"/>
          <w:lang w:val="ru-RU"/>
        </w:rPr>
        <w:tab/>
        <w:t xml:space="preserve">Основное внимание уделяется принципу предосторожности. Так, в школах и аналогичных заведениях, яслях, детских садах, больницах, публичных садах уровни </w:t>
      </w:r>
      <w:r w:rsidRPr="0044642E">
        <w:rPr>
          <w:lang w:val="ru-RU"/>
        </w:rPr>
        <w:t>электрических, магнитных и электромагнитных полей</w:t>
      </w:r>
      <w:r w:rsidRPr="0044642E">
        <w:rPr>
          <w:szCs w:val="18"/>
          <w:lang w:val="ru-RU"/>
        </w:rPr>
        <w:t xml:space="preserve"> не должны превышать 25% от базового уровня, установленного для населения.</w:t>
      </w:r>
    </w:p>
    <w:p w:rsidR="001B6FDC" w:rsidRPr="0044642E" w:rsidRDefault="001B6FDC" w:rsidP="001B6FDC">
      <w:pPr>
        <w:pStyle w:val="Enumlevel1"/>
        <w:rPr>
          <w:szCs w:val="18"/>
          <w:lang w:val="ru-RU"/>
        </w:rPr>
      </w:pPr>
      <w:r w:rsidRPr="0044642E">
        <w:rPr>
          <w:szCs w:val="18"/>
          <w:lang w:val="ru-RU"/>
        </w:rPr>
        <w:lastRenderedPageBreak/>
        <w:t>−</w:t>
      </w:r>
      <w:r w:rsidRPr="0044642E">
        <w:rPr>
          <w:szCs w:val="18"/>
          <w:lang w:val="ru-RU"/>
        </w:rPr>
        <w:tab/>
        <w:t xml:space="preserve">Кроме того, чтобы предотвратить </w:t>
      </w:r>
      <w:r w:rsidRPr="0044642E">
        <w:rPr>
          <w:bCs/>
          <w:lang w:val="ru-RU"/>
        </w:rPr>
        <w:t>колебания мощности на базовых станциях операторов, им запрещается направлять основные лепестки антенны на школы, больницы и другие уязвимые объекты, если антенна расположена на расстоянии менее 100</w:t>
      </w:r>
      <w:r w:rsidRPr="001F3A1E">
        <w:rPr>
          <w:bCs/>
        </w:rPr>
        <w:t> </w:t>
      </w:r>
      <w:r w:rsidRPr="0044642E">
        <w:rPr>
          <w:bCs/>
          <w:lang w:val="ru-RU"/>
        </w:rPr>
        <w:t>м от этих учреждений</w:t>
      </w:r>
      <w:r w:rsidRPr="0044642E">
        <w:rPr>
          <w:szCs w:val="18"/>
          <w:lang w:val="ru-RU"/>
        </w:rPr>
        <w:t>.</w:t>
      </w:r>
    </w:p>
    <w:p w:rsidR="001B6FDC" w:rsidRPr="0044642E" w:rsidRDefault="001B6FDC" w:rsidP="001B6FDC">
      <w:pPr>
        <w:pStyle w:val="Enumlevel1"/>
        <w:rPr>
          <w:szCs w:val="18"/>
          <w:lang w:val="ru-RU"/>
        </w:rPr>
      </w:pPr>
      <w:r w:rsidRPr="0044642E">
        <w:rPr>
          <w:szCs w:val="18"/>
          <w:lang w:val="ru-RU"/>
        </w:rPr>
        <w:t>−</w:t>
      </w:r>
      <w:r w:rsidRPr="0044642E">
        <w:rPr>
          <w:szCs w:val="18"/>
          <w:lang w:val="ru-RU"/>
        </w:rPr>
        <w:tab/>
        <w:t xml:space="preserve">Операторы обязаны осуществлять самоконтроль уровней облучения во время развертывания новых базовых станций. </w:t>
      </w:r>
    </w:p>
    <w:p w:rsidR="001B6FDC" w:rsidRPr="0044642E" w:rsidRDefault="001B6FDC" w:rsidP="001B6FDC">
      <w:pPr>
        <w:pStyle w:val="Enumlevel1"/>
        <w:rPr>
          <w:szCs w:val="18"/>
          <w:lang w:val="ru-RU"/>
        </w:rPr>
      </w:pPr>
      <w:r w:rsidRPr="0044642E">
        <w:rPr>
          <w:szCs w:val="18"/>
          <w:lang w:val="ru-RU"/>
        </w:rPr>
        <w:t>−</w:t>
      </w:r>
      <w:r w:rsidRPr="0044642E">
        <w:rPr>
          <w:szCs w:val="18"/>
          <w:lang w:val="ru-RU"/>
        </w:rPr>
        <w:tab/>
        <w:t>Операторы должны соорудить охранное заграждение вокруг своих объектов.</w:t>
      </w:r>
    </w:p>
    <w:p w:rsidR="001B6FDC" w:rsidRPr="0044642E" w:rsidRDefault="001B6FDC" w:rsidP="001B6FDC">
      <w:pPr>
        <w:pStyle w:val="Enumlevel1"/>
        <w:rPr>
          <w:szCs w:val="18"/>
          <w:lang w:val="ru-RU"/>
        </w:rPr>
      </w:pPr>
      <w:r w:rsidRPr="0044642E">
        <w:rPr>
          <w:szCs w:val="18"/>
          <w:lang w:val="ru-RU"/>
        </w:rPr>
        <w:t>−</w:t>
      </w:r>
      <w:r w:rsidRPr="0044642E">
        <w:rPr>
          <w:szCs w:val="18"/>
          <w:lang w:val="ru-RU"/>
        </w:rPr>
        <w:tab/>
        <w:t>Максимальный удельный коэффициент поглощения оконечных устройств (</w:t>
      </w:r>
      <w:r w:rsidRPr="001F3A1E">
        <w:rPr>
          <w:szCs w:val="18"/>
        </w:rPr>
        <w:t>SAR</w:t>
      </w:r>
      <w:r w:rsidRPr="0044642E">
        <w:rPr>
          <w:szCs w:val="18"/>
          <w:lang w:val="ru-RU"/>
        </w:rPr>
        <w:t>) составляет 2</w:t>
      </w:r>
      <w:r w:rsidRPr="001F3A1E">
        <w:rPr>
          <w:szCs w:val="18"/>
        </w:rPr>
        <w:t> </w:t>
      </w:r>
      <w:r w:rsidRPr="0044642E">
        <w:rPr>
          <w:szCs w:val="18"/>
          <w:lang w:val="ru-RU"/>
        </w:rPr>
        <w:t>Вт/кг.</w:t>
      </w:r>
    </w:p>
    <w:p w:rsidR="001B6FDC" w:rsidRPr="0044642E" w:rsidRDefault="001B6FDC" w:rsidP="001B6FDC">
      <w:pPr>
        <w:pStyle w:val="Enumlevel1"/>
        <w:rPr>
          <w:bCs/>
          <w:lang w:val="ru-RU"/>
        </w:rPr>
      </w:pPr>
      <w:r w:rsidRPr="0044642E">
        <w:rPr>
          <w:szCs w:val="18"/>
          <w:lang w:val="ru-RU"/>
        </w:rPr>
        <w:t>−</w:t>
      </w:r>
      <w:r w:rsidRPr="0044642E">
        <w:rPr>
          <w:szCs w:val="18"/>
          <w:lang w:val="ru-RU"/>
        </w:rPr>
        <w:tab/>
      </w:r>
      <w:r w:rsidRPr="001F3A1E">
        <w:rPr>
          <w:szCs w:val="18"/>
        </w:rPr>
        <w:t>A</w:t>
      </w:r>
      <w:r w:rsidRPr="001F3A1E">
        <w:t>TRPT</w:t>
      </w:r>
      <w:r w:rsidRPr="0044642E">
        <w:rPr>
          <w:lang w:val="ru-RU"/>
        </w:rPr>
        <w:t xml:space="preserve"> отвечает за мониторинг соблюдения уровней облучения, установленных в нормативной базе.</w:t>
      </w:r>
    </w:p>
    <w:p w:rsidR="001B6FDC" w:rsidRPr="00DD067F" w:rsidRDefault="001B6FDC" w:rsidP="001B6FDC">
      <w:pPr>
        <w:rPr>
          <w:rFonts w:eastAsia="Times New Roman"/>
          <w:bCs/>
          <w:szCs w:val="19"/>
          <w:lang w:val="ru-RU"/>
        </w:rPr>
      </w:pPr>
      <w:r w:rsidRPr="00DD067F">
        <w:rPr>
          <w:bCs/>
          <w:szCs w:val="19"/>
          <w:lang w:val="ru-RU"/>
        </w:rPr>
        <w:t>Предоставление информации:</w:t>
      </w:r>
      <w:r w:rsidRPr="00DD067F">
        <w:rPr>
          <w:rFonts w:eastAsia="Times New Roman"/>
          <w:bCs/>
          <w:szCs w:val="19"/>
          <w:lang w:val="ru-RU"/>
        </w:rPr>
        <w:t xml:space="preserve"> Проводятся кампании по повышению осведомленности населения о воздействии неионизирующего излучения на здоровье человека.</w:t>
      </w:r>
    </w:p>
    <w:p w:rsidR="001B6FDC" w:rsidRPr="001B6FDC" w:rsidRDefault="001B6FDC" w:rsidP="001B6FDC">
      <w:pPr>
        <w:pStyle w:val="Heading2"/>
        <w:rPr>
          <w:lang w:val="ru-RU"/>
        </w:rPr>
      </w:pPr>
      <w:bookmarkStart w:id="84" w:name="_Toc369596146"/>
      <w:bookmarkStart w:id="85" w:name="_Toc370394206"/>
      <w:bookmarkStart w:id="86" w:name="_Toc370477289"/>
      <w:bookmarkStart w:id="87" w:name="_Toc370477568"/>
      <w:bookmarkStart w:id="88" w:name="_Toc377482108"/>
      <w:r w:rsidRPr="001B6FDC">
        <w:rPr>
          <w:lang w:val="ru-RU"/>
        </w:rPr>
        <w:t>5.9</w:t>
      </w:r>
      <w:r w:rsidRPr="001B6FDC">
        <w:rPr>
          <w:lang w:val="ru-RU"/>
        </w:rPr>
        <w:tab/>
      </w:r>
      <w:bookmarkEnd w:id="84"/>
      <w:r w:rsidRPr="001B6FDC">
        <w:rPr>
          <w:lang w:val="ru-RU"/>
        </w:rPr>
        <w:t>Индия</w:t>
      </w:r>
      <w:bookmarkEnd w:id="85"/>
      <w:bookmarkEnd w:id="86"/>
      <w:bookmarkEnd w:id="87"/>
      <w:bookmarkEnd w:id="88"/>
    </w:p>
    <w:p w:rsidR="001B6FDC" w:rsidRPr="004D64A1" w:rsidRDefault="001B6FDC" w:rsidP="001B6FDC">
      <w:pPr>
        <w:rPr>
          <w:rFonts w:eastAsia="Times New Roman"/>
          <w:bCs/>
          <w:szCs w:val="19"/>
          <w:lang w:val="ru-RU"/>
        </w:rPr>
      </w:pPr>
      <w:r w:rsidRPr="004D64A1">
        <w:rPr>
          <w:rFonts w:eastAsia="Times New Roman"/>
          <w:bCs/>
          <w:szCs w:val="19"/>
          <w:lang w:val="ru-RU"/>
        </w:rPr>
        <w:t>Политика: Результаты исследования конкретной ситуации (содержащиеся в Документе </w:t>
      </w:r>
      <w:hyperlink r:id="rId19" w:history="1">
        <w:r w:rsidRPr="004D64A1">
          <w:rPr>
            <w:rStyle w:val="Hyperlink"/>
            <w:rFonts w:eastAsia="Times New Roman"/>
            <w:bCs/>
            <w:szCs w:val="19"/>
            <w:lang w:val="ru-RU"/>
          </w:rPr>
          <w:t>1/278</w:t>
        </w:r>
      </w:hyperlink>
      <w:r w:rsidRPr="004D64A1">
        <w:rPr>
          <w:rFonts w:eastAsia="Times New Roman"/>
          <w:bCs/>
          <w:szCs w:val="19"/>
          <w:lang w:val="ru-RU"/>
        </w:rPr>
        <w:t xml:space="preserve">), которые включены в Приложение 10 к настоящему Отчету, содержат интересные данные об использовании мобильных телефонов, позволяющие сделать вывод о высоком уровне использования мобильных телефонов в развивающихся странах. Это, вероятно, может быть результатом того, что большая часть деятельности центров обработки вызовов связана с мобильными телефонами по сравнению с вызовами от фиксированных телефонов, обрабатывавшихся ранее. </w:t>
      </w:r>
    </w:p>
    <w:p w:rsidR="001B6FDC" w:rsidRPr="001F3A1E" w:rsidRDefault="001B6FDC" w:rsidP="001B6FDC">
      <w:pPr>
        <w:rPr>
          <w:rFonts w:eastAsia="Times New Roman"/>
          <w:bCs/>
          <w:szCs w:val="19"/>
          <w:lang w:val="ru-RU"/>
        </w:rPr>
      </w:pPr>
      <w:r w:rsidRPr="001F3A1E">
        <w:rPr>
          <w:rFonts w:eastAsia="Times New Roman"/>
          <w:szCs w:val="19"/>
          <w:lang w:val="ru-RU"/>
        </w:rPr>
        <w:t>Ряд параметров в Индии и других развивающихся странах отличается от европейских параметров, а именно:</w:t>
      </w:r>
    </w:p>
    <w:p w:rsidR="001B6FDC" w:rsidRPr="0044642E" w:rsidRDefault="001B6FDC" w:rsidP="004D64A1">
      <w:pPr>
        <w:pStyle w:val="Enumlevel1"/>
        <w:spacing w:before="60"/>
        <w:rPr>
          <w:lang w:val="ru-RU"/>
        </w:rPr>
      </w:pPr>
      <w:r w:rsidRPr="0044642E">
        <w:rPr>
          <w:lang w:val="ru-RU"/>
        </w:rPr>
        <w:t>−</w:t>
      </w:r>
      <w:r w:rsidRPr="0044642E">
        <w:rPr>
          <w:lang w:val="ru-RU"/>
        </w:rPr>
        <w:tab/>
        <w:t xml:space="preserve">использование мобильных телефонов; </w:t>
      </w:r>
    </w:p>
    <w:p w:rsidR="001B6FDC" w:rsidRPr="0044642E" w:rsidRDefault="001B6FDC" w:rsidP="004D64A1">
      <w:pPr>
        <w:pStyle w:val="Enumlevel1"/>
        <w:spacing w:before="60"/>
        <w:rPr>
          <w:lang w:val="ru-RU"/>
        </w:rPr>
      </w:pPr>
      <w:r w:rsidRPr="0044642E">
        <w:rPr>
          <w:lang w:val="ru-RU"/>
        </w:rPr>
        <w:t>−</w:t>
      </w:r>
      <w:r w:rsidRPr="0044642E">
        <w:rPr>
          <w:lang w:val="ru-RU"/>
        </w:rPr>
        <w:tab/>
        <w:t xml:space="preserve">число операторов; </w:t>
      </w:r>
    </w:p>
    <w:p w:rsidR="001B6FDC" w:rsidRPr="0044642E" w:rsidRDefault="001B6FDC" w:rsidP="004D64A1">
      <w:pPr>
        <w:pStyle w:val="Enumlevel1"/>
        <w:spacing w:before="60"/>
        <w:rPr>
          <w:lang w:val="ru-RU"/>
        </w:rPr>
      </w:pPr>
      <w:r w:rsidRPr="0044642E">
        <w:rPr>
          <w:lang w:val="ru-RU"/>
        </w:rPr>
        <w:t>−</w:t>
      </w:r>
      <w:r w:rsidRPr="0044642E">
        <w:rPr>
          <w:lang w:val="ru-RU"/>
        </w:rPr>
        <w:tab/>
        <w:t>более высокие уровни плотности населения;</w:t>
      </w:r>
    </w:p>
    <w:p w:rsidR="001B6FDC" w:rsidRPr="0044642E" w:rsidRDefault="001B6FDC" w:rsidP="004D64A1">
      <w:pPr>
        <w:pStyle w:val="Enumlevel1"/>
        <w:spacing w:before="60"/>
        <w:rPr>
          <w:lang w:val="ru-RU"/>
        </w:rPr>
      </w:pPr>
      <w:r w:rsidRPr="0044642E">
        <w:rPr>
          <w:lang w:val="ru-RU"/>
        </w:rPr>
        <w:t>−</w:t>
      </w:r>
      <w:r w:rsidRPr="0044642E">
        <w:rPr>
          <w:lang w:val="ru-RU"/>
        </w:rPr>
        <w:tab/>
        <w:t>неорганичный рост в городских районах;</w:t>
      </w:r>
    </w:p>
    <w:p w:rsidR="001B6FDC" w:rsidRPr="0044642E" w:rsidRDefault="001B6FDC" w:rsidP="004D64A1">
      <w:pPr>
        <w:pStyle w:val="Enumlevel1"/>
        <w:spacing w:before="60"/>
        <w:rPr>
          <w:lang w:val="ru-RU"/>
        </w:rPr>
      </w:pPr>
      <w:r w:rsidRPr="0044642E">
        <w:rPr>
          <w:lang w:val="ru-RU"/>
        </w:rPr>
        <w:t>−</w:t>
      </w:r>
      <w:r w:rsidRPr="0044642E">
        <w:rPr>
          <w:lang w:val="ru-RU"/>
        </w:rPr>
        <w:tab/>
        <w:t xml:space="preserve">узкие улицы, разделяющие здания; </w:t>
      </w:r>
    </w:p>
    <w:p w:rsidR="001B6FDC" w:rsidRPr="0044642E" w:rsidRDefault="001B6FDC" w:rsidP="004D64A1">
      <w:pPr>
        <w:pStyle w:val="Enumlevel1"/>
        <w:spacing w:before="60"/>
        <w:rPr>
          <w:lang w:val="ru-RU"/>
        </w:rPr>
      </w:pPr>
      <w:r w:rsidRPr="0044642E">
        <w:rPr>
          <w:lang w:val="ru-RU"/>
        </w:rPr>
        <w:t>−</w:t>
      </w:r>
      <w:r w:rsidRPr="0044642E">
        <w:rPr>
          <w:lang w:val="ru-RU"/>
        </w:rPr>
        <w:tab/>
        <w:t>меньший объем спектра на оператора;</w:t>
      </w:r>
    </w:p>
    <w:p w:rsidR="001B6FDC" w:rsidRPr="0044642E" w:rsidRDefault="001B6FDC" w:rsidP="004D64A1">
      <w:pPr>
        <w:pStyle w:val="Enumlevel1"/>
        <w:spacing w:before="60"/>
        <w:rPr>
          <w:lang w:val="ru-RU"/>
        </w:rPr>
      </w:pPr>
      <w:r w:rsidRPr="0044642E">
        <w:rPr>
          <w:lang w:val="ru-RU"/>
        </w:rPr>
        <w:t>−</w:t>
      </w:r>
      <w:r w:rsidRPr="0044642E">
        <w:rPr>
          <w:lang w:val="ru-RU"/>
        </w:rPr>
        <w:tab/>
        <w:t>излучаемая мощность составляет 20</w:t>
      </w:r>
      <w:r w:rsidRPr="001F3A1E">
        <w:t> </w:t>
      </w:r>
      <w:r w:rsidRPr="0044642E">
        <w:rPr>
          <w:lang w:val="ru-RU"/>
        </w:rPr>
        <w:t xml:space="preserve">Вт на сектор;  </w:t>
      </w:r>
    </w:p>
    <w:p w:rsidR="001B6FDC" w:rsidRPr="0044642E" w:rsidRDefault="001B6FDC" w:rsidP="004D64A1">
      <w:pPr>
        <w:pStyle w:val="Enumlevel1"/>
        <w:spacing w:before="60"/>
        <w:rPr>
          <w:lang w:val="ru-RU"/>
        </w:rPr>
      </w:pPr>
      <w:r w:rsidRPr="0044642E">
        <w:rPr>
          <w:lang w:val="ru-RU"/>
        </w:rPr>
        <w:t>−</w:t>
      </w:r>
      <w:r w:rsidRPr="0044642E">
        <w:rPr>
          <w:lang w:val="ru-RU"/>
        </w:rPr>
        <w:tab/>
        <w:t>антенны монтируются на более низкой высоте и</w:t>
      </w:r>
      <w:r w:rsidRPr="001F3A1E">
        <w:t> </w:t>
      </w:r>
      <w:r w:rsidRPr="0044642E">
        <w:rPr>
          <w:lang w:val="ru-RU"/>
        </w:rPr>
        <w:t>т.</w:t>
      </w:r>
      <w:r w:rsidRPr="001F3A1E">
        <w:t> </w:t>
      </w:r>
      <w:r w:rsidRPr="0044642E">
        <w:rPr>
          <w:lang w:val="ru-RU"/>
        </w:rPr>
        <w:t>д.;</w:t>
      </w:r>
    </w:p>
    <w:p w:rsidR="001B6FDC" w:rsidRPr="0044642E" w:rsidRDefault="001B6FDC" w:rsidP="004D64A1">
      <w:pPr>
        <w:pStyle w:val="Enumlevel1"/>
        <w:spacing w:before="60"/>
        <w:rPr>
          <w:lang w:val="ru-RU"/>
        </w:rPr>
      </w:pPr>
      <w:r w:rsidRPr="0044642E">
        <w:rPr>
          <w:lang w:val="ru-RU"/>
        </w:rPr>
        <w:t>−</w:t>
      </w:r>
      <w:r w:rsidRPr="0044642E">
        <w:rPr>
          <w:lang w:val="ru-RU"/>
        </w:rPr>
        <w:tab/>
        <w:t>менее благоприятные условия покрытия обусловливают работу мобильных телефонов с более высокими уровнями мощности;</w:t>
      </w:r>
    </w:p>
    <w:p w:rsidR="001B6FDC" w:rsidRPr="0044642E" w:rsidRDefault="001B6FDC" w:rsidP="004D64A1">
      <w:pPr>
        <w:pStyle w:val="Enumlevel1"/>
        <w:spacing w:before="60"/>
        <w:rPr>
          <w:lang w:val="ru-RU"/>
        </w:rPr>
      </w:pPr>
      <w:r w:rsidRPr="0044642E">
        <w:rPr>
          <w:lang w:val="ru-RU"/>
        </w:rPr>
        <w:t>−</w:t>
      </w:r>
      <w:r w:rsidRPr="0044642E">
        <w:rPr>
          <w:lang w:val="ru-RU"/>
        </w:rPr>
        <w:tab/>
        <w:t>привлечение операторами третьих сторон в качестве исполнителей для монтажа и обслуживания объектов инфраструктуры;</w:t>
      </w:r>
    </w:p>
    <w:p w:rsidR="001B6FDC" w:rsidRPr="0044642E" w:rsidRDefault="001B6FDC" w:rsidP="004D64A1">
      <w:pPr>
        <w:pStyle w:val="Enumlevel1"/>
        <w:spacing w:before="60"/>
        <w:rPr>
          <w:lang w:val="ru-RU"/>
        </w:rPr>
      </w:pPr>
      <w:r w:rsidRPr="0044642E">
        <w:rPr>
          <w:lang w:val="ru-RU"/>
        </w:rPr>
        <w:t>−</w:t>
      </w:r>
      <w:r w:rsidRPr="0044642E">
        <w:rPr>
          <w:lang w:val="ru-RU"/>
        </w:rPr>
        <w:tab/>
        <w:t>недостаточный уровень технической компетенции на полевом уровне и в органах местного самоуправления, для того чтобы выполнять расчеты закрытых зон на основе Рекомендаций МСЭ серии</w:t>
      </w:r>
      <w:r w:rsidRPr="001F3A1E">
        <w:t> </w:t>
      </w:r>
      <w:r w:rsidRPr="001F3A1E">
        <w:rPr>
          <w:bCs/>
        </w:rPr>
        <w:t>K</w:t>
      </w:r>
      <w:r w:rsidRPr="0044642E">
        <w:rPr>
          <w:lang w:val="ru-RU"/>
        </w:rPr>
        <w:t>. Это также необходимо заметить в отношении основания для расширения требований к мониторингу до 0,747</w:t>
      </w:r>
      <w:r w:rsidRPr="001F3A1E">
        <w:t> </w:t>
      </w:r>
      <w:r w:rsidRPr="0044642E">
        <w:rPr>
          <w:lang w:val="ru-RU"/>
        </w:rPr>
        <w:t xml:space="preserve">млн. </w:t>
      </w:r>
      <w:r w:rsidRPr="001F3A1E">
        <w:t>BTS</w:t>
      </w:r>
      <w:r w:rsidRPr="0044642E">
        <w:rPr>
          <w:lang w:val="ru-RU"/>
        </w:rPr>
        <w:t>.</w:t>
      </w:r>
    </w:p>
    <w:p w:rsidR="001B6FDC" w:rsidRPr="001F3A1E" w:rsidRDefault="001B6FDC" w:rsidP="0059063E">
      <w:pPr>
        <w:pageBreakBefore/>
        <w:rPr>
          <w:rFonts w:eastAsia="Times New Roman"/>
          <w:bCs/>
          <w:szCs w:val="19"/>
          <w:lang w:val="ru-RU"/>
        </w:rPr>
      </w:pPr>
      <w:r w:rsidRPr="001F3A1E">
        <w:rPr>
          <w:rFonts w:eastAsia="Times New Roman"/>
          <w:szCs w:val="19"/>
          <w:lang w:val="ru-RU"/>
        </w:rPr>
        <w:lastRenderedPageBreak/>
        <w:t>В данном исследовании конкретной ситуации предусмотрены также ссылки на большое число других исходных данных об осуществляемых в Индии политических инициативах, в том числе веб-ссылки для получения подробной информации</w:t>
      </w:r>
      <w:r w:rsidRPr="001F3A1E">
        <w:rPr>
          <w:rStyle w:val="FootnoteReference"/>
          <w:rFonts w:eastAsia="Times New Roman"/>
          <w:szCs w:val="19"/>
          <w:lang w:val="ru-RU"/>
        </w:rPr>
        <w:footnoteReference w:id="12"/>
      </w:r>
      <w:r w:rsidRPr="001F3A1E">
        <w:rPr>
          <w:rFonts w:eastAsia="Times New Roman"/>
          <w:szCs w:val="19"/>
          <w:lang w:val="ru-RU"/>
        </w:rPr>
        <w:t>.</w:t>
      </w:r>
    </w:p>
    <w:p w:rsidR="001B6FDC" w:rsidRPr="001B6FDC" w:rsidRDefault="001B6FDC" w:rsidP="001B6FDC">
      <w:pPr>
        <w:pStyle w:val="Heading1"/>
        <w:rPr>
          <w:lang w:val="ru-RU"/>
        </w:rPr>
      </w:pPr>
      <w:bookmarkStart w:id="89" w:name="_Toc370394207"/>
      <w:bookmarkStart w:id="90" w:name="_Toc370477290"/>
      <w:bookmarkStart w:id="91" w:name="_Toc370477569"/>
      <w:bookmarkStart w:id="92" w:name="_Toc377482109"/>
      <w:r w:rsidRPr="001B6FDC">
        <w:rPr>
          <w:lang w:val="ru-RU"/>
        </w:rPr>
        <w:t>6</w:t>
      </w:r>
      <w:r w:rsidRPr="001B6FDC">
        <w:rPr>
          <w:lang w:val="ru-RU"/>
        </w:rPr>
        <w:tab/>
        <w:t>Проект МСЭ в Центральной Америке по неионизирующему электромагнитному излучению и регулированию воздействия на человека при развертывании беспроводных сетей и соответствующей инфраструктуры</w:t>
      </w:r>
      <w:bookmarkEnd w:id="89"/>
      <w:bookmarkEnd w:id="90"/>
      <w:bookmarkEnd w:id="91"/>
      <w:bookmarkEnd w:id="92"/>
      <w:r w:rsidRPr="001B6FDC">
        <w:rPr>
          <w:lang w:val="ru-RU"/>
        </w:rPr>
        <w:t xml:space="preserve"> </w:t>
      </w:r>
    </w:p>
    <w:p w:rsidR="001B6FDC" w:rsidRPr="004D64A1" w:rsidRDefault="001B6FDC" w:rsidP="001B6FDC">
      <w:pPr>
        <w:rPr>
          <w:lang w:val="ru-RU"/>
        </w:rPr>
      </w:pPr>
      <w:r w:rsidRPr="004D64A1">
        <w:rPr>
          <w:bCs/>
          <w:lang w:val="ru-RU"/>
        </w:rPr>
        <w:t>6.1</w:t>
      </w:r>
      <w:r w:rsidRPr="004D64A1">
        <w:rPr>
          <w:bCs/>
          <w:lang w:val="ru-RU"/>
        </w:rPr>
        <w:tab/>
      </w:r>
      <w:r w:rsidRPr="004D64A1">
        <w:rPr>
          <w:lang w:val="ru-RU"/>
        </w:rPr>
        <w:t>Целью проекта был анализ трудностей в развертывании сетей подвижной связи и соответствующей инфраструктуры в Центральной Америке ввиду опасений населения относительно электромагнитного излучения, а также оценка норм контроля в этой области в странах региона. В рамках проекта также были разработаны, на основании этих исследований и оценок, предложенные решения, которые включают изменение политики или ее разработку; экспериментальные проекты; в том числе измерения их социальных аспектов; и разработку общих инструментов, необходимых для содействия, при развертывании беспроводных сетей, принятию этого со стороны населения и его политических и гражданских ассоциаций.</w:t>
      </w:r>
    </w:p>
    <w:p w:rsidR="001B6FDC" w:rsidRPr="004D64A1" w:rsidRDefault="001B6FDC" w:rsidP="001B6FDC">
      <w:pPr>
        <w:rPr>
          <w:lang w:val="ru-RU"/>
        </w:rPr>
      </w:pPr>
      <w:r w:rsidRPr="004D64A1">
        <w:rPr>
          <w:lang w:val="ru-RU"/>
        </w:rPr>
        <w:t>В частности, по этому последнему вопросу в Сальвадоре были проведены экспериментальные измерения, описание которых приводится в конце.</w:t>
      </w:r>
    </w:p>
    <w:p w:rsidR="001B6FDC" w:rsidRPr="004D64A1" w:rsidRDefault="001B6FDC" w:rsidP="001B6FDC">
      <w:pPr>
        <w:rPr>
          <w:lang w:val="ru-RU"/>
        </w:rPr>
      </w:pPr>
      <w:r w:rsidRPr="004D64A1">
        <w:rPr>
          <w:lang w:val="ru-RU"/>
        </w:rPr>
        <w:t>6.2</w:t>
      </w:r>
      <w:r w:rsidRPr="004D64A1">
        <w:rPr>
          <w:lang w:val="ru-RU"/>
        </w:rPr>
        <w:tab/>
        <w:t>Трудности при развертывании беспроводных сетей электросвязи ввиду опасений населения в связи с антеннами и возможными последствиями воздействия РЧ стали трудноразрешимой проблемой, и она относится к числу приоритетных тем для изучения МСЭ, Межамериканской комиссией по электросвязи (СИТЕЛ) и Региональной технической комиссией по электросвязи Центральной Америки (COMTELCA).</w:t>
      </w:r>
    </w:p>
    <w:p w:rsidR="001B6FDC" w:rsidRPr="004D64A1" w:rsidRDefault="001B6FDC" w:rsidP="001B6FDC">
      <w:pPr>
        <w:rPr>
          <w:bCs/>
          <w:lang w:val="ru-RU"/>
        </w:rPr>
      </w:pPr>
      <w:r w:rsidRPr="004D64A1">
        <w:rPr>
          <w:bCs/>
          <w:lang w:val="ru-RU"/>
        </w:rPr>
        <w:lastRenderedPageBreak/>
        <w:t>6.3</w:t>
      </w:r>
      <w:r w:rsidRPr="004D64A1">
        <w:rPr>
          <w:bCs/>
          <w:lang w:val="ru-RU"/>
        </w:rPr>
        <w:tab/>
        <w:t>Целью проекта было изучение, предложение и осуществление в Центральноамериканском регионе экспериментального проекта по развертыванию мачт и инфраструктуры для подвижной телефонной связи, а также по вопросу неионизирующего излучения и охраны здоровья, в соответствии с рядом резолюций, таких как Резолюция 176 (Гвадалахара, 2010 г.) Полномочной конференции МСЭ "Воздействие электромагнитных полей на человека и их измерение", Резолюция 72 (ВАСЭ, Йоханнесбург, 2008 г., Дубай, 2012 г.) "</w:t>
      </w:r>
      <w:r w:rsidRPr="004D64A1">
        <w:rPr>
          <w:rFonts w:eastAsia="SimSun" w:cs="TimesNewRoman,Bold"/>
          <w:bCs/>
          <w:szCs w:val="18"/>
          <w:lang w:val="ru-RU"/>
        </w:rPr>
        <w:t>Важность измерений, связанных с воздействием электромагнитных полей на человека</w:t>
      </w:r>
      <w:r w:rsidRPr="004D64A1">
        <w:rPr>
          <w:bCs/>
          <w:lang w:val="ru-RU"/>
        </w:rPr>
        <w:t>" и Резолюция 62 (ВКРЭ, Хайдарабад, 2010 г.). Наряду с этим в рамках проекта планируется обеспечение обратной связи в отношении уроков, полученных в связи с Вопросом 23/1 "Стратегии и политика, касающиеся воздействия электромагнитных полей на человека", для 1-й Исследовательской комиссии Сектора развития и Региональной группы для Латинской Америки и Карибского бассейна 5-й Исследовательской комиссии МСЭ-Т.</w:t>
      </w:r>
    </w:p>
    <w:p w:rsidR="001B6FDC" w:rsidRPr="004D64A1" w:rsidRDefault="001B6FDC" w:rsidP="001B6FDC">
      <w:pPr>
        <w:rPr>
          <w:bCs/>
          <w:lang w:val="ru-RU"/>
        </w:rPr>
      </w:pPr>
      <w:r w:rsidRPr="004D64A1">
        <w:rPr>
          <w:bCs/>
          <w:lang w:val="ru-RU"/>
        </w:rPr>
        <w:t>6.4</w:t>
      </w:r>
      <w:r w:rsidRPr="004D64A1">
        <w:rPr>
          <w:bCs/>
          <w:lang w:val="ru-RU"/>
        </w:rPr>
        <w:tab/>
        <w:t>Проект осуществлялся Бюро развития электросвязи МСЭ (БРЭ) силами его Зонального отделения для Центральной Америки, Кубы, Мексики и Доминиканской Республики в тесном сотрудничестве с Региональным отделением для Северной и Южной Америки и Карибского бассейна, при оказании помощи внешними экспертами и участвовавшими в проекте странами.</w:t>
      </w:r>
    </w:p>
    <w:p w:rsidR="001B6FDC" w:rsidRPr="004D64A1" w:rsidRDefault="001B6FDC" w:rsidP="001B6FDC">
      <w:pPr>
        <w:rPr>
          <w:bCs/>
          <w:lang w:val="ru-RU"/>
        </w:rPr>
      </w:pPr>
      <w:r w:rsidRPr="004D64A1">
        <w:rPr>
          <w:bCs/>
          <w:lang w:val="ru-RU"/>
        </w:rPr>
        <w:t>6.5</w:t>
      </w:r>
      <w:r w:rsidRPr="004D64A1">
        <w:rPr>
          <w:bCs/>
          <w:lang w:val="ru-RU"/>
        </w:rPr>
        <w:tab/>
        <w:t>Опасения общества относительно электромагнитного излучения выражаются сообществами и группами пользователей услуг электросвязи, выступающих против развертывания антенн из-за страха возможных последствий для здоровья. Администрации стран Центральной Америки собирают предложения по решениям, которые также включают разработку общих инструментов, необходимых для содействия, при развертывании беспроводных сетей, принятию этого со стороны населения и его политических и гражданских организаций.</w:t>
      </w:r>
    </w:p>
    <w:p w:rsidR="001B6FDC" w:rsidRPr="004D64A1" w:rsidRDefault="001B6FDC" w:rsidP="001B6FDC">
      <w:pPr>
        <w:rPr>
          <w:bCs/>
          <w:lang w:val="ru-RU"/>
        </w:rPr>
      </w:pPr>
      <w:r w:rsidRPr="004D64A1">
        <w:rPr>
          <w:bCs/>
          <w:lang w:val="ru-RU"/>
        </w:rPr>
        <w:t>6.6</w:t>
      </w:r>
      <w:r w:rsidRPr="004D64A1">
        <w:rPr>
          <w:bCs/>
          <w:lang w:val="ru-RU"/>
        </w:rPr>
        <w:tab/>
        <w:t xml:space="preserve">К данному проекту присоединились Сальвадор, Панама и Гондурас с целью проведения исследования для определения положения дел с развертыванием беспроводных сетей и соответствующей инфраструктуры в этих странах ввиду выражаемых населением опасений в связи с электромагнитными излучениями, с конечной целью содействия развертыванию антенн и соответствующей инфраструктуры. </w:t>
      </w:r>
    </w:p>
    <w:p w:rsidR="001B6FDC" w:rsidRPr="004D64A1" w:rsidRDefault="001B6FDC" w:rsidP="001B6FDC">
      <w:pPr>
        <w:rPr>
          <w:bCs/>
          <w:lang w:val="ru-RU"/>
        </w:rPr>
      </w:pPr>
      <w:r w:rsidRPr="004D64A1">
        <w:rPr>
          <w:bCs/>
          <w:lang w:val="ru-RU"/>
        </w:rPr>
        <w:t>6.7</w:t>
      </w:r>
      <w:r w:rsidRPr="004D64A1">
        <w:rPr>
          <w:bCs/>
          <w:lang w:val="ru-RU"/>
        </w:rPr>
        <w:tab/>
        <w:t>Было решено проводить совещания с различными государственными ведомствами, которые могут заниматься данной темой: регуляторными органами электросвязи, министерствами здравоохранения, министерствами окружающей среды, национальными управлениями, оказывающими поддержку муниципалитетам, муниципальными плановыми управлениями в крупных городах и основных муниципалитетах, ассоциациями мэров городов, эксплуатационными компаниями. Цель заключалась, во-первых, в сборе информации из различных источников, не всегда взаимосвязанных, а во-вторых, в попытке найти общую позицию для различных ветвей национального правительства, которых касается данный вопрос.</w:t>
      </w:r>
    </w:p>
    <w:p w:rsidR="001B6FDC" w:rsidRPr="004D64A1" w:rsidRDefault="001B6FDC" w:rsidP="001B6FDC">
      <w:pPr>
        <w:rPr>
          <w:bCs/>
          <w:lang w:val="ru-RU"/>
        </w:rPr>
      </w:pPr>
      <w:r w:rsidRPr="004D64A1">
        <w:rPr>
          <w:bCs/>
          <w:lang w:val="ru-RU"/>
        </w:rPr>
        <w:t>6.8</w:t>
      </w:r>
      <w:r w:rsidRPr="004D64A1">
        <w:rPr>
          <w:bCs/>
          <w:lang w:val="ru-RU"/>
        </w:rPr>
        <w:tab/>
        <w:t>По нашим оценкам, в двух странах из трех участвовавших в проекте сохраняются следующие характеристики, аналогичные имеющимся в остальных странах Латинской Америки и других регионов мира:</w:t>
      </w:r>
    </w:p>
    <w:p w:rsidR="001B6FDC" w:rsidRPr="004D64A1" w:rsidRDefault="001B6FDC" w:rsidP="001B6FDC">
      <w:pPr>
        <w:rPr>
          <w:bCs/>
          <w:lang w:val="ru-RU"/>
        </w:rPr>
      </w:pPr>
      <w:r w:rsidRPr="004D64A1">
        <w:rPr>
          <w:bCs/>
          <w:lang w:val="ru-RU"/>
        </w:rPr>
        <w:t>Отсутствие последовательной политики в различных областях управления. Отсутствие интеграции и общей политики в различных ветвях национального правительства. Отсутствие политики социальной коммуникации в отношении неионизирующего излучения и охраны здоровья. Нарушение муниципальных норм. Наличие несанкционированных объектов на муниципальном уровне. Непринятие объектов населением. Участие природоохранных организаций. Политизация вопроса. Страх перед возможным воздействием неионизирующего излучения на здоровье человека. Начало социальных волнений. Тенденция к усилению непринятия объектов на местном уровне.</w:t>
      </w:r>
    </w:p>
    <w:p w:rsidR="001B6FDC" w:rsidRPr="004D64A1" w:rsidRDefault="001B6FDC" w:rsidP="001B6FDC">
      <w:pPr>
        <w:rPr>
          <w:bCs/>
          <w:lang w:val="ru-RU"/>
        </w:rPr>
      </w:pPr>
      <w:r w:rsidRPr="004D64A1">
        <w:rPr>
          <w:bCs/>
          <w:lang w:val="ru-RU"/>
        </w:rPr>
        <w:t>6.9</w:t>
      </w:r>
      <w:r w:rsidRPr="004D64A1">
        <w:rPr>
          <w:bCs/>
          <w:lang w:val="ru-RU"/>
        </w:rPr>
        <w:tab/>
        <w:t>Налицо конфликт, который не носит технического характера, не является коммерческим и в целом не относится к охране здоровья; это конфликт, основанный на восприятии риска обществом и испытываемым населением страхе перед излучением, который генерируется через давление, оказываемое населением на мэров и муниципальные законодательные органы, и принятием этих нормативных барьеров к развертыванию инфраструктуры.</w:t>
      </w:r>
    </w:p>
    <w:p w:rsidR="001B6FDC" w:rsidRPr="004D64A1" w:rsidRDefault="001B6FDC" w:rsidP="001B6FDC">
      <w:pPr>
        <w:rPr>
          <w:bCs/>
          <w:lang w:val="ru-RU"/>
        </w:rPr>
      </w:pPr>
      <w:r w:rsidRPr="004D64A1">
        <w:rPr>
          <w:bCs/>
          <w:lang w:val="ru-RU"/>
        </w:rPr>
        <w:lastRenderedPageBreak/>
        <w:t>6.10</w:t>
      </w:r>
      <w:r w:rsidRPr="004D64A1">
        <w:rPr>
          <w:bCs/>
          <w:lang w:val="ru-RU"/>
        </w:rPr>
        <w:tab/>
        <w:t>В ряде стран отсутствуют национальные законы в области здравоохранения, которые бы конкретно регулировали использование неионизирующего излучения, но в ряде случаев нормы существуют в секторе электросвязи, а в других случаях применяются правила COMTELCA. Во всех случаях нами были представлены конкретные рекомендации по разработке местных норм.</w:t>
      </w:r>
    </w:p>
    <w:p w:rsidR="001B6FDC" w:rsidRPr="004D64A1" w:rsidRDefault="001B6FDC" w:rsidP="001B6FDC">
      <w:pPr>
        <w:rPr>
          <w:bCs/>
          <w:lang w:val="ru-RU"/>
        </w:rPr>
      </w:pPr>
      <w:r w:rsidRPr="004D64A1">
        <w:rPr>
          <w:bCs/>
          <w:lang w:val="ru-RU"/>
        </w:rPr>
        <w:t>6.11</w:t>
      </w:r>
      <w:r w:rsidRPr="004D64A1">
        <w:rPr>
          <w:bCs/>
          <w:lang w:val="ru-RU"/>
        </w:rPr>
        <w:tab/>
        <w:t>Принимая во внимание конкретную ситуацию в каждой стране и основываясь на документе ВОЗ "Построение диалога о рисках от электромагнитных полей", мы внесли предложение по управлению принятием населением развертывания антенн в каждой стране, а также план действий на длительный период для достижения этой цели.</w:t>
      </w:r>
    </w:p>
    <w:p w:rsidR="001B6FDC" w:rsidRPr="004D64A1" w:rsidRDefault="001B6FDC" w:rsidP="001B6FDC">
      <w:pPr>
        <w:rPr>
          <w:bCs/>
          <w:lang w:val="ru-RU"/>
        </w:rPr>
      </w:pPr>
      <w:r w:rsidRPr="004D64A1">
        <w:rPr>
          <w:bCs/>
          <w:lang w:val="ru-RU"/>
        </w:rPr>
        <w:t>6.12</w:t>
      </w:r>
      <w:r w:rsidRPr="004D64A1">
        <w:rPr>
          <w:bCs/>
          <w:lang w:val="ru-RU"/>
        </w:rPr>
        <w:tab/>
        <w:t>Был разработан проект Руководства на основе образцов передового опыта для установки антенн, куда вошел обзор эксплуатации подвижной телефонии и базовых знаний о неионизирующем излучении, методики монтажа, обеспечивающие охрану окружающей среды, сокращающие визуальное воздействие, учитывающие плановые нормы, защиту наследия и мониторинг излучения. Также планируется включить в него ряд руководящих указаний по достижению согласованности муниципальных лицензионных процедур в различных муниципалитетах.</w:t>
      </w:r>
    </w:p>
    <w:p w:rsidR="001B6FDC" w:rsidRPr="004D64A1" w:rsidRDefault="00AD7F65" w:rsidP="00F90A60">
      <w:pPr>
        <w:rPr>
          <w:lang w:val="ru-RU"/>
        </w:rPr>
      </w:pPr>
      <w:r w:rsidRPr="004D64A1">
        <w:rPr>
          <w:lang w:val="ru-RU"/>
        </w:rPr>
        <w:t>6.1</w:t>
      </w:r>
      <w:r w:rsidR="00F90A60" w:rsidRPr="00F90A60">
        <w:rPr>
          <w:lang w:val="ru-RU"/>
        </w:rPr>
        <w:t>3</w:t>
      </w:r>
      <w:r w:rsidRPr="00AD7F65">
        <w:rPr>
          <w:lang w:val="ru-RU"/>
        </w:rPr>
        <w:tab/>
      </w:r>
      <w:r w:rsidR="001B6FDC" w:rsidRPr="004D64A1">
        <w:rPr>
          <w:lang w:val="ru-RU"/>
        </w:rPr>
        <w:t xml:space="preserve">Для Сальвадора, где осуществлялся экспериментальный проект, были закуплены следующее </w:t>
      </w:r>
      <w:r w:rsidR="001B6FDC" w:rsidRPr="004D64A1">
        <w:rPr>
          <w:szCs w:val="28"/>
          <w:lang w:val="ru-RU" w:eastAsia="zh-CN"/>
        </w:rPr>
        <w:t>оборудование</w:t>
      </w:r>
      <w:r w:rsidR="001B6FDC" w:rsidRPr="004D64A1">
        <w:rPr>
          <w:lang w:val="ru-RU"/>
        </w:rPr>
        <w:t xml:space="preserve"> и лицензии:</w:t>
      </w:r>
    </w:p>
    <w:p w:rsidR="001B6FDC" w:rsidRPr="0044642E" w:rsidRDefault="001B6FDC" w:rsidP="004D64A1">
      <w:pPr>
        <w:pStyle w:val="Enumlevel1"/>
        <w:rPr>
          <w:lang w:val="ru-RU"/>
        </w:rPr>
      </w:pPr>
      <w:r w:rsidRPr="0044642E">
        <w:rPr>
          <w:lang w:val="ru-RU"/>
        </w:rPr>
        <w:t>−</w:t>
      </w:r>
      <w:r w:rsidRPr="0044642E">
        <w:rPr>
          <w:lang w:val="ru-RU"/>
        </w:rPr>
        <w:tab/>
        <w:t>портативная система измерения неионизирующего излучения;</w:t>
      </w:r>
    </w:p>
    <w:p w:rsidR="001B6FDC" w:rsidRPr="0044642E" w:rsidRDefault="001B6FDC" w:rsidP="004D64A1">
      <w:pPr>
        <w:pStyle w:val="Enumlevel1"/>
        <w:rPr>
          <w:lang w:val="ru-RU"/>
        </w:rPr>
      </w:pPr>
      <w:r w:rsidRPr="0044642E">
        <w:rPr>
          <w:lang w:val="ru-RU"/>
        </w:rPr>
        <w:t>−</w:t>
      </w:r>
      <w:r w:rsidRPr="0044642E">
        <w:rPr>
          <w:lang w:val="ru-RU"/>
        </w:rPr>
        <w:tab/>
        <w:t>поставка, калибровка, монтаж и надзор за двумя установками постоянных измерений электромагнитных полей и их Контрольный центр с необходимыми приложениями для управления данными и публикации в интернете, на основании Рекомендации МСЭ-</w:t>
      </w:r>
      <w:r w:rsidRPr="004D64A1">
        <w:t>T</w:t>
      </w:r>
      <w:r w:rsidRPr="0044642E">
        <w:rPr>
          <w:lang w:val="ru-RU"/>
        </w:rPr>
        <w:t xml:space="preserve"> </w:t>
      </w:r>
      <w:r w:rsidRPr="004D64A1">
        <w:t>K</w:t>
      </w:r>
      <w:r w:rsidRPr="0044642E">
        <w:rPr>
          <w:lang w:val="ru-RU"/>
        </w:rPr>
        <w:t>.83;</w:t>
      </w:r>
    </w:p>
    <w:p w:rsidR="001B6FDC" w:rsidRPr="0044642E" w:rsidRDefault="001B6FDC" w:rsidP="004D64A1">
      <w:pPr>
        <w:pStyle w:val="Enumlevel1"/>
        <w:rPr>
          <w:lang w:val="ru-RU"/>
        </w:rPr>
      </w:pPr>
      <w:r w:rsidRPr="0044642E">
        <w:rPr>
          <w:lang w:val="ru-RU"/>
        </w:rPr>
        <w:t>−</w:t>
      </w:r>
      <w:r w:rsidRPr="0044642E">
        <w:rPr>
          <w:lang w:val="ru-RU"/>
        </w:rPr>
        <w:tab/>
        <w:t>карта излучений в секторе столичного района Сальвадора.</w:t>
      </w:r>
    </w:p>
    <w:p w:rsidR="001B6FDC" w:rsidRPr="004D64A1" w:rsidRDefault="001B6FDC" w:rsidP="001B6FDC">
      <w:pPr>
        <w:rPr>
          <w:lang w:val="ru-RU"/>
        </w:rPr>
      </w:pPr>
      <w:r w:rsidRPr="004D64A1">
        <w:rPr>
          <w:lang w:val="ru-RU"/>
        </w:rPr>
        <w:t>Закупка оборудования была произведена МСЭ на основе тендера, победителем в котором стала компания Wave Control.</w:t>
      </w:r>
    </w:p>
    <w:p w:rsidR="001B6FDC" w:rsidRPr="004D64A1" w:rsidRDefault="001B6FDC" w:rsidP="001B6FDC">
      <w:pPr>
        <w:rPr>
          <w:lang w:val="ru-RU"/>
        </w:rPr>
      </w:pPr>
      <w:r w:rsidRPr="004D64A1">
        <w:rPr>
          <w:lang w:val="ru-RU"/>
        </w:rPr>
        <w:t>6.14</w:t>
      </w:r>
      <w:r w:rsidRPr="004D64A1">
        <w:rPr>
          <w:lang w:val="ru-RU"/>
        </w:rPr>
        <w:tab/>
        <w:t>Этот инструмент не базируется на обязательных для соблюдения стандартах измерений и поэтому не заменяет контрольные измерения, проводимые органом по обеспечению осуществления, и должен считаться дополнительным инструментом социальной коммуникации с населением для уменьшения опасений относительно возможных отрицательных последствий неионизирующего излучения для здоровья человека. Цель заключается в измерении уровней неионизирующего излучения на улицах и в уязвимых местах, определяемых органом государственного управления. Мониторинг этих уровней будет проводиться на постоянной основе. Задача состоит в том, чтобы показать населению, прозрачным и доступным для понимания способом (интернет, публикации и т. п.), что уровни излучения значительно ниже установленных правилами, с целью снижения социальной напряженности.</w:t>
      </w:r>
    </w:p>
    <w:p w:rsidR="001B6FDC" w:rsidRPr="004D64A1" w:rsidRDefault="001B6FDC" w:rsidP="001B6FDC">
      <w:pPr>
        <w:rPr>
          <w:lang w:val="ru-RU"/>
        </w:rPr>
      </w:pPr>
      <w:r w:rsidRPr="004D64A1">
        <w:rPr>
          <w:lang w:val="ru-RU"/>
        </w:rPr>
        <w:t>6.15</w:t>
      </w:r>
      <w:r w:rsidRPr="004D64A1">
        <w:rPr>
          <w:lang w:val="ru-RU"/>
        </w:rPr>
        <w:tab/>
        <w:t xml:space="preserve">Электромагнитные карты были составлены путем обхода всех улиц центрального района Сан-Сальвадора для получения общей картины уровней электромагнитного поля на уровне улицы. Измерения производились на уровне улицы изотропными датчиками с частотным диапазоном от 300 кГц до 3 ГГц (широкополосными). Уровни, наблюдавшиеся в каждой точке города, заносились в динамике вместе с датой и положением по GPS. </w:t>
      </w:r>
    </w:p>
    <w:p w:rsidR="001B6FDC" w:rsidRPr="004D64A1" w:rsidRDefault="001B6FDC" w:rsidP="001B6FDC">
      <w:pPr>
        <w:rPr>
          <w:lang w:val="ru-RU"/>
        </w:rPr>
      </w:pPr>
      <w:r w:rsidRPr="004D64A1">
        <w:rPr>
          <w:lang w:val="ru-RU"/>
        </w:rPr>
        <w:t>6.16</w:t>
      </w:r>
      <w:r w:rsidRPr="004D64A1">
        <w:rPr>
          <w:lang w:val="ru-RU"/>
        </w:rPr>
        <w:tab/>
        <w:t>Этот процесс осуществлялся сотрудниками службы материально-технического обеспечения, предоставленными SIGET, на автомобиле, предоставленном этой же компанией. Уровни измерялись в В/м, поэтому возможно осуществить прямое сопоставление с уровнями, установленными международными стандартами в отношении предельных значений воздействия радиочастотных электромагнитных полей на человека. Данные были получены, сохранены и увязаны с датами и положением по GPS, а затем были представлены географической информационной системой (ГИС), которая дает возможность представить данные на карте графически, с цветовыми кодами для уровней.</w:t>
      </w:r>
    </w:p>
    <w:p w:rsidR="00585FA8" w:rsidRPr="004D64A1" w:rsidRDefault="00585FA8" w:rsidP="00585FA8">
      <w:pPr>
        <w:rPr>
          <w:lang w:val="ru-RU"/>
        </w:rPr>
      </w:pPr>
    </w:p>
    <w:p w:rsidR="00585FA8" w:rsidRPr="001B6FDC" w:rsidRDefault="001B6FDC" w:rsidP="001B6FDC">
      <w:pPr>
        <w:pStyle w:val="Figuretitle"/>
        <w:rPr>
          <w:lang w:val="ru-RU"/>
        </w:rPr>
      </w:pPr>
      <w:bookmarkStart w:id="93" w:name="_Toc370477885"/>
      <w:bookmarkStart w:id="94" w:name="_Toc377482283"/>
      <w:r w:rsidRPr="001B6FDC">
        <w:rPr>
          <w:bCs/>
          <w:lang w:val="ru-RU"/>
        </w:rPr>
        <w:lastRenderedPageBreak/>
        <w:t>Рисунок</w:t>
      </w:r>
      <w:r w:rsidRPr="001B6FDC">
        <w:rPr>
          <w:bCs/>
          <w:lang w:val="en-US"/>
        </w:rPr>
        <w:t> </w:t>
      </w:r>
      <w:r w:rsidRPr="001B6FDC">
        <w:rPr>
          <w:bCs/>
          <w:lang w:val="ru-RU"/>
        </w:rPr>
        <w:t xml:space="preserve">1: Карта </w:t>
      </w:r>
      <w:r w:rsidRPr="001B6FDC">
        <w:rPr>
          <w:bCs/>
          <w:lang w:val="en-US"/>
        </w:rPr>
        <w:t>NIR</w:t>
      </w:r>
      <w:r w:rsidRPr="001B6FDC">
        <w:rPr>
          <w:bCs/>
          <w:lang w:val="ru-RU"/>
        </w:rPr>
        <w:t xml:space="preserve"> в Сан-Сальвадоре, еще не опубликованная в</w:t>
      </w:r>
      <w:r w:rsidRPr="001B6FDC">
        <w:rPr>
          <w:bCs/>
          <w:lang w:val="en-US"/>
        </w:rPr>
        <w:t> </w:t>
      </w:r>
      <w:r w:rsidRPr="001B6FDC">
        <w:rPr>
          <w:bCs/>
          <w:lang w:val="ru-RU"/>
        </w:rPr>
        <w:t>период</w:t>
      </w:r>
      <w:r>
        <w:rPr>
          <w:bCs/>
          <w:lang w:val="ru-RU"/>
        </w:rPr>
        <w:t xml:space="preserve"> </w:t>
      </w:r>
      <w:r w:rsidRPr="001B6FDC">
        <w:rPr>
          <w:bCs/>
          <w:lang w:val="ru-RU"/>
        </w:rPr>
        <w:t>составления настоящего Отчета</w:t>
      </w:r>
      <w:bookmarkEnd w:id="93"/>
      <w:bookmarkEnd w:id="94"/>
    </w:p>
    <w:p w:rsidR="00585FA8" w:rsidRDefault="00585FA8" w:rsidP="003235B9">
      <w:pPr>
        <w:pStyle w:val="Figure"/>
        <w:spacing w:before="120" w:after="0"/>
      </w:pPr>
      <w:r w:rsidRPr="007E78E4">
        <w:rPr>
          <w:noProof/>
          <w:lang w:val="ru-RU" w:eastAsia="zh-CN"/>
        </w:rPr>
        <w:drawing>
          <wp:inline distT="0" distB="0" distL="0" distR="0" wp14:anchorId="7187F3B6" wp14:editId="079D7738">
            <wp:extent cx="3876675" cy="2276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6061" cy="2276114"/>
                    </a:xfrm>
                    <a:prstGeom prst="rect">
                      <a:avLst/>
                    </a:prstGeom>
                    <a:noFill/>
                  </pic:spPr>
                </pic:pic>
              </a:graphicData>
            </a:graphic>
          </wp:inline>
        </w:drawing>
      </w:r>
    </w:p>
    <w:p w:rsidR="003235B9" w:rsidRDefault="003235B9" w:rsidP="003235B9">
      <w:pPr>
        <w:pStyle w:val="figuresource"/>
        <w:spacing w:before="0"/>
      </w:pPr>
    </w:p>
    <w:p w:rsidR="0059063E" w:rsidRPr="0044642E" w:rsidRDefault="0059063E" w:rsidP="0059063E">
      <w:pPr>
        <w:rPr>
          <w:lang w:val="ru-RU"/>
        </w:rPr>
      </w:pPr>
      <w:r w:rsidRPr="0059063E">
        <w:rPr>
          <w:rFonts w:hint="cs"/>
          <w:cs/>
          <w:lang w:val="en-US"/>
        </w:rPr>
        <w:t>‎</w:t>
      </w:r>
      <w:r w:rsidRPr="0059063E">
        <w:rPr>
          <w:lang w:val="ru-RU"/>
        </w:rPr>
        <w:t>6.17</w:t>
      </w:r>
      <w:r w:rsidRPr="0059063E">
        <w:rPr>
          <w:cs/>
          <w:lang w:val="en-US"/>
        </w:rPr>
        <w:t>‎</w:t>
      </w:r>
      <w:r w:rsidRPr="0059063E">
        <w:rPr>
          <w:lang w:val="ru-RU"/>
        </w:rPr>
        <w:tab/>
        <w:t xml:space="preserve">На этой карте можно видеть уровни неионизирующего излучения, которые можно </w:t>
      </w:r>
      <w:r w:rsidRPr="0059063E">
        <w:rPr>
          <w:cs/>
          <w:lang w:val="en-US"/>
        </w:rPr>
        <w:t>‎</w:t>
      </w:r>
      <w:r w:rsidRPr="0059063E">
        <w:rPr>
          <w:lang w:val="ru-RU"/>
        </w:rPr>
        <w:t xml:space="preserve">сравнивать на шкале от синего к красному, выше которого располагаются значения, </w:t>
      </w:r>
      <w:r w:rsidRPr="0059063E">
        <w:rPr>
          <w:cs/>
          <w:lang w:val="en-US"/>
        </w:rPr>
        <w:t>‎</w:t>
      </w:r>
      <w:r w:rsidRPr="0059063E">
        <w:rPr>
          <w:lang w:val="ru-RU"/>
        </w:rPr>
        <w:t xml:space="preserve">превышающие максимальные пределы, указанные ВОЗ. </w:t>
      </w:r>
      <w:r w:rsidRPr="0059063E">
        <w:rPr>
          <w:cs/>
          <w:lang w:val="en-US"/>
        </w:rPr>
        <w:t>‎</w:t>
      </w:r>
    </w:p>
    <w:p w:rsidR="00585FA8" w:rsidRPr="0059063E" w:rsidRDefault="0059063E" w:rsidP="0059063E">
      <w:pPr>
        <w:rPr>
          <w:lang w:val="ru-RU"/>
        </w:rPr>
      </w:pPr>
      <w:r w:rsidRPr="0059063E">
        <w:rPr>
          <w:rFonts w:hint="cs"/>
          <w:cs/>
          <w:lang w:val="en-US"/>
        </w:rPr>
        <w:t>‎</w:t>
      </w:r>
      <w:r w:rsidRPr="0059063E">
        <w:rPr>
          <w:lang w:val="ru-RU"/>
        </w:rPr>
        <w:t>6.18</w:t>
      </w:r>
      <w:r w:rsidRPr="0059063E">
        <w:rPr>
          <w:cs/>
          <w:lang w:val="en-US"/>
        </w:rPr>
        <w:t>‎</w:t>
      </w:r>
      <w:r w:rsidRPr="0059063E">
        <w:rPr>
          <w:lang w:val="ru-RU"/>
        </w:rPr>
        <w:tab/>
        <w:t xml:space="preserve">Ниже приведена аналогичная карта города Ломас-де-Самора, уже опубликованная, со </w:t>
      </w:r>
      <w:r w:rsidRPr="0059063E">
        <w:rPr>
          <w:cs/>
          <w:lang w:val="en-US"/>
        </w:rPr>
        <w:t>‎</w:t>
      </w:r>
      <w:r w:rsidRPr="0059063E">
        <w:rPr>
          <w:lang w:val="ru-RU"/>
        </w:rPr>
        <w:t>шкалой уровней неионизирующего излучения:</w:t>
      </w:r>
      <w:r w:rsidRPr="0059063E">
        <w:rPr>
          <w:cs/>
          <w:lang w:val="en-US"/>
        </w:rPr>
        <w:t>‎</w:t>
      </w:r>
    </w:p>
    <w:p w:rsidR="00585FA8" w:rsidRPr="0059063E" w:rsidRDefault="0059063E" w:rsidP="0059063E">
      <w:pPr>
        <w:pStyle w:val="Figuretitle"/>
        <w:rPr>
          <w:lang w:val="ru-RU"/>
        </w:rPr>
      </w:pPr>
      <w:bookmarkStart w:id="95" w:name="_Toc370477886"/>
      <w:bookmarkStart w:id="96" w:name="_Toc377482284"/>
      <w:r w:rsidRPr="0059063E">
        <w:rPr>
          <w:bCs/>
          <w:lang w:val="ru-RU"/>
        </w:rPr>
        <w:t>Рисунок</w:t>
      </w:r>
      <w:r w:rsidRPr="0059063E">
        <w:rPr>
          <w:bCs/>
          <w:lang w:val="en-US"/>
        </w:rPr>
        <w:t> </w:t>
      </w:r>
      <w:r w:rsidRPr="0059063E">
        <w:rPr>
          <w:bCs/>
          <w:lang w:val="ru-RU"/>
        </w:rPr>
        <w:t xml:space="preserve">2: Система постоянного мониторинга – "Народный контроль за </w:t>
      </w:r>
      <w:r w:rsidRPr="0059063E">
        <w:rPr>
          <w:bCs/>
          <w:lang w:val="en-US"/>
        </w:rPr>
        <w:t>NIR</w:t>
      </w:r>
      <w:r w:rsidRPr="0059063E">
        <w:rPr>
          <w:bCs/>
          <w:lang w:val="ru-RU"/>
        </w:rPr>
        <w:t>"</w:t>
      </w:r>
      <w:bookmarkEnd w:id="95"/>
      <w:bookmarkEnd w:id="96"/>
    </w:p>
    <w:p w:rsidR="00585FA8" w:rsidRDefault="00585FA8" w:rsidP="003235B9">
      <w:pPr>
        <w:pStyle w:val="Figure"/>
        <w:spacing w:before="120" w:after="0"/>
      </w:pPr>
      <w:r w:rsidRPr="007E78E4">
        <w:rPr>
          <w:noProof/>
          <w:lang w:val="ru-RU" w:eastAsia="zh-CN"/>
        </w:rPr>
        <w:drawing>
          <wp:inline distT="0" distB="0" distL="0" distR="0" wp14:anchorId="3EF35A9D" wp14:editId="18E80684">
            <wp:extent cx="2990850" cy="2533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3636" cy="2536010"/>
                    </a:xfrm>
                    <a:prstGeom prst="rect">
                      <a:avLst/>
                    </a:prstGeom>
                    <a:noFill/>
                  </pic:spPr>
                </pic:pic>
              </a:graphicData>
            </a:graphic>
          </wp:inline>
        </w:drawing>
      </w:r>
    </w:p>
    <w:p w:rsidR="003235B9" w:rsidRDefault="003235B9" w:rsidP="003235B9">
      <w:pPr>
        <w:pStyle w:val="figuresource"/>
        <w:spacing w:before="0"/>
      </w:pPr>
    </w:p>
    <w:p w:rsidR="0059063E" w:rsidRPr="0059063E" w:rsidRDefault="0059063E" w:rsidP="0059063E">
      <w:pPr>
        <w:rPr>
          <w:lang w:val="ru-RU"/>
        </w:rPr>
      </w:pPr>
      <w:r w:rsidRPr="0059063E">
        <w:rPr>
          <w:rFonts w:hint="cs"/>
          <w:cs/>
          <w:lang w:val="en-US"/>
        </w:rPr>
        <w:t>‎</w:t>
      </w:r>
      <w:r w:rsidRPr="0059063E">
        <w:rPr>
          <w:lang w:val="ru-RU"/>
        </w:rPr>
        <w:t>6.19</w:t>
      </w:r>
      <w:r w:rsidRPr="0059063E">
        <w:rPr>
          <w:cs/>
          <w:lang w:val="en-US"/>
        </w:rPr>
        <w:t>‎</w:t>
      </w:r>
      <w:r w:rsidRPr="0059063E">
        <w:rPr>
          <w:lang w:val="ru-RU"/>
        </w:rPr>
        <w:tab/>
        <w:t xml:space="preserve">В экспериментальном порядке была развернута малая система постоянного мониторинга </w:t>
      </w:r>
      <w:r w:rsidRPr="0059063E">
        <w:rPr>
          <w:cs/>
          <w:lang w:val="en-US"/>
        </w:rPr>
        <w:t>‎</w:t>
      </w:r>
      <w:r w:rsidRPr="0059063E">
        <w:rPr>
          <w:lang w:val="ru-RU"/>
        </w:rPr>
        <w:t xml:space="preserve">для обеспечения спокойствия в различных районах, где был высок уровень напряженности в </w:t>
      </w:r>
      <w:r w:rsidRPr="0059063E">
        <w:rPr>
          <w:cs/>
          <w:lang w:val="en-US"/>
        </w:rPr>
        <w:t>‎</w:t>
      </w:r>
      <w:r w:rsidRPr="0059063E">
        <w:rPr>
          <w:lang w:val="ru-RU"/>
        </w:rPr>
        <w:t xml:space="preserve">связи с опасениями относительно неионизирующего излучения. Люди могут зайти на веб-сайт </w:t>
      </w:r>
      <w:r w:rsidRPr="0059063E">
        <w:rPr>
          <w:cs/>
          <w:lang w:val="en-US"/>
        </w:rPr>
        <w:t>‎</w:t>
      </w:r>
      <w:r w:rsidRPr="0059063E">
        <w:rPr>
          <w:lang w:val="en-US"/>
        </w:rPr>
        <w:t>SIGET</w:t>
      </w:r>
      <w:r w:rsidRPr="0059063E">
        <w:rPr>
          <w:lang w:val="ru-RU"/>
        </w:rPr>
        <w:t xml:space="preserve"> и, нажав на зеленую точку, получить доступ к измерениям выбранного монитора, чтобы </w:t>
      </w:r>
      <w:r w:rsidRPr="0059063E">
        <w:rPr>
          <w:cs/>
          <w:lang w:val="en-US"/>
        </w:rPr>
        <w:t>‎</w:t>
      </w:r>
      <w:r w:rsidRPr="0059063E">
        <w:rPr>
          <w:lang w:val="ru-RU"/>
        </w:rPr>
        <w:t xml:space="preserve">увидеть результаты, как показано на рисунке ниже. Система программирования посылает по </w:t>
      </w:r>
      <w:r w:rsidRPr="0059063E">
        <w:rPr>
          <w:cs/>
          <w:lang w:val="ru-RU"/>
        </w:rPr>
        <w:t>‎</w:t>
      </w:r>
      <w:r w:rsidRPr="0059063E">
        <w:rPr>
          <w:lang w:val="ru-RU"/>
        </w:rPr>
        <w:t xml:space="preserve">электронной почте с должной регулярностью отчеты основным </w:t>
      </w:r>
      <w:r w:rsidRPr="0059063E">
        <w:rPr>
          <w:bCs/>
          <w:lang w:val="ru-RU"/>
        </w:rPr>
        <w:t>заинтересованным</w:t>
      </w:r>
      <w:r w:rsidRPr="0059063E">
        <w:rPr>
          <w:lang w:val="ru-RU"/>
        </w:rPr>
        <w:t xml:space="preserve"> лицам, таким </w:t>
      </w:r>
      <w:r w:rsidRPr="0059063E">
        <w:rPr>
          <w:cs/>
          <w:lang w:val="en-US"/>
        </w:rPr>
        <w:t>‎</w:t>
      </w:r>
      <w:r w:rsidRPr="0059063E">
        <w:rPr>
          <w:lang w:val="ru-RU"/>
        </w:rPr>
        <w:t xml:space="preserve">как председатель местного совета, директор школы, руководители местных сообществ, </w:t>
      </w:r>
      <w:r w:rsidRPr="0059063E">
        <w:rPr>
          <w:cs/>
          <w:lang w:val="en-US"/>
        </w:rPr>
        <w:t>‎</w:t>
      </w:r>
      <w:r w:rsidRPr="0059063E">
        <w:rPr>
          <w:lang w:val="ru-RU"/>
        </w:rPr>
        <w:t>занимающиеся данным вопросом неправительственные ассоциации и т. д.</w:t>
      </w:r>
      <w:r w:rsidRPr="0059063E">
        <w:rPr>
          <w:cs/>
          <w:lang w:val="en-US"/>
        </w:rPr>
        <w:t>‎</w:t>
      </w:r>
    </w:p>
    <w:p w:rsidR="00585FA8" w:rsidRPr="0059063E" w:rsidRDefault="0059063E" w:rsidP="0059063E">
      <w:pPr>
        <w:rPr>
          <w:lang w:val="ru-RU"/>
        </w:rPr>
      </w:pPr>
      <w:r w:rsidRPr="0059063E">
        <w:rPr>
          <w:rFonts w:hint="cs"/>
          <w:cs/>
          <w:lang w:val="en-US"/>
        </w:rPr>
        <w:t>‎</w:t>
      </w:r>
      <w:r w:rsidRPr="0059063E">
        <w:rPr>
          <w:lang w:val="ru-RU"/>
        </w:rPr>
        <w:t>6.20</w:t>
      </w:r>
      <w:r w:rsidRPr="0059063E">
        <w:rPr>
          <w:cs/>
          <w:lang w:val="en-US"/>
        </w:rPr>
        <w:t>‎</w:t>
      </w:r>
      <w:r w:rsidRPr="0059063E">
        <w:rPr>
          <w:lang w:val="ru-RU"/>
        </w:rPr>
        <w:tab/>
        <w:t xml:space="preserve">На момент подготовки настоящего отчета </w:t>
      </w:r>
      <w:r w:rsidRPr="0059063E">
        <w:rPr>
          <w:lang w:val="en-US"/>
        </w:rPr>
        <w:t>SIGET</w:t>
      </w:r>
      <w:r w:rsidRPr="0059063E">
        <w:rPr>
          <w:lang w:val="ru-RU"/>
        </w:rPr>
        <w:t xml:space="preserve"> официально еще не обнародовала </w:t>
      </w:r>
      <w:r w:rsidRPr="0059063E">
        <w:rPr>
          <w:cs/>
          <w:lang w:val="en-US"/>
        </w:rPr>
        <w:t>‎</w:t>
      </w:r>
      <w:r w:rsidRPr="0059063E">
        <w:rPr>
          <w:lang w:val="ru-RU"/>
        </w:rPr>
        <w:t>данные, поэтому соответствующая гиперссылка отсутствует.</w:t>
      </w:r>
      <w:r w:rsidRPr="0059063E">
        <w:rPr>
          <w:cs/>
          <w:lang w:val="en-US"/>
        </w:rPr>
        <w:t>‎</w:t>
      </w:r>
    </w:p>
    <w:p w:rsidR="00585FA8" w:rsidRPr="0059063E" w:rsidRDefault="0059063E" w:rsidP="0059063E">
      <w:pPr>
        <w:pStyle w:val="Figuretitle"/>
        <w:rPr>
          <w:lang w:val="ru-RU"/>
        </w:rPr>
      </w:pPr>
      <w:bookmarkStart w:id="97" w:name="_Toc370477887"/>
      <w:bookmarkStart w:id="98" w:name="_Toc377482285"/>
      <w:r w:rsidRPr="0059063E">
        <w:rPr>
          <w:bCs/>
          <w:lang w:val="ru-RU"/>
        </w:rPr>
        <w:lastRenderedPageBreak/>
        <w:t>Рисунок</w:t>
      </w:r>
      <w:r w:rsidRPr="0059063E">
        <w:rPr>
          <w:bCs/>
          <w:lang w:val="en-US"/>
        </w:rPr>
        <w:t> </w:t>
      </w:r>
      <w:r w:rsidRPr="0059063E">
        <w:rPr>
          <w:bCs/>
          <w:lang w:val="ru-RU"/>
        </w:rPr>
        <w:t>3: Система постоянного мониторинга в Сальвадоре, совместный проект с МСЭ</w:t>
      </w:r>
      <w:bookmarkEnd w:id="97"/>
      <w:bookmarkEnd w:id="98"/>
    </w:p>
    <w:p w:rsidR="00585FA8" w:rsidRDefault="00585FA8" w:rsidP="003235B9">
      <w:pPr>
        <w:pStyle w:val="Figure"/>
        <w:spacing w:before="120" w:after="0"/>
      </w:pPr>
      <w:r w:rsidRPr="007E78E4">
        <w:rPr>
          <w:noProof/>
          <w:lang w:val="ru-RU" w:eastAsia="zh-CN"/>
        </w:rPr>
        <w:drawing>
          <wp:inline distT="0" distB="0" distL="0" distR="0" wp14:anchorId="184EA263" wp14:editId="1BB87ECB">
            <wp:extent cx="3609975" cy="2895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9414" cy="2895150"/>
                    </a:xfrm>
                    <a:prstGeom prst="rect">
                      <a:avLst/>
                    </a:prstGeom>
                    <a:noFill/>
                  </pic:spPr>
                </pic:pic>
              </a:graphicData>
            </a:graphic>
          </wp:inline>
        </w:drawing>
      </w:r>
    </w:p>
    <w:p w:rsidR="003235B9" w:rsidRPr="0059063E" w:rsidRDefault="003235B9" w:rsidP="003235B9">
      <w:pPr>
        <w:pStyle w:val="figuresource"/>
        <w:spacing w:before="0"/>
        <w:rPr>
          <w:lang w:val="ru-RU"/>
        </w:rPr>
      </w:pPr>
    </w:p>
    <w:p w:rsidR="0059063E" w:rsidRPr="004D64A1" w:rsidRDefault="0059063E" w:rsidP="004D64A1">
      <w:pPr>
        <w:rPr>
          <w:bCs/>
          <w:lang w:val="ru-RU"/>
        </w:rPr>
      </w:pPr>
      <w:bookmarkStart w:id="99" w:name="_Toc361912440"/>
      <w:r w:rsidRPr="004D64A1">
        <w:rPr>
          <w:bCs/>
          <w:lang w:val="ru-RU"/>
        </w:rPr>
        <w:t>6.21</w:t>
      </w:r>
      <w:r w:rsidRPr="004D64A1">
        <w:rPr>
          <w:bCs/>
          <w:lang w:val="ru-RU"/>
        </w:rPr>
        <w:tab/>
        <w:t>В случае Сальвадора мы использовали широкополосный датчик и узкополосный датчик, включая полосы, в которых компании сотовой связи работают в данной стране.</w:t>
      </w:r>
    </w:p>
    <w:p w:rsidR="0059063E" w:rsidRPr="004D64A1" w:rsidRDefault="0059063E" w:rsidP="004D64A1">
      <w:pPr>
        <w:rPr>
          <w:bCs/>
          <w:lang w:val="ru-RU"/>
        </w:rPr>
      </w:pPr>
      <w:r w:rsidRPr="004D64A1">
        <w:rPr>
          <w:bCs/>
          <w:lang w:val="ru-RU"/>
        </w:rPr>
        <w:t>6.22</w:t>
      </w:r>
      <w:r w:rsidRPr="004D64A1">
        <w:rPr>
          <w:bCs/>
          <w:lang w:val="ru-RU"/>
        </w:rPr>
        <w:tab/>
        <w:t>Системы постоянного мониторинга в регионе Северной и Южной Америки</w:t>
      </w:r>
    </w:p>
    <w:p w:rsidR="0059063E" w:rsidRPr="004D64A1" w:rsidRDefault="0059063E" w:rsidP="004D64A1">
      <w:pPr>
        <w:rPr>
          <w:bCs/>
          <w:lang w:val="ru-RU"/>
        </w:rPr>
      </w:pPr>
      <w:r w:rsidRPr="004D64A1">
        <w:rPr>
          <w:bCs/>
          <w:lang w:val="ru-RU"/>
        </w:rPr>
        <w:t>Наряду с данным проектом различные страны региона Северной и Южной Америки разрабатывают системы постоянного мониторинга на основе Рекомендации МСЭ-T K.83.</w:t>
      </w:r>
    </w:p>
    <w:p w:rsidR="0059063E" w:rsidRPr="004D64A1" w:rsidRDefault="0059063E" w:rsidP="004D64A1">
      <w:pPr>
        <w:rPr>
          <w:bCs/>
          <w:lang w:val="ru-RU"/>
        </w:rPr>
      </w:pPr>
      <w:r w:rsidRPr="004D64A1">
        <w:rPr>
          <w:bCs/>
          <w:lang w:val="ru-RU"/>
        </w:rPr>
        <w:t>Аргентина:</w:t>
      </w:r>
      <w:r w:rsidRPr="004D64A1">
        <w:rPr>
          <w:bCs/>
          <w:lang w:val="ru-RU"/>
        </w:rPr>
        <w:tab/>
        <w:t>На этапе расширения</w:t>
      </w:r>
    </w:p>
    <w:p w:rsidR="0059063E" w:rsidRPr="004D64A1" w:rsidRDefault="0059063E" w:rsidP="004D64A1">
      <w:pPr>
        <w:rPr>
          <w:bCs/>
          <w:lang w:val="ru-RU"/>
        </w:rPr>
      </w:pPr>
      <w:r w:rsidRPr="004D64A1">
        <w:rPr>
          <w:bCs/>
          <w:lang w:val="ru-RU"/>
        </w:rPr>
        <w:t>Колумбия:</w:t>
      </w:r>
      <w:r w:rsidRPr="004D64A1">
        <w:rPr>
          <w:bCs/>
          <w:lang w:val="ru-RU"/>
        </w:rPr>
        <w:tab/>
        <w:t>Недавно развернута (результаты еще не опубликованы)</w:t>
      </w:r>
    </w:p>
    <w:p w:rsidR="0059063E" w:rsidRPr="004D64A1" w:rsidRDefault="0059063E" w:rsidP="004D64A1">
      <w:pPr>
        <w:rPr>
          <w:bCs/>
          <w:lang w:val="ru-RU"/>
        </w:rPr>
      </w:pPr>
      <w:r w:rsidRPr="004D64A1">
        <w:rPr>
          <w:bCs/>
          <w:lang w:val="ru-RU"/>
        </w:rPr>
        <w:t>Эквадор:</w:t>
      </w:r>
      <w:r w:rsidRPr="004D64A1">
        <w:rPr>
          <w:bCs/>
          <w:lang w:val="ru-RU"/>
        </w:rPr>
        <w:tab/>
        <w:t>Недавно развернута (результаты еще не опубликованы)</w:t>
      </w:r>
    </w:p>
    <w:p w:rsidR="0059063E" w:rsidRPr="004D64A1" w:rsidRDefault="0059063E" w:rsidP="004D64A1">
      <w:pPr>
        <w:rPr>
          <w:bCs/>
          <w:lang w:val="ru-RU"/>
        </w:rPr>
      </w:pPr>
      <w:r w:rsidRPr="004D64A1">
        <w:rPr>
          <w:bCs/>
          <w:lang w:val="ru-RU"/>
        </w:rPr>
        <w:t>Бразилия:</w:t>
      </w:r>
      <w:r w:rsidRPr="004D64A1">
        <w:rPr>
          <w:bCs/>
          <w:lang w:val="ru-RU"/>
        </w:rPr>
        <w:tab/>
        <w:t>Недавно приобретена, еще не развернута</w:t>
      </w:r>
    </w:p>
    <w:p w:rsidR="0059063E" w:rsidRPr="004D64A1" w:rsidRDefault="0059063E" w:rsidP="004D64A1">
      <w:pPr>
        <w:rPr>
          <w:bCs/>
          <w:lang w:val="ru-RU"/>
        </w:rPr>
      </w:pPr>
      <w:r w:rsidRPr="004D64A1">
        <w:rPr>
          <w:bCs/>
          <w:lang w:val="ru-RU"/>
        </w:rPr>
        <w:t xml:space="preserve">Обращайтесь за дополнительной информацией: Эктор Марио Каррил (Héctor Mario Carril), </w:t>
      </w:r>
      <w:hyperlink r:id="rId23" w:history="1">
        <w:r w:rsidRPr="004D64A1">
          <w:rPr>
            <w:rStyle w:val="Hyperlink"/>
            <w:bCs/>
            <w:lang w:val="ru-RU"/>
          </w:rPr>
          <w:t>hectormario.carril@ties.itu.int</w:t>
        </w:r>
      </w:hyperlink>
      <w:r w:rsidRPr="004D64A1">
        <w:rPr>
          <w:rStyle w:val="Hyperlink"/>
          <w:bCs/>
          <w:lang w:val="ru-RU"/>
        </w:rPr>
        <w:t xml:space="preserve"> </w:t>
      </w:r>
      <w:r w:rsidRPr="004D64A1">
        <w:rPr>
          <w:bCs/>
          <w:lang w:val="ru-RU"/>
        </w:rPr>
        <w:t xml:space="preserve">или Мигель Алькайне (Miguel Alcaine), Региональное отделение МСЭ в Гондурасе, </w:t>
      </w:r>
      <w:hyperlink r:id="rId24" w:history="1">
        <w:r w:rsidRPr="004D64A1">
          <w:rPr>
            <w:rStyle w:val="Hyperlink"/>
            <w:bCs/>
            <w:lang w:val="ru-RU"/>
          </w:rPr>
          <w:t>miguel.alcaine@itu.int</w:t>
        </w:r>
      </w:hyperlink>
      <w:r w:rsidRPr="004D64A1">
        <w:rPr>
          <w:bCs/>
          <w:lang w:val="ru-RU"/>
        </w:rPr>
        <w:t>.</w:t>
      </w:r>
    </w:p>
    <w:p w:rsidR="0059063E" w:rsidRPr="0059063E" w:rsidRDefault="0059063E" w:rsidP="0059063E">
      <w:pPr>
        <w:pStyle w:val="Heading1"/>
        <w:rPr>
          <w:lang w:val="ru-RU"/>
        </w:rPr>
      </w:pPr>
      <w:bookmarkStart w:id="100" w:name="_Toc370394208"/>
      <w:bookmarkStart w:id="101" w:name="_Toc370477291"/>
      <w:bookmarkStart w:id="102" w:name="_Toc370477570"/>
      <w:bookmarkStart w:id="103" w:name="_Toc377482110"/>
      <w:r w:rsidRPr="0059063E">
        <w:rPr>
          <w:lang w:val="ru-RU"/>
        </w:rPr>
        <w:t>7</w:t>
      </w:r>
      <w:r w:rsidRPr="0059063E">
        <w:rPr>
          <w:lang w:val="ru-RU"/>
        </w:rPr>
        <w:tab/>
        <w:t>Руководство для Государств-Членов</w:t>
      </w:r>
      <w:bookmarkEnd w:id="100"/>
      <w:bookmarkEnd w:id="101"/>
      <w:bookmarkEnd w:id="102"/>
      <w:bookmarkEnd w:id="103"/>
    </w:p>
    <w:p w:rsidR="0059063E" w:rsidRPr="0044642E" w:rsidRDefault="0059063E" w:rsidP="004D64A1">
      <w:pPr>
        <w:rPr>
          <w:rFonts w:cs="VendettaLight"/>
          <w:bCs/>
          <w:color w:val="000000"/>
          <w:lang w:val="ru-RU"/>
        </w:rPr>
      </w:pPr>
      <w:r w:rsidRPr="0044642E">
        <w:rPr>
          <w:bCs/>
          <w:lang w:val="ru-RU"/>
        </w:rPr>
        <w:t>7.1</w:t>
      </w:r>
      <w:r w:rsidRPr="0044642E">
        <w:rPr>
          <w:bCs/>
          <w:lang w:val="ru-RU"/>
        </w:rPr>
        <w:tab/>
        <w:t>Государствам-Членам рекомендуется принять Руководящие указания по ЭМП, установленные ICNIRP (поддержанные ВОЗ</w:t>
      </w:r>
      <w:r w:rsidRPr="0044642E">
        <w:rPr>
          <w:rStyle w:val="FootnoteReference"/>
          <w:bCs/>
          <w:szCs w:val="19"/>
          <w:lang w:val="ru-RU"/>
        </w:rPr>
        <w:footnoteReference w:id="13"/>
      </w:r>
      <w:r w:rsidRPr="0044642E">
        <w:rPr>
          <w:bCs/>
          <w:lang w:val="ru-RU"/>
        </w:rPr>
        <w:t xml:space="preserve"> и МСЭ</w:t>
      </w:r>
      <w:r w:rsidRPr="0044642E">
        <w:rPr>
          <w:rStyle w:val="FootnoteReference"/>
          <w:bCs/>
          <w:szCs w:val="19"/>
          <w:lang w:val="ru-RU"/>
        </w:rPr>
        <w:footnoteReference w:id="14"/>
      </w:r>
      <w:r w:rsidRPr="0044642E">
        <w:rPr>
          <w:bCs/>
          <w:lang w:val="ru-RU"/>
        </w:rPr>
        <w:t>), а не принимать собственные пороговые значения. ВОЗ в рамках своего Международного проекта по ЭМП разработала основу для разработки стандартов ЭМП на базе показателей здоровья, которые можно применять, если национальные стандарты отклоняются от международных рекомендаций</w:t>
      </w:r>
      <w:r w:rsidRPr="0044642E">
        <w:rPr>
          <w:rStyle w:val="FootnoteReference"/>
          <w:bCs/>
          <w:lang w:val="ru-RU"/>
        </w:rPr>
        <w:footnoteReference w:id="15"/>
      </w:r>
      <w:r w:rsidRPr="0044642E">
        <w:rPr>
          <w:bCs/>
          <w:lang w:val="ru-RU"/>
        </w:rPr>
        <w:t>. ВОЗ признает, что страны могут сделать выбор в пользу иной политики управления рисками в отношении воздействия РЧ.</w:t>
      </w:r>
    </w:p>
    <w:p w:rsidR="0059063E" w:rsidRPr="004D64A1" w:rsidRDefault="0059063E" w:rsidP="004D64A1">
      <w:pPr>
        <w:rPr>
          <w:rFonts w:cs="VendettaLight"/>
          <w:color w:val="000000"/>
          <w:lang w:val="ru-RU"/>
        </w:rPr>
      </w:pPr>
      <w:r w:rsidRPr="004D64A1">
        <w:rPr>
          <w:rFonts w:cs="VendettaLight"/>
          <w:color w:val="000000"/>
          <w:lang w:val="ru-RU"/>
        </w:rPr>
        <w:lastRenderedPageBreak/>
        <w:t>7.2</w:t>
      </w:r>
      <w:r w:rsidRPr="004D64A1">
        <w:rPr>
          <w:rFonts w:cs="VendettaLight"/>
          <w:color w:val="000000"/>
          <w:lang w:val="ru-RU"/>
        </w:rPr>
        <w:tab/>
        <w:t xml:space="preserve">На страновом уровне нормы ограничения воздействия ЭМП можно классифицировать как добровольные или обязательные инструменты. </w:t>
      </w:r>
    </w:p>
    <w:p w:rsidR="0059063E" w:rsidRPr="004D64A1" w:rsidRDefault="0059063E" w:rsidP="004D64A1">
      <w:pPr>
        <w:rPr>
          <w:rFonts w:cs="VendettaLight"/>
          <w:color w:val="000000"/>
          <w:lang w:val="ru-RU"/>
        </w:rPr>
      </w:pPr>
      <w:r w:rsidRPr="004D64A1">
        <w:rPr>
          <w:rFonts w:cs="VendettaLight"/>
          <w:color w:val="000000"/>
          <w:lang w:val="ru-RU"/>
        </w:rPr>
        <w:t>7.2.1</w:t>
      </w:r>
      <w:r w:rsidRPr="004D64A1">
        <w:rPr>
          <w:rFonts w:cs="VendettaLight"/>
          <w:color w:val="000000"/>
          <w:lang w:val="ru-RU"/>
        </w:rPr>
        <w:tab/>
        <w:t xml:space="preserve">К добровольным инструментам относятся руководящие указания, инструкции и рекомендации, которые не являются юридически обязательными и обычно не имеют юридической силы, например международные руководящие указания, такие как разработанные ICNIRP, IEEE и другими организациями, которые обеспечивают руководство для национальных учреждений и приобретают обязательную юридическую силу, только если страна включит их в свое законодательство. </w:t>
      </w:r>
    </w:p>
    <w:p w:rsidR="0059063E" w:rsidRPr="004D64A1" w:rsidRDefault="0059063E" w:rsidP="004D64A1">
      <w:pPr>
        <w:rPr>
          <w:rFonts w:cs="VendettaLight"/>
          <w:color w:val="000000"/>
          <w:lang w:val="ru-RU"/>
        </w:rPr>
      </w:pPr>
      <w:r w:rsidRPr="004D64A1">
        <w:rPr>
          <w:rFonts w:cs="VendettaLight"/>
          <w:color w:val="000000"/>
          <w:lang w:val="ru-RU"/>
        </w:rPr>
        <w:t>7.2.2</w:t>
      </w:r>
      <w:r w:rsidRPr="004D64A1">
        <w:rPr>
          <w:rFonts w:cs="VendettaLight"/>
          <w:color w:val="000000"/>
          <w:lang w:val="ru-RU"/>
        </w:rPr>
        <w:tab/>
        <w:t>К обязательным или имеющим обязательную юридическую силу нормативно-правовым документам относятся законы, акты, нормы, распоряжения, решения и указы, и для них необходима законодательная основа.</w:t>
      </w:r>
    </w:p>
    <w:p w:rsidR="0059063E" w:rsidRPr="004D64A1" w:rsidRDefault="0059063E" w:rsidP="004D64A1">
      <w:pPr>
        <w:rPr>
          <w:rFonts w:cs="VendettaLight"/>
          <w:color w:val="000000"/>
          <w:lang w:val="ru-RU"/>
        </w:rPr>
      </w:pPr>
      <w:r w:rsidRPr="004D64A1">
        <w:rPr>
          <w:rFonts w:cs="VendettaLight"/>
          <w:color w:val="000000"/>
          <w:lang w:val="ru-RU"/>
        </w:rPr>
        <w:t>7.2.3</w:t>
      </w:r>
      <w:r w:rsidRPr="004D64A1">
        <w:rPr>
          <w:rFonts w:cs="VendettaLight"/>
          <w:color w:val="000000"/>
          <w:lang w:val="ru-RU"/>
        </w:rPr>
        <w:tab/>
        <w:t>В рамках Проекта ВОЗ по ЭМП было сочтено, что полезнее было бы преобразовать существующие международные стандарты в типовое законодательство, что позволило бы национальным органам власти при желании включить их в национальное законодательство. Кроме того, типовое законодательство ВОЗ</w:t>
      </w:r>
      <w:r w:rsidRPr="004D64A1">
        <w:rPr>
          <w:rStyle w:val="FootnoteReference"/>
          <w:lang w:val="ru-RU"/>
        </w:rPr>
        <w:footnoteReference w:id="16"/>
      </w:r>
      <w:r w:rsidRPr="004D64A1">
        <w:rPr>
          <w:rFonts w:cs="VendettaLight"/>
          <w:color w:val="000000"/>
          <w:lang w:val="ru-RU"/>
        </w:rPr>
        <w:t xml:space="preserve"> дает желающим возможность разработать собственные национальные стандарты на его основе.</w:t>
      </w:r>
    </w:p>
    <w:p w:rsidR="0059063E" w:rsidRPr="004D64A1" w:rsidRDefault="0059063E" w:rsidP="004D64A1">
      <w:pPr>
        <w:rPr>
          <w:lang w:val="ru-RU"/>
        </w:rPr>
      </w:pPr>
      <w:r w:rsidRPr="004D64A1">
        <w:rPr>
          <w:rFonts w:cs="VendettaMediumItalic"/>
          <w:iCs/>
          <w:color w:val="000000"/>
          <w:lang w:val="ru-RU"/>
        </w:rPr>
        <w:t>7.3</w:t>
      </w:r>
      <w:r w:rsidRPr="004D64A1">
        <w:rPr>
          <w:rFonts w:cs="VendettaMediumItalic"/>
          <w:iCs/>
          <w:color w:val="000000"/>
          <w:lang w:val="ru-RU"/>
        </w:rPr>
        <w:tab/>
        <w:t>Стандарты измерения, указывающие, как можно обеспечить соблюдение стандартов воздействия или излучения, базируются на стандартах МЭК,</w:t>
      </w:r>
      <w:r w:rsidRPr="004D64A1">
        <w:rPr>
          <w:rFonts w:cs="VendettaLight"/>
          <w:color w:val="000000"/>
          <w:lang w:val="ru-RU"/>
        </w:rPr>
        <w:t xml:space="preserve"> IEEE/ICES и CENELEC, хотя отдельные страны могут адаптировать их в соответствии со своими национальными стандартами. Они могут содержать указания относительно того, как измерять воздействие ЭМП, вызываемое установкой или продуктом, например фантомные измерения значений SAR для мобильных телефонов</w:t>
      </w:r>
      <w:r w:rsidRPr="004D64A1">
        <w:rPr>
          <w:lang w:val="ru-RU"/>
        </w:rPr>
        <w:t>:</w:t>
      </w:r>
    </w:p>
    <w:p w:rsidR="0059063E" w:rsidRPr="004D64A1" w:rsidRDefault="0059063E" w:rsidP="004D64A1">
      <w:pPr>
        <w:rPr>
          <w:rFonts w:cs="Consolas"/>
          <w:lang w:val="ru-RU"/>
        </w:rPr>
      </w:pPr>
      <w:r w:rsidRPr="004D64A1">
        <w:rPr>
          <w:rFonts w:cs="VendettaMediumItalic"/>
          <w:iCs/>
          <w:color w:val="000000"/>
          <w:lang w:val="ru-RU"/>
        </w:rPr>
        <w:t>7.3.1</w:t>
      </w:r>
      <w:r w:rsidRPr="004D64A1">
        <w:rPr>
          <w:rFonts w:cs="VendettaMediumItalic"/>
          <w:iCs/>
          <w:color w:val="000000"/>
          <w:lang w:val="ru-RU"/>
        </w:rPr>
        <w:tab/>
        <w:t xml:space="preserve">В главе 5.6 Справочника МСЭ по контролю за использованием спектра говорится, что обеспечение соблюдения правил, касающихся максимальных уровней неионизирующего излучения, создаваемых устройствами электросвязи, обычно поручается органу, ответственному за управление использованием спектра, </w:t>
      </w:r>
      <w:r w:rsidRPr="004D64A1">
        <w:rPr>
          <w:rFonts w:asciiTheme="minorHAnsi" w:eastAsia="SimSun" w:hAnsiTheme="minorHAnsi" w:cs="TimesNewRoman"/>
          <w:sz w:val="22"/>
          <w:lang w:val="ru-RU"/>
        </w:rPr>
        <w:t>используя имеющийся у него опыт в этой области</w:t>
      </w:r>
      <w:r w:rsidRPr="004D64A1">
        <w:rPr>
          <w:rFonts w:cs="Consolas"/>
          <w:lang w:val="ru-RU"/>
        </w:rPr>
        <w:t>. Из вкладов по опыту стран, представленных в настоящем отчете, явствует, что обеспечение соблюдения в основном осуществляется лицензирующими органами.</w:t>
      </w:r>
    </w:p>
    <w:p w:rsidR="0059063E" w:rsidRPr="004D64A1" w:rsidRDefault="0059063E" w:rsidP="004D64A1">
      <w:pPr>
        <w:rPr>
          <w:rFonts w:cs="Consolas"/>
          <w:szCs w:val="18"/>
          <w:lang w:val="ru-RU"/>
        </w:rPr>
      </w:pPr>
      <w:r w:rsidRPr="004D64A1">
        <w:rPr>
          <w:rFonts w:cs="Consolas"/>
          <w:szCs w:val="18"/>
          <w:lang w:val="ru-RU"/>
        </w:rPr>
        <w:t>7.3.2</w:t>
      </w:r>
      <w:r w:rsidRPr="004D64A1">
        <w:rPr>
          <w:rFonts w:cs="Consolas"/>
          <w:szCs w:val="18"/>
          <w:lang w:val="ru-RU"/>
        </w:rPr>
        <w:tab/>
        <w:t>Далее в Справочнике рекомендуется проводить измерения неионизирующего излучения следующим образом:</w:t>
      </w:r>
    </w:p>
    <w:p w:rsidR="0059063E" w:rsidRPr="0044642E" w:rsidRDefault="0059063E" w:rsidP="004D64A1">
      <w:pPr>
        <w:pStyle w:val="Enumlevel1"/>
        <w:rPr>
          <w:rFonts w:cs="Consolas"/>
          <w:lang w:val="ru-RU"/>
        </w:rPr>
      </w:pPr>
      <w:r w:rsidRPr="0044642E">
        <w:rPr>
          <w:rFonts w:cs="Consolas"/>
          <w:lang w:val="ru-RU"/>
        </w:rPr>
        <w:t>−</w:t>
      </w:r>
      <w:r w:rsidRPr="0044642E">
        <w:rPr>
          <w:rFonts w:cs="Consolas"/>
          <w:lang w:val="ru-RU"/>
        </w:rPr>
        <w:tab/>
      </w:r>
      <w:r w:rsidRPr="0044642E">
        <w:rPr>
          <w:lang w:val="ru-RU"/>
        </w:rPr>
        <w:t>в связи с выдачей радиолицензии</w:t>
      </w:r>
      <w:r w:rsidRPr="0044642E">
        <w:rPr>
          <w:rFonts w:cs="Consolas"/>
          <w:lang w:val="ru-RU"/>
        </w:rPr>
        <w:t>;</w:t>
      </w:r>
    </w:p>
    <w:p w:rsidR="0059063E" w:rsidRPr="0044642E" w:rsidRDefault="0059063E" w:rsidP="004D64A1">
      <w:pPr>
        <w:pStyle w:val="Enumlevel1"/>
        <w:rPr>
          <w:rFonts w:cs="Consolas"/>
          <w:lang w:val="ru-RU"/>
        </w:rPr>
      </w:pPr>
      <w:r w:rsidRPr="0044642E">
        <w:rPr>
          <w:rFonts w:cs="Consolas"/>
          <w:lang w:val="ru-RU"/>
        </w:rPr>
        <w:t>−</w:t>
      </w:r>
      <w:r w:rsidRPr="0044642E">
        <w:rPr>
          <w:rFonts w:cs="Consolas"/>
          <w:b/>
          <w:lang w:val="ru-RU"/>
        </w:rPr>
        <w:tab/>
      </w:r>
      <w:r w:rsidRPr="0044642E">
        <w:rPr>
          <w:lang w:val="ru-RU"/>
        </w:rPr>
        <w:t>регулярно, в соответствии с планом контроля и слежения за неионизирующим излучением; или</w:t>
      </w:r>
    </w:p>
    <w:p w:rsidR="0059063E" w:rsidRPr="0044642E" w:rsidRDefault="0059063E" w:rsidP="004D64A1">
      <w:pPr>
        <w:pStyle w:val="Enumlevel1"/>
        <w:rPr>
          <w:rFonts w:cs="Consolas"/>
          <w:lang w:val="ru-RU"/>
        </w:rPr>
      </w:pPr>
      <w:r w:rsidRPr="0044642E">
        <w:rPr>
          <w:rFonts w:cs="Consolas"/>
          <w:lang w:val="ru-RU"/>
        </w:rPr>
        <w:t>−</w:t>
      </w:r>
      <w:r w:rsidRPr="0044642E">
        <w:rPr>
          <w:rFonts w:cs="Consolas"/>
          <w:lang w:val="ru-RU"/>
        </w:rPr>
        <w:tab/>
      </w:r>
      <w:r w:rsidRPr="0044642E">
        <w:rPr>
          <w:lang w:val="ru-RU"/>
        </w:rPr>
        <w:t>имея достаточные основания, то есть в ответ на запрос общественности или официальных органов</w:t>
      </w:r>
      <w:r w:rsidRPr="001F3A1E">
        <w:rPr>
          <w:rStyle w:val="FootnoteReference"/>
          <w:lang w:val="ru-RU"/>
        </w:rPr>
        <w:footnoteReference w:id="17"/>
      </w:r>
      <w:r w:rsidRPr="0044642E">
        <w:rPr>
          <w:lang w:val="ru-RU"/>
        </w:rPr>
        <w:t>.</w:t>
      </w:r>
    </w:p>
    <w:p w:rsidR="0059063E" w:rsidRPr="004D64A1" w:rsidRDefault="0059063E" w:rsidP="0059063E">
      <w:pPr>
        <w:rPr>
          <w:rFonts w:eastAsia="Times New Roman" w:cs="Arial"/>
          <w:bCs/>
          <w:szCs w:val="19"/>
          <w:lang w:val="ru-RU" w:eastAsia="en-US"/>
        </w:rPr>
      </w:pPr>
      <w:r w:rsidRPr="004D64A1">
        <w:rPr>
          <w:rFonts w:eastAsia="Times New Roman" w:cs="Arial"/>
          <w:bCs/>
          <w:szCs w:val="19"/>
          <w:lang w:val="ru-RU" w:eastAsia="en-US"/>
        </w:rPr>
        <w:t>7.4</w:t>
      </w:r>
      <w:r w:rsidRPr="004D64A1">
        <w:rPr>
          <w:rFonts w:eastAsia="Times New Roman" w:cs="Arial"/>
          <w:bCs/>
          <w:szCs w:val="19"/>
          <w:lang w:val="ru-RU" w:eastAsia="en-US"/>
        </w:rPr>
        <w:tab/>
        <w:t>Подлежат измерению следующие источники излучения:</w:t>
      </w:r>
    </w:p>
    <w:p w:rsidR="0059063E" w:rsidRPr="0044642E" w:rsidRDefault="0059063E" w:rsidP="004D64A1">
      <w:pPr>
        <w:pStyle w:val="Enumlevel1"/>
        <w:rPr>
          <w:lang w:val="ru-RU"/>
        </w:rPr>
      </w:pPr>
      <w:r w:rsidRPr="0044642E">
        <w:rPr>
          <w:lang w:val="ru-RU"/>
        </w:rPr>
        <w:t>−</w:t>
      </w:r>
      <w:r w:rsidRPr="0044642E">
        <w:rPr>
          <w:lang w:val="ru-RU"/>
        </w:rPr>
        <w:tab/>
        <w:t>радиовещательные и сотовые базовые станции;</w:t>
      </w:r>
    </w:p>
    <w:p w:rsidR="0059063E" w:rsidRPr="0044642E" w:rsidRDefault="0059063E" w:rsidP="004D64A1">
      <w:pPr>
        <w:pStyle w:val="Enumlevel1"/>
        <w:rPr>
          <w:lang w:val="ru-RU"/>
        </w:rPr>
      </w:pPr>
      <w:r w:rsidRPr="0044642E">
        <w:rPr>
          <w:lang w:val="ru-RU"/>
        </w:rPr>
        <w:t>−</w:t>
      </w:r>
      <w:r w:rsidRPr="0044642E">
        <w:rPr>
          <w:lang w:val="ru-RU"/>
        </w:rPr>
        <w:tab/>
        <w:t xml:space="preserve">любительские радиостанции; </w:t>
      </w:r>
    </w:p>
    <w:p w:rsidR="0059063E" w:rsidRPr="0044642E" w:rsidRDefault="0059063E" w:rsidP="004D64A1">
      <w:pPr>
        <w:pStyle w:val="Enumlevel1"/>
        <w:rPr>
          <w:bCs/>
          <w:szCs w:val="16"/>
          <w:u w:val="single"/>
          <w:lang w:val="ru-RU"/>
        </w:rPr>
      </w:pPr>
      <w:r w:rsidRPr="0044642E">
        <w:rPr>
          <w:lang w:val="ru-RU"/>
        </w:rPr>
        <w:t>−</w:t>
      </w:r>
      <w:r w:rsidRPr="0044642E">
        <w:rPr>
          <w:lang w:val="ru-RU"/>
        </w:rPr>
        <w:tab/>
        <w:t>портативное оборудование (проверяются только предоставленные поставщиком экземпляры или технические спецификации, поскольку измерение для портативного оборудования может быть дорогостоящим)</w:t>
      </w:r>
      <w:r w:rsidRPr="0044642E">
        <w:rPr>
          <w:szCs w:val="16"/>
          <w:lang w:val="ru-RU"/>
        </w:rPr>
        <w:t>.</w:t>
      </w:r>
    </w:p>
    <w:p w:rsidR="0059063E" w:rsidRPr="0059063E" w:rsidRDefault="0059063E" w:rsidP="00AD7F65">
      <w:pPr>
        <w:pageBreakBefore/>
        <w:rPr>
          <w:lang w:val="ru-RU"/>
        </w:rPr>
      </w:pPr>
      <w:bookmarkStart w:id="104" w:name="_Toc370477292"/>
      <w:bookmarkStart w:id="105" w:name="_Toc370477571"/>
      <w:bookmarkStart w:id="106" w:name="_Toc377482111"/>
      <w:r w:rsidRPr="0059063E">
        <w:rPr>
          <w:lang w:val="ru-RU"/>
        </w:rPr>
        <w:lastRenderedPageBreak/>
        <w:t>7.5</w:t>
      </w:r>
      <w:r w:rsidRPr="0059063E">
        <w:rPr>
          <w:lang w:val="ru-RU"/>
        </w:rPr>
        <w:tab/>
        <w:t>Процедура</w:t>
      </w:r>
      <w:bookmarkEnd w:id="104"/>
      <w:bookmarkEnd w:id="105"/>
      <w:bookmarkEnd w:id="106"/>
    </w:p>
    <w:p w:rsidR="0059063E" w:rsidRPr="004D64A1" w:rsidRDefault="0059063E" w:rsidP="0059063E">
      <w:pPr>
        <w:rPr>
          <w:bCs/>
          <w:szCs w:val="19"/>
          <w:u w:val="single"/>
          <w:lang w:val="ru-RU"/>
        </w:rPr>
      </w:pPr>
      <w:r w:rsidRPr="004D64A1">
        <w:rPr>
          <w:rFonts w:cs="VendettaLight"/>
          <w:bCs/>
          <w:color w:val="000000"/>
          <w:szCs w:val="19"/>
          <w:lang w:val="ru-RU"/>
        </w:rPr>
        <w:t>7.5.1</w:t>
      </w:r>
      <w:r w:rsidRPr="004D64A1">
        <w:rPr>
          <w:rFonts w:cs="VendettaLight"/>
          <w:bCs/>
          <w:color w:val="000000"/>
          <w:szCs w:val="19"/>
          <w:lang w:val="ru-RU"/>
        </w:rPr>
        <w:tab/>
        <w:t>Должны существовать процедуры по обеспечению соблюдения обязательных стандартов. В отношении стандартов воздействия ЭМП обычно какому-либо органу (который может быть национальным или частным) поручается проверять соблюдение путем расчетов и измерений, производимых на рабочих местах и в других зонах. В отношении предельных значений воздействия соблюдение их устройствами обычно сертифицируется производителем (измерение SAR).</w:t>
      </w:r>
    </w:p>
    <w:p w:rsidR="0059063E" w:rsidRPr="004D64A1" w:rsidRDefault="0059063E" w:rsidP="0059063E">
      <w:pPr>
        <w:rPr>
          <w:bCs/>
          <w:szCs w:val="19"/>
          <w:u w:val="single"/>
          <w:lang w:val="ru-RU"/>
        </w:rPr>
      </w:pPr>
      <w:r w:rsidRPr="004D64A1">
        <w:rPr>
          <w:bCs/>
          <w:szCs w:val="19"/>
          <w:lang w:val="ru-RU"/>
        </w:rPr>
        <w:t>7.5.2</w:t>
      </w:r>
      <w:r w:rsidRPr="004D64A1">
        <w:rPr>
          <w:bCs/>
          <w:szCs w:val="19"/>
          <w:lang w:val="ru-RU"/>
        </w:rPr>
        <w:tab/>
        <w:t>Руководство относительно того, как оценивать воздействие на человека в реальных ситуациях, основывается в настоящее время на существующих стандартах МЭК/CENELEC. Ввиду этого Государствам-Членам предлагается следовать стандартам МЭК/CENELEC. Существует также Рекомендация (02)04 (пересмотренная в Братиславе, 2003 г., Хельсинки, 2007 г., об измерении неионизирующего электромагнитного излучения) Комитета по электронным средствам связи (КЭСС) при Европейской конференции администраций почт и связи (СЕПТ), к которой можно обратиться.</w:t>
      </w:r>
    </w:p>
    <w:p w:rsidR="0059063E" w:rsidRPr="004D64A1" w:rsidRDefault="0059063E" w:rsidP="0059063E">
      <w:pPr>
        <w:rPr>
          <w:rFonts w:cs="Consolas"/>
          <w:bCs/>
          <w:szCs w:val="19"/>
          <w:lang w:val="ru-RU"/>
        </w:rPr>
      </w:pPr>
      <w:r w:rsidRPr="004D64A1">
        <w:rPr>
          <w:rFonts w:cs="Consolas"/>
          <w:bCs/>
          <w:szCs w:val="19"/>
          <w:lang w:val="ru-RU"/>
        </w:rPr>
        <w:t>7.5.3</w:t>
      </w:r>
      <w:r w:rsidRPr="004D64A1">
        <w:rPr>
          <w:rFonts w:cs="Consolas"/>
          <w:bCs/>
          <w:szCs w:val="19"/>
          <w:lang w:val="ru-RU"/>
        </w:rPr>
        <w:tab/>
      </w:r>
      <w:r w:rsidRPr="004D64A1">
        <w:rPr>
          <w:rFonts w:cs="VendettaMediumItalic"/>
          <w:bCs/>
          <w:iCs/>
          <w:color w:val="000000"/>
          <w:szCs w:val="19"/>
          <w:lang w:val="ru-RU"/>
        </w:rPr>
        <w:t xml:space="preserve">В главе 5.6 Справочника МСЭ по контролю за использованием спектра </w:t>
      </w:r>
      <w:r w:rsidRPr="004D64A1">
        <w:rPr>
          <w:bCs/>
          <w:lang w:val="ru-RU"/>
        </w:rPr>
        <w:t>излагаются вопросы, связанные с процедурами измерения, выбором местоположения, расположением инструментов, мерами предосторожности, оборудованием для использования, факторами погрешностей и форматом отчетности</w:t>
      </w:r>
      <w:r w:rsidRPr="004D64A1">
        <w:rPr>
          <w:rFonts w:cs="Consolas"/>
          <w:bCs/>
          <w:szCs w:val="19"/>
          <w:lang w:val="ru-RU"/>
        </w:rPr>
        <w:t>.</w:t>
      </w:r>
    </w:p>
    <w:p w:rsidR="0059063E" w:rsidRPr="004D64A1" w:rsidRDefault="0059063E" w:rsidP="0059063E">
      <w:pPr>
        <w:rPr>
          <w:rFonts w:cs="Consolas"/>
          <w:bCs/>
          <w:szCs w:val="19"/>
          <w:lang w:val="ru-RU"/>
        </w:rPr>
      </w:pPr>
      <w:r w:rsidRPr="004D64A1">
        <w:rPr>
          <w:rFonts w:cs="Consolas"/>
          <w:bCs/>
          <w:szCs w:val="19"/>
          <w:lang w:val="ru-RU"/>
        </w:rPr>
        <w:t>7.5.4</w:t>
      </w:r>
      <w:r w:rsidRPr="004D64A1">
        <w:rPr>
          <w:rFonts w:cs="Consolas"/>
          <w:bCs/>
          <w:szCs w:val="19"/>
          <w:lang w:val="ru-RU"/>
        </w:rPr>
        <w:tab/>
        <w:t>Рекомендуется разработать рекомендации по контролированию оборота сотовых телефонов в стране или регионе для избежания появления несоответствующего или не обеспечивающего соблюдение оборудования.</w:t>
      </w:r>
    </w:p>
    <w:p w:rsidR="0059063E" w:rsidRPr="004D64A1" w:rsidRDefault="0059063E" w:rsidP="0059063E">
      <w:pPr>
        <w:rPr>
          <w:rFonts w:cs="Consolas"/>
          <w:bCs/>
          <w:szCs w:val="19"/>
          <w:lang w:val="ru-RU"/>
        </w:rPr>
      </w:pPr>
      <w:r w:rsidRPr="004D64A1">
        <w:rPr>
          <w:rFonts w:cs="Consolas"/>
          <w:bCs/>
          <w:szCs w:val="19"/>
          <w:lang w:val="ru-RU"/>
        </w:rPr>
        <w:t>7.5.5</w:t>
      </w:r>
      <w:r w:rsidRPr="004D64A1">
        <w:rPr>
          <w:rFonts w:cs="Consolas"/>
          <w:bCs/>
          <w:szCs w:val="19"/>
          <w:lang w:val="ru-RU"/>
        </w:rPr>
        <w:tab/>
        <w:t>Рекомендуется регулярно производить измерения излучения в качестве проверки соответствия. Странам также следует поощрять расположение инфраструктуры в одном месте и совместное ее использование во избежание чрезмерного роста числа антенн, чтобы сократить воздействие на человека и ликвидировать представление о вредных последствиях.</w:t>
      </w:r>
    </w:p>
    <w:p w:rsidR="0059063E" w:rsidRPr="0059063E" w:rsidRDefault="0059063E" w:rsidP="0059063E">
      <w:pPr>
        <w:pStyle w:val="Heading1"/>
        <w:rPr>
          <w:lang w:val="ru-RU"/>
        </w:rPr>
      </w:pPr>
      <w:bookmarkStart w:id="107" w:name="_Toc330816733"/>
      <w:bookmarkStart w:id="108" w:name="_Toc370394209"/>
      <w:bookmarkStart w:id="109" w:name="_Toc370477293"/>
      <w:bookmarkStart w:id="110" w:name="_Toc370477572"/>
      <w:bookmarkStart w:id="111" w:name="_Toc377482112"/>
      <w:r w:rsidRPr="0059063E">
        <w:rPr>
          <w:lang w:val="ru-RU"/>
        </w:rPr>
        <w:t>8</w:t>
      </w:r>
      <w:r w:rsidRPr="0059063E">
        <w:rPr>
          <w:lang w:val="ru-RU"/>
        </w:rPr>
        <w:tab/>
        <w:t>Заключение</w:t>
      </w:r>
      <w:bookmarkEnd w:id="107"/>
      <w:bookmarkEnd w:id="108"/>
      <w:bookmarkEnd w:id="109"/>
      <w:bookmarkEnd w:id="110"/>
      <w:bookmarkEnd w:id="111"/>
    </w:p>
    <w:p w:rsidR="0059063E" w:rsidRPr="004D64A1" w:rsidRDefault="0059063E" w:rsidP="0059063E">
      <w:pPr>
        <w:rPr>
          <w:bCs/>
          <w:szCs w:val="19"/>
          <w:lang w:val="ru-RU"/>
        </w:rPr>
      </w:pPr>
      <w:r w:rsidRPr="004D64A1">
        <w:rPr>
          <w:bCs/>
          <w:snapToGrid w:val="0"/>
          <w:szCs w:val="19"/>
          <w:lang w:val="ru-RU"/>
        </w:rPr>
        <w:t>8.1</w:t>
      </w:r>
      <w:r w:rsidRPr="004D64A1">
        <w:rPr>
          <w:bCs/>
          <w:snapToGrid w:val="0"/>
          <w:szCs w:val="19"/>
          <w:lang w:val="ru-RU"/>
        </w:rPr>
        <w:tab/>
        <w:t>Важно составлять отчеты, которые были бы доступны для населения. Их можно распространять имеющимися в стране средствами передачи информации. Необходимо сравнивать измеренные и рассчитанные показатели. Если измеренные или рассчитанные показатели выше значений ICNIRP, это следует указать в отчете, и необходимо применить соответствующие положения согласно действующим нормам.</w:t>
      </w:r>
    </w:p>
    <w:p w:rsidR="0059063E" w:rsidRPr="004D64A1" w:rsidRDefault="0059063E" w:rsidP="0059063E">
      <w:pPr>
        <w:rPr>
          <w:bCs/>
          <w:szCs w:val="19"/>
          <w:lang w:val="ru-RU"/>
        </w:rPr>
      </w:pPr>
      <w:r w:rsidRPr="004D64A1">
        <w:rPr>
          <w:bCs/>
          <w:szCs w:val="19"/>
          <w:lang w:val="ru-RU"/>
        </w:rPr>
        <w:t>8.2</w:t>
      </w:r>
      <w:r w:rsidRPr="004D64A1">
        <w:rPr>
          <w:bCs/>
          <w:szCs w:val="19"/>
          <w:lang w:val="ru-RU"/>
        </w:rPr>
        <w:tab/>
        <w:t>Рекомендуется включить в комплексный отчет об измерениях следующую информацию:</w:t>
      </w:r>
    </w:p>
    <w:p w:rsidR="0059063E" w:rsidRPr="0044642E" w:rsidRDefault="0059063E" w:rsidP="004D64A1">
      <w:pPr>
        <w:pStyle w:val="Enumlevel1"/>
        <w:rPr>
          <w:lang w:val="ru-RU"/>
        </w:rPr>
      </w:pPr>
      <w:r w:rsidRPr="0044642E">
        <w:rPr>
          <w:lang w:val="ru-RU"/>
        </w:rPr>
        <w:t>−</w:t>
      </w:r>
      <w:r w:rsidRPr="0044642E">
        <w:rPr>
          <w:lang w:val="ru-RU"/>
        </w:rPr>
        <w:tab/>
        <w:t>цель и задачи измерений;</w:t>
      </w:r>
    </w:p>
    <w:p w:rsidR="0059063E" w:rsidRPr="0044642E" w:rsidRDefault="0059063E" w:rsidP="004D64A1">
      <w:pPr>
        <w:pStyle w:val="Enumlevel1"/>
        <w:rPr>
          <w:lang w:val="ru-RU"/>
        </w:rPr>
      </w:pPr>
      <w:r w:rsidRPr="0044642E">
        <w:rPr>
          <w:lang w:val="ru-RU"/>
        </w:rPr>
        <w:t>−</w:t>
      </w:r>
      <w:r w:rsidRPr="0044642E">
        <w:rPr>
          <w:lang w:val="ru-RU"/>
        </w:rPr>
        <w:tab/>
        <w:t>дату, время начала и окончания;</w:t>
      </w:r>
    </w:p>
    <w:p w:rsidR="0059063E" w:rsidRPr="0044642E" w:rsidRDefault="0059063E" w:rsidP="004D64A1">
      <w:pPr>
        <w:pStyle w:val="Enumlevel1"/>
        <w:rPr>
          <w:lang w:val="ru-RU"/>
        </w:rPr>
      </w:pPr>
      <w:r w:rsidRPr="0044642E">
        <w:rPr>
          <w:lang w:val="ru-RU"/>
        </w:rPr>
        <w:t>−</w:t>
      </w:r>
      <w:r w:rsidRPr="0044642E">
        <w:rPr>
          <w:lang w:val="ru-RU"/>
        </w:rPr>
        <w:tab/>
        <w:t>географические координаты, высоту над уровнем моря и особые характеристики мест измерения;</w:t>
      </w:r>
    </w:p>
    <w:p w:rsidR="0059063E" w:rsidRPr="0044642E" w:rsidRDefault="0059063E" w:rsidP="004D64A1">
      <w:pPr>
        <w:pStyle w:val="Enumlevel1"/>
        <w:rPr>
          <w:lang w:val="ru-RU"/>
        </w:rPr>
      </w:pPr>
      <w:r w:rsidRPr="0044642E">
        <w:rPr>
          <w:lang w:val="ru-RU"/>
        </w:rPr>
        <w:t>−</w:t>
      </w:r>
      <w:r w:rsidRPr="0044642E">
        <w:rPr>
          <w:lang w:val="ru-RU"/>
        </w:rPr>
        <w:tab/>
        <w:t>список выявленных передатчиков;</w:t>
      </w:r>
    </w:p>
    <w:p w:rsidR="0059063E" w:rsidRPr="0044642E" w:rsidRDefault="0059063E" w:rsidP="004D64A1">
      <w:pPr>
        <w:pStyle w:val="Enumlevel1"/>
        <w:rPr>
          <w:lang w:val="ru-RU"/>
        </w:rPr>
      </w:pPr>
      <w:r w:rsidRPr="0044642E">
        <w:rPr>
          <w:lang w:val="ru-RU"/>
        </w:rPr>
        <w:t>−</w:t>
      </w:r>
      <w:r w:rsidRPr="0044642E">
        <w:rPr>
          <w:lang w:val="ru-RU"/>
        </w:rPr>
        <w:tab/>
        <w:t>использованное при измерениях оборудование, его серийные номера и статус калибровки;</w:t>
      </w:r>
    </w:p>
    <w:p w:rsidR="0059063E" w:rsidRPr="0044642E" w:rsidRDefault="0059063E" w:rsidP="004D64A1">
      <w:pPr>
        <w:pStyle w:val="Enumlevel1"/>
        <w:rPr>
          <w:lang w:val="ru-RU"/>
        </w:rPr>
      </w:pPr>
      <w:r w:rsidRPr="0044642E">
        <w:rPr>
          <w:lang w:val="ru-RU"/>
        </w:rPr>
        <w:t>−</w:t>
      </w:r>
      <w:r w:rsidRPr="0044642E">
        <w:rPr>
          <w:lang w:val="ru-RU"/>
        </w:rPr>
        <w:tab/>
        <w:t>погрешность измерений;</w:t>
      </w:r>
    </w:p>
    <w:p w:rsidR="0059063E" w:rsidRPr="0044642E" w:rsidRDefault="0059063E" w:rsidP="004D64A1">
      <w:pPr>
        <w:pStyle w:val="Enumlevel1"/>
        <w:rPr>
          <w:b/>
          <w:lang w:val="ru-RU"/>
        </w:rPr>
      </w:pPr>
      <w:r w:rsidRPr="0044642E">
        <w:rPr>
          <w:lang w:val="ru-RU"/>
        </w:rPr>
        <w:t>−</w:t>
      </w:r>
      <w:r w:rsidRPr="0044642E">
        <w:rPr>
          <w:lang w:val="ru-RU"/>
        </w:rPr>
        <w:tab/>
        <w:t>протокол или стандарт измерения; температуру или погодные условия, включая влажность</w:t>
      </w:r>
      <w:r w:rsidRPr="001F3A1E">
        <w:rPr>
          <w:rStyle w:val="FootnoteReference"/>
          <w:lang w:val="ru-RU"/>
        </w:rPr>
        <w:footnoteReference w:id="18"/>
      </w:r>
      <w:r w:rsidRPr="0044642E">
        <w:rPr>
          <w:lang w:val="ru-RU"/>
        </w:rPr>
        <w:t>.</w:t>
      </w:r>
    </w:p>
    <w:p w:rsidR="0059063E" w:rsidRPr="004D64A1" w:rsidRDefault="0059063E" w:rsidP="0059063E">
      <w:pPr>
        <w:rPr>
          <w:bCs/>
          <w:szCs w:val="19"/>
          <w:lang w:val="ru-RU"/>
        </w:rPr>
      </w:pPr>
      <w:r w:rsidRPr="004D64A1">
        <w:rPr>
          <w:bCs/>
          <w:szCs w:val="19"/>
          <w:lang w:val="ru-RU"/>
        </w:rPr>
        <w:t>8.3</w:t>
      </w:r>
      <w:r w:rsidRPr="004D64A1">
        <w:rPr>
          <w:bCs/>
          <w:szCs w:val="19"/>
          <w:lang w:val="ru-RU"/>
        </w:rPr>
        <w:tab/>
      </w:r>
      <w:r w:rsidRPr="004D64A1">
        <w:rPr>
          <w:bCs/>
          <w:lang w:val="ru-RU"/>
        </w:rPr>
        <w:t xml:space="preserve">Кроме того, чтобы отчет был более понятным, желательно использовать графическое представление результатов в виде карт, диаграмм и фотографий. Такие изображения могут </w:t>
      </w:r>
      <w:r w:rsidRPr="004D64A1">
        <w:rPr>
          <w:bCs/>
          <w:lang w:val="ru-RU"/>
        </w:rPr>
        <w:lastRenderedPageBreak/>
        <w:t>представлять результаты оценок в соответствующих местоположениях и, кроме того, относительное расположение основных передатчиков и мест, представляющих общественный интерес, таких как школы, больницы и жилые дома</w:t>
      </w:r>
      <w:r w:rsidRPr="004D64A1">
        <w:rPr>
          <w:rStyle w:val="FootnoteReference"/>
          <w:bCs/>
          <w:lang w:val="ru-RU"/>
        </w:rPr>
        <w:footnoteReference w:id="19"/>
      </w:r>
      <w:r w:rsidRPr="004D64A1">
        <w:rPr>
          <w:bCs/>
          <w:lang w:val="ru-RU"/>
        </w:rPr>
        <w:t>.</w:t>
      </w:r>
    </w:p>
    <w:p w:rsidR="0059063E" w:rsidRPr="004D64A1" w:rsidRDefault="0059063E" w:rsidP="0059063E">
      <w:pPr>
        <w:rPr>
          <w:bCs/>
          <w:szCs w:val="19"/>
          <w:lang w:val="ru-RU"/>
        </w:rPr>
      </w:pPr>
      <w:r w:rsidRPr="004D64A1">
        <w:rPr>
          <w:bCs/>
          <w:szCs w:val="19"/>
          <w:lang w:val="ru-RU"/>
        </w:rPr>
        <w:t>8.4</w:t>
      </w:r>
      <w:r w:rsidRPr="004D64A1">
        <w:rPr>
          <w:bCs/>
          <w:szCs w:val="19"/>
          <w:lang w:val="ru-RU"/>
        </w:rPr>
        <w:tab/>
        <w:t xml:space="preserve">Что касается осведомленности населения, важно предоставлять ему информацию о продуктах ЭМП для борьбы с представлениями о вредном воздействии. Информировать население о ввозе в страну оборудования для измерения ЭМП можно с указанием SAR. В этом отношении важна региональная координация между соседними странами для контроля за нелегальным ввозом этого оборудования; ввозиться в ту или иную страну должно только санкционированное оборудование. </w:t>
      </w:r>
    </w:p>
    <w:p w:rsidR="0059063E" w:rsidRPr="004D64A1" w:rsidRDefault="0059063E" w:rsidP="0059063E">
      <w:pPr>
        <w:rPr>
          <w:bCs/>
          <w:szCs w:val="19"/>
          <w:lang w:val="ru-RU"/>
        </w:rPr>
      </w:pPr>
      <w:r w:rsidRPr="004D64A1">
        <w:rPr>
          <w:bCs/>
          <w:szCs w:val="19"/>
          <w:lang w:val="ru-RU"/>
        </w:rPr>
        <w:t>8.5</w:t>
      </w:r>
      <w:r w:rsidRPr="004D64A1">
        <w:rPr>
          <w:bCs/>
          <w:szCs w:val="19"/>
          <w:lang w:val="ru-RU"/>
        </w:rPr>
        <w:tab/>
        <w:t>Следует отметить, что существует различие между базовой станцией, устанавливаемой поставщиком услуг, и портативным сотовым телефоном, который человек выбирает для себя сам. Контроль за этими устройствами осуществляется на различных уровнях (поставщики услуг и клиенты), что делает необходимым сотрудничество и обмен информацией между поставщиками услуг и клиентами. Поэтому рекомендуется делать доступными для населения</w:t>
      </w:r>
      <w:r w:rsidRPr="004D64A1">
        <w:rPr>
          <w:rStyle w:val="FootnoteReference"/>
          <w:bCs/>
          <w:szCs w:val="19"/>
          <w:lang w:val="ru-RU"/>
        </w:rPr>
        <w:footnoteReference w:id="20"/>
      </w:r>
      <w:r w:rsidRPr="004D64A1">
        <w:rPr>
          <w:bCs/>
          <w:szCs w:val="19"/>
          <w:lang w:val="ru-RU"/>
        </w:rPr>
        <w:t xml:space="preserve"> сведения о SAR каждого телефона для принятия осознанных решений. </w:t>
      </w:r>
    </w:p>
    <w:p w:rsidR="0059063E" w:rsidRPr="0059063E" w:rsidRDefault="0059063E" w:rsidP="0059063E">
      <w:pPr>
        <w:pStyle w:val="Heading1"/>
        <w:rPr>
          <w:lang w:val="ru-RU"/>
        </w:rPr>
      </w:pPr>
      <w:bookmarkStart w:id="112" w:name="_Toc368307337"/>
      <w:bookmarkStart w:id="113" w:name="_Toc369596150"/>
      <w:bookmarkStart w:id="114" w:name="_Toc370394210"/>
      <w:bookmarkStart w:id="115" w:name="_Toc370477294"/>
      <w:bookmarkStart w:id="116" w:name="_Toc370477573"/>
      <w:bookmarkStart w:id="117" w:name="_Toc377482113"/>
      <w:r w:rsidRPr="0059063E">
        <w:rPr>
          <w:lang w:val="ru-RU"/>
        </w:rPr>
        <w:t>9</w:t>
      </w:r>
      <w:r w:rsidRPr="0059063E">
        <w:rPr>
          <w:lang w:val="ru-RU"/>
        </w:rPr>
        <w:tab/>
      </w:r>
      <w:bookmarkEnd w:id="112"/>
      <w:bookmarkEnd w:id="113"/>
      <w:r w:rsidRPr="0059063E">
        <w:rPr>
          <w:lang w:val="ru-RU"/>
        </w:rPr>
        <w:t>Руководящие указания</w:t>
      </w:r>
      <w:bookmarkEnd w:id="114"/>
      <w:bookmarkEnd w:id="115"/>
      <w:bookmarkEnd w:id="116"/>
      <w:bookmarkEnd w:id="117"/>
    </w:p>
    <w:p w:rsidR="0059063E" w:rsidRPr="0059063E" w:rsidRDefault="0059063E" w:rsidP="0059063E">
      <w:pPr>
        <w:pStyle w:val="Heading2"/>
        <w:rPr>
          <w:lang w:val="ru-RU"/>
        </w:rPr>
      </w:pPr>
      <w:bookmarkStart w:id="118" w:name="_Toc370477295"/>
      <w:bookmarkStart w:id="119" w:name="_Toc370477574"/>
      <w:bookmarkStart w:id="120" w:name="_Toc377482114"/>
      <w:r w:rsidRPr="0059063E">
        <w:rPr>
          <w:lang w:val="ru-RU"/>
        </w:rPr>
        <w:t>9.1</w:t>
      </w:r>
      <w:r w:rsidRPr="0059063E">
        <w:rPr>
          <w:lang w:val="ru-RU"/>
        </w:rPr>
        <w:tab/>
        <w:t>Сфера применения Руководящих указаний</w:t>
      </w:r>
      <w:bookmarkEnd w:id="118"/>
      <w:bookmarkEnd w:id="119"/>
      <w:bookmarkEnd w:id="120"/>
    </w:p>
    <w:p w:rsidR="0059063E" w:rsidRPr="004D64A1" w:rsidRDefault="0059063E" w:rsidP="0059063E">
      <w:pPr>
        <w:rPr>
          <w:rFonts w:cs="Arial"/>
          <w:szCs w:val="19"/>
          <w:lang w:val="ru-RU"/>
        </w:rPr>
      </w:pPr>
      <w:r w:rsidRPr="004D64A1">
        <w:rPr>
          <w:rFonts w:cs="Arial"/>
          <w:szCs w:val="19"/>
          <w:lang w:val="ru-RU"/>
        </w:rPr>
        <w:t>Руководящие указания должны охватить следующие вопросы.</w:t>
      </w:r>
    </w:p>
    <w:p w:rsidR="0059063E" w:rsidRPr="004D64A1" w:rsidRDefault="0059063E" w:rsidP="0059063E">
      <w:pPr>
        <w:rPr>
          <w:rFonts w:cs="Arial"/>
          <w:szCs w:val="19"/>
          <w:lang w:val="ru-RU"/>
        </w:rPr>
      </w:pPr>
      <w:r w:rsidRPr="004D64A1">
        <w:rPr>
          <w:rFonts w:cs="Arial"/>
          <w:szCs w:val="19"/>
          <w:lang w:val="ru-RU"/>
        </w:rPr>
        <w:t>9.1.1</w:t>
      </w:r>
      <w:r w:rsidRPr="004D64A1">
        <w:rPr>
          <w:rFonts w:cs="Arial"/>
          <w:szCs w:val="19"/>
          <w:lang w:val="ru-RU"/>
        </w:rPr>
        <w:tab/>
        <w:t xml:space="preserve">Регуляторная политика, </w:t>
      </w:r>
      <w:r w:rsidRPr="004D64A1">
        <w:rPr>
          <w:lang w:val="ru-RU"/>
        </w:rPr>
        <w:t>касающаяся воздействия электромагнитных полей</w:t>
      </w:r>
      <w:r w:rsidRPr="004D64A1">
        <w:rPr>
          <w:rFonts w:cs="Arial"/>
          <w:szCs w:val="19"/>
          <w:lang w:val="ru-RU"/>
        </w:rPr>
        <w:t xml:space="preserve"> </w:t>
      </w:r>
      <w:r w:rsidRPr="004D64A1">
        <w:rPr>
          <w:lang w:val="ru-RU"/>
        </w:rPr>
        <w:t>на человека, которую следует рассматривать или осуществлять для выдачи разрешений на установку станций радиосвязи</w:t>
      </w:r>
      <w:r w:rsidRPr="004D64A1">
        <w:rPr>
          <w:szCs w:val="19"/>
          <w:lang w:val="ru-RU"/>
        </w:rPr>
        <w:t>.</w:t>
      </w:r>
      <w:r w:rsidRPr="004D64A1">
        <w:rPr>
          <w:rFonts w:cs="Arial"/>
          <w:szCs w:val="19"/>
          <w:lang w:val="ru-RU"/>
        </w:rPr>
        <w:t xml:space="preserve"> </w:t>
      </w:r>
    </w:p>
    <w:p w:rsidR="0059063E" w:rsidRPr="004D64A1" w:rsidRDefault="0059063E" w:rsidP="0059063E">
      <w:pPr>
        <w:rPr>
          <w:rFonts w:cs="Arial"/>
          <w:szCs w:val="19"/>
          <w:lang w:val="ru-RU"/>
        </w:rPr>
      </w:pPr>
      <w:r w:rsidRPr="004D64A1">
        <w:rPr>
          <w:rFonts w:cs="Arial"/>
          <w:szCs w:val="19"/>
          <w:lang w:val="ru-RU"/>
        </w:rPr>
        <w:t>9.1.2</w:t>
      </w:r>
      <w:r w:rsidRPr="004D64A1">
        <w:rPr>
          <w:rFonts w:cs="Arial"/>
          <w:szCs w:val="19"/>
          <w:lang w:val="ru-RU"/>
        </w:rPr>
        <w:tab/>
      </w:r>
      <w:r w:rsidRPr="004D64A1">
        <w:rPr>
          <w:lang w:val="ru-RU"/>
        </w:rPr>
        <w:t>Описание стратегий и методов, применяемых для повышения уровня информированности населения и предоставления информации населению о воздействии электромагнитных полей, создаваемых системами радиосвязи</w:t>
      </w:r>
      <w:r w:rsidRPr="004D64A1">
        <w:rPr>
          <w:rFonts w:cs="Arial"/>
          <w:szCs w:val="19"/>
          <w:lang w:val="ru-RU"/>
        </w:rPr>
        <w:t>.</w:t>
      </w:r>
    </w:p>
    <w:p w:rsidR="0059063E" w:rsidRPr="0059063E" w:rsidRDefault="0059063E" w:rsidP="0059063E">
      <w:pPr>
        <w:pStyle w:val="Heading2"/>
        <w:rPr>
          <w:lang w:val="ru-RU"/>
        </w:rPr>
      </w:pPr>
      <w:bookmarkStart w:id="121" w:name="_Toc370477296"/>
      <w:bookmarkStart w:id="122" w:name="_Toc370477575"/>
      <w:bookmarkStart w:id="123" w:name="_Toc377482115"/>
      <w:r w:rsidRPr="0059063E">
        <w:rPr>
          <w:lang w:val="ru-RU"/>
        </w:rPr>
        <w:t>9.2</w:t>
      </w:r>
      <w:r w:rsidRPr="0059063E">
        <w:rPr>
          <w:lang w:val="ru-RU"/>
        </w:rPr>
        <w:tab/>
        <w:t>Цели Руководящих указаний</w:t>
      </w:r>
      <w:bookmarkEnd w:id="121"/>
      <w:bookmarkEnd w:id="122"/>
      <w:bookmarkEnd w:id="123"/>
    </w:p>
    <w:p w:rsidR="0059063E" w:rsidRPr="004D64A1" w:rsidRDefault="0059063E" w:rsidP="0059063E">
      <w:pPr>
        <w:rPr>
          <w:rFonts w:cs="Arial"/>
          <w:bCs/>
          <w:szCs w:val="19"/>
          <w:lang w:val="ru-RU"/>
        </w:rPr>
      </w:pPr>
      <w:r w:rsidRPr="004D64A1">
        <w:rPr>
          <w:rFonts w:cs="Arial"/>
          <w:bCs/>
          <w:szCs w:val="19"/>
          <w:lang w:val="ru-RU"/>
        </w:rPr>
        <w:t>9.2.1</w:t>
      </w:r>
      <w:r w:rsidRPr="004D64A1">
        <w:rPr>
          <w:rFonts w:cs="Arial"/>
          <w:bCs/>
          <w:szCs w:val="19"/>
          <w:lang w:val="ru-RU"/>
        </w:rPr>
        <w:tab/>
        <w:t xml:space="preserve">Настоящие Руководящие указания предназначены для ориентирования Государств-Членов при рассмотрении вопросов восприятия воздействия ЭМП на человека. </w:t>
      </w:r>
    </w:p>
    <w:p w:rsidR="0059063E" w:rsidRPr="004D64A1" w:rsidRDefault="0059063E" w:rsidP="0059063E">
      <w:pPr>
        <w:keepNext/>
        <w:rPr>
          <w:rFonts w:cs="Arial"/>
          <w:bCs/>
          <w:szCs w:val="19"/>
          <w:lang w:val="ru-RU"/>
        </w:rPr>
      </w:pPr>
      <w:r w:rsidRPr="004D64A1">
        <w:rPr>
          <w:rFonts w:cs="Arial"/>
          <w:bCs/>
          <w:szCs w:val="19"/>
          <w:lang w:val="ru-RU"/>
        </w:rPr>
        <w:t>В Руководящих указаниях приводится:</w:t>
      </w:r>
    </w:p>
    <w:p w:rsidR="0059063E" w:rsidRPr="0044642E" w:rsidRDefault="0059063E" w:rsidP="004D64A1">
      <w:pPr>
        <w:pStyle w:val="Enumlevel1"/>
        <w:rPr>
          <w:rFonts w:eastAsiaTheme="minorHAnsi" w:cs="Arial"/>
          <w:bCs/>
          <w:szCs w:val="19"/>
          <w:lang w:val="ru-RU"/>
        </w:rPr>
      </w:pPr>
      <w:r w:rsidRPr="0044642E">
        <w:rPr>
          <w:lang w:val="ru-RU"/>
        </w:rPr>
        <w:t>−</w:t>
      </w:r>
      <w:r w:rsidRPr="0044642E">
        <w:rPr>
          <w:lang w:val="ru-RU"/>
        </w:rPr>
        <w:tab/>
        <w:t>информация о технических параметрах (например, предельно допустимые уровни излучения, расстояние, высота антенны над крышей)</w:t>
      </w:r>
      <w:r w:rsidRPr="0044642E">
        <w:rPr>
          <w:szCs w:val="16"/>
          <w:lang w:val="ru-RU"/>
        </w:rPr>
        <w:t>;</w:t>
      </w:r>
    </w:p>
    <w:p w:rsidR="0059063E" w:rsidRPr="0044642E" w:rsidRDefault="0059063E" w:rsidP="004D64A1">
      <w:pPr>
        <w:pStyle w:val="Enumlevel1"/>
        <w:rPr>
          <w:rFonts w:eastAsiaTheme="minorHAnsi" w:cs="Arial"/>
          <w:bCs/>
          <w:szCs w:val="19"/>
          <w:lang w:val="ru-RU"/>
        </w:rPr>
      </w:pPr>
      <w:r w:rsidRPr="0044642E">
        <w:rPr>
          <w:rFonts w:eastAsiaTheme="minorHAnsi" w:cs="Arial"/>
          <w:bCs/>
          <w:szCs w:val="19"/>
          <w:lang w:val="ru-RU"/>
        </w:rPr>
        <w:t>−</w:t>
      </w:r>
      <w:r w:rsidRPr="0044642E">
        <w:rPr>
          <w:rFonts w:eastAsiaTheme="minorHAnsi" w:cs="Arial"/>
          <w:bCs/>
          <w:szCs w:val="19"/>
          <w:lang w:val="ru-RU"/>
        </w:rPr>
        <w:tab/>
        <w:t>результаты научных исследований для подтверждения безопасности установленного на башне оборудования;</w:t>
      </w:r>
    </w:p>
    <w:p w:rsidR="0059063E" w:rsidRPr="0044642E" w:rsidRDefault="0059063E" w:rsidP="004D64A1">
      <w:pPr>
        <w:pStyle w:val="Enumlevel1"/>
        <w:rPr>
          <w:rFonts w:eastAsiaTheme="minorHAnsi" w:cs="Arial"/>
          <w:bCs/>
          <w:szCs w:val="19"/>
          <w:lang w:val="ru-RU"/>
        </w:rPr>
      </w:pPr>
      <w:r w:rsidRPr="0044642E">
        <w:rPr>
          <w:lang w:val="ru-RU"/>
        </w:rPr>
        <w:t>−</w:t>
      </w:r>
      <w:r w:rsidRPr="0044642E">
        <w:rPr>
          <w:lang w:val="ru-RU"/>
        </w:rPr>
        <w:tab/>
        <w:t>сведения о том, как поступать в случае расположения узлов вблизи объектов повышенной уязвимости, таких как школы и больницы</w:t>
      </w:r>
      <w:r w:rsidRPr="0044642E">
        <w:rPr>
          <w:rFonts w:eastAsiaTheme="minorHAnsi" w:cs="Arial"/>
          <w:bCs/>
          <w:szCs w:val="19"/>
          <w:lang w:val="ru-RU"/>
        </w:rPr>
        <w:t>;</w:t>
      </w:r>
    </w:p>
    <w:p w:rsidR="0059063E" w:rsidRPr="0044642E" w:rsidRDefault="0059063E" w:rsidP="004D64A1">
      <w:pPr>
        <w:pStyle w:val="Enumlevel1"/>
        <w:rPr>
          <w:rFonts w:eastAsiaTheme="minorHAnsi" w:cs="Arial"/>
          <w:bCs/>
          <w:szCs w:val="19"/>
          <w:lang w:val="ru-RU"/>
        </w:rPr>
      </w:pPr>
      <w:r w:rsidRPr="0044642E">
        <w:rPr>
          <w:rFonts w:eastAsiaTheme="minorHAnsi" w:cs="Arial"/>
          <w:bCs/>
          <w:szCs w:val="19"/>
          <w:lang w:val="ru-RU"/>
        </w:rPr>
        <w:t>−</w:t>
      </w:r>
      <w:r w:rsidRPr="0044642E">
        <w:rPr>
          <w:rFonts w:eastAsiaTheme="minorHAnsi" w:cs="Arial"/>
          <w:bCs/>
          <w:szCs w:val="19"/>
          <w:lang w:val="ru-RU"/>
        </w:rPr>
        <w:tab/>
        <w:t xml:space="preserve">контроль соответствия установок предельным уровням излучения; и </w:t>
      </w:r>
    </w:p>
    <w:p w:rsidR="0059063E" w:rsidRPr="0044642E" w:rsidRDefault="0059063E" w:rsidP="004D64A1">
      <w:pPr>
        <w:pStyle w:val="Enumlevel1"/>
        <w:rPr>
          <w:rFonts w:eastAsiaTheme="minorHAnsi" w:cs="Arial"/>
          <w:szCs w:val="19"/>
          <w:lang w:val="ru-RU"/>
        </w:rPr>
      </w:pPr>
      <w:r w:rsidRPr="0044642E">
        <w:rPr>
          <w:rFonts w:eastAsiaTheme="minorHAnsi" w:cs="Arial"/>
          <w:bCs/>
          <w:szCs w:val="19"/>
          <w:lang w:val="ru-RU"/>
        </w:rPr>
        <w:t>−</w:t>
      </w:r>
      <w:r w:rsidRPr="0044642E">
        <w:rPr>
          <w:rFonts w:eastAsiaTheme="minorHAnsi" w:cs="Arial"/>
          <w:bCs/>
          <w:szCs w:val="19"/>
          <w:lang w:val="ru-RU"/>
        </w:rPr>
        <w:tab/>
        <w:t>процедура измерения уровней излучения.</w:t>
      </w:r>
    </w:p>
    <w:p w:rsidR="0059063E" w:rsidRPr="0059063E" w:rsidRDefault="0059063E" w:rsidP="0059063E">
      <w:pPr>
        <w:pStyle w:val="Heading2"/>
        <w:rPr>
          <w:lang w:val="ru-RU"/>
        </w:rPr>
      </w:pPr>
      <w:bookmarkStart w:id="124" w:name="_Toc370477297"/>
      <w:bookmarkStart w:id="125" w:name="_Toc370477576"/>
      <w:bookmarkStart w:id="126" w:name="_Toc377482116"/>
      <w:r w:rsidRPr="0059063E">
        <w:rPr>
          <w:lang w:val="ru-RU"/>
        </w:rPr>
        <w:lastRenderedPageBreak/>
        <w:t>9.3</w:t>
      </w:r>
      <w:r w:rsidRPr="0059063E">
        <w:rPr>
          <w:lang w:val="ru-RU"/>
        </w:rPr>
        <w:tab/>
        <w:t>Принципы разработки Руководящих указаний</w:t>
      </w:r>
      <w:bookmarkEnd w:id="124"/>
      <w:bookmarkEnd w:id="125"/>
      <w:bookmarkEnd w:id="126"/>
    </w:p>
    <w:p w:rsidR="0059063E" w:rsidRPr="004D64A1" w:rsidRDefault="0059063E" w:rsidP="0059063E">
      <w:pPr>
        <w:rPr>
          <w:rFonts w:cs="Arial"/>
          <w:szCs w:val="19"/>
          <w:lang w:val="ru-RU"/>
        </w:rPr>
      </w:pPr>
      <w:r w:rsidRPr="004D64A1">
        <w:rPr>
          <w:rFonts w:cs="Arial"/>
          <w:szCs w:val="19"/>
          <w:lang w:val="ru-RU"/>
        </w:rPr>
        <w:t>К ключевым принципам, касающимся излучения и воздействия ЭМП на человека, относятся следующие:</w:t>
      </w:r>
    </w:p>
    <w:p w:rsidR="0059063E" w:rsidRPr="004D64A1" w:rsidRDefault="0059063E" w:rsidP="0059063E">
      <w:pPr>
        <w:rPr>
          <w:rFonts w:cs="Arial"/>
          <w:szCs w:val="19"/>
          <w:lang w:val="ru-RU"/>
        </w:rPr>
      </w:pPr>
      <w:r w:rsidRPr="004D64A1">
        <w:rPr>
          <w:rFonts w:cs="Arial"/>
          <w:szCs w:val="19"/>
          <w:lang w:val="ru-RU"/>
        </w:rPr>
        <w:t>9.3.1</w:t>
      </w:r>
      <w:r w:rsidRPr="004D64A1">
        <w:rPr>
          <w:rFonts w:cs="Arial"/>
          <w:szCs w:val="19"/>
          <w:lang w:val="ru-RU"/>
        </w:rPr>
        <w:tab/>
        <w:t>Соответствие Рекомендациям МСЭ, касающимся предельных уровней ЭМП;</w:t>
      </w:r>
    </w:p>
    <w:p w:rsidR="0059063E" w:rsidRPr="004D64A1" w:rsidRDefault="0059063E" w:rsidP="0059063E">
      <w:pPr>
        <w:rPr>
          <w:rFonts w:cs="Arial"/>
          <w:szCs w:val="19"/>
          <w:lang w:val="ru-RU"/>
        </w:rPr>
      </w:pPr>
      <w:r w:rsidRPr="004D64A1">
        <w:rPr>
          <w:rFonts w:cs="Arial"/>
          <w:szCs w:val="19"/>
          <w:lang w:val="ru-RU"/>
        </w:rPr>
        <w:t>9.3.2</w:t>
      </w:r>
      <w:r w:rsidRPr="004D64A1">
        <w:rPr>
          <w:rFonts w:cs="Arial"/>
          <w:szCs w:val="19"/>
          <w:lang w:val="ru-RU"/>
        </w:rPr>
        <w:tab/>
        <w:t>Соответствие руководящим указаниям ICNIRP, а также предложенным целевым показателям;</w:t>
      </w:r>
    </w:p>
    <w:p w:rsidR="0059063E" w:rsidRPr="004D64A1" w:rsidRDefault="0059063E" w:rsidP="0059063E">
      <w:pPr>
        <w:rPr>
          <w:rFonts w:cs="Arial"/>
          <w:szCs w:val="19"/>
          <w:lang w:val="ru-RU"/>
        </w:rPr>
      </w:pPr>
      <w:r w:rsidRPr="004D64A1">
        <w:rPr>
          <w:rFonts w:cs="Arial"/>
          <w:szCs w:val="19"/>
          <w:lang w:val="ru-RU"/>
        </w:rPr>
        <w:t>9.3.3</w:t>
      </w:r>
      <w:r w:rsidRPr="004D64A1">
        <w:rPr>
          <w:rFonts w:cs="Arial"/>
          <w:szCs w:val="19"/>
          <w:lang w:val="ru-RU"/>
        </w:rPr>
        <w:tab/>
        <w:t>Соответствие рекомендациям ВОЗ, МОТ, ICNIRP, ЮНЕП;</w:t>
      </w:r>
    </w:p>
    <w:p w:rsidR="0059063E" w:rsidRPr="004D64A1" w:rsidRDefault="0059063E" w:rsidP="0059063E">
      <w:pPr>
        <w:rPr>
          <w:rFonts w:cs="Arial"/>
          <w:szCs w:val="19"/>
          <w:lang w:val="ru-RU"/>
        </w:rPr>
      </w:pPr>
      <w:r w:rsidRPr="004D64A1">
        <w:rPr>
          <w:rFonts w:cs="Arial"/>
          <w:szCs w:val="19"/>
          <w:lang w:val="ru-RU"/>
        </w:rPr>
        <w:t>9.3.4</w:t>
      </w:r>
      <w:r w:rsidRPr="004D64A1">
        <w:rPr>
          <w:rFonts w:cs="Arial"/>
          <w:szCs w:val="19"/>
          <w:lang w:val="ru-RU"/>
        </w:rPr>
        <w:tab/>
        <w:t>Должна быть установлена связь с населением для сообщения результатов измерений ЭМП, создаваемых любым оборудованием связи;</w:t>
      </w:r>
    </w:p>
    <w:p w:rsidR="0059063E" w:rsidRPr="004D64A1" w:rsidRDefault="0059063E" w:rsidP="0059063E">
      <w:pPr>
        <w:rPr>
          <w:rFonts w:cs="Arial"/>
          <w:szCs w:val="19"/>
          <w:lang w:val="ru-RU"/>
        </w:rPr>
      </w:pPr>
      <w:r w:rsidRPr="004D64A1">
        <w:rPr>
          <w:rFonts w:cs="Arial"/>
          <w:szCs w:val="19"/>
          <w:lang w:val="ru-RU"/>
        </w:rPr>
        <w:t>9.3.5</w:t>
      </w:r>
      <w:r w:rsidRPr="004D64A1">
        <w:rPr>
          <w:rFonts w:cs="Arial"/>
          <w:szCs w:val="19"/>
          <w:lang w:val="ru-RU"/>
        </w:rPr>
        <w:tab/>
        <w:t>Публикуемые отчеты должны отражать минимальные требования к излучению, превышение которых не допустимо; и</w:t>
      </w:r>
    </w:p>
    <w:p w:rsidR="0059063E" w:rsidRPr="004D64A1" w:rsidRDefault="0059063E" w:rsidP="0059063E">
      <w:pPr>
        <w:rPr>
          <w:rFonts w:cs="Arial"/>
          <w:szCs w:val="19"/>
          <w:lang w:val="ru-RU"/>
        </w:rPr>
      </w:pPr>
      <w:r w:rsidRPr="004D64A1">
        <w:rPr>
          <w:rFonts w:cs="Arial"/>
          <w:szCs w:val="19"/>
          <w:lang w:val="ru-RU"/>
        </w:rPr>
        <w:t>9.3.6</w:t>
      </w:r>
      <w:r w:rsidRPr="004D64A1">
        <w:rPr>
          <w:rFonts w:cs="Arial"/>
          <w:szCs w:val="19"/>
          <w:lang w:val="ru-RU"/>
        </w:rPr>
        <w:tab/>
        <w:t>Соблюдать осторожность при развертывании оборудования радиосвязи в таких местах, как больницы, школы и густонаселенные районы.</w:t>
      </w:r>
    </w:p>
    <w:p w:rsidR="0059063E" w:rsidRPr="0059063E" w:rsidRDefault="0059063E" w:rsidP="0059063E">
      <w:pPr>
        <w:pStyle w:val="Heading2"/>
        <w:rPr>
          <w:lang w:val="ru-RU"/>
        </w:rPr>
      </w:pPr>
      <w:bookmarkStart w:id="127" w:name="_Toc370477298"/>
      <w:bookmarkStart w:id="128" w:name="_Toc370477577"/>
      <w:bookmarkStart w:id="129" w:name="_Toc377482117"/>
      <w:r w:rsidRPr="0059063E">
        <w:rPr>
          <w:lang w:val="ru-RU"/>
        </w:rPr>
        <w:t>9.4</w:t>
      </w:r>
      <w:r w:rsidRPr="0059063E">
        <w:rPr>
          <w:lang w:val="ru-RU"/>
        </w:rPr>
        <w:tab/>
        <w:t>Обязательства операторов в отношении излучения ЭМП</w:t>
      </w:r>
      <w:bookmarkEnd w:id="127"/>
      <w:bookmarkEnd w:id="128"/>
      <w:bookmarkEnd w:id="129"/>
    </w:p>
    <w:p w:rsidR="0059063E" w:rsidRPr="004D64A1" w:rsidRDefault="0059063E" w:rsidP="0059063E">
      <w:pPr>
        <w:rPr>
          <w:rFonts w:cs="Arial"/>
          <w:szCs w:val="19"/>
          <w:lang w:val="ru-RU"/>
        </w:rPr>
      </w:pPr>
      <w:r w:rsidRPr="004D64A1">
        <w:rPr>
          <w:rFonts w:cs="Arial"/>
          <w:szCs w:val="19"/>
          <w:lang w:val="ru-RU"/>
        </w:rPr>
        <w:t>При развертывании своего оборудования связи операторы должны обеспечивать следующее:</w:t>
      </w:r>
    </w:p>
    <w:p w:rsidR="0059063E" w:rsidRPr="004D64A1" w:rsidRDefault="0059063E" w:rsidP="0059063E">
      <w:pPr>
        <w:rPr>
          <w:rFonts w:cs="Arial"/>
          <w:szCs w:val="19"/>
          <w:lang w:val="ru-RU"/>
        </w:rPr>
      </w:pPr>
      <w:r w:rsidRPr="004D64A1">
        <w:rPr>
          <w:rFonts w:cs="Arial"/>
          <w:szCs w:val="19"/>
          <w:lang w:val="ru-RU"/>
        </w:rPr>
        <w:t>9.4.1</w:t>
      </w:r>
      <w:r w:rsidRPr="004D64A1">
        <w:rPr>
          <w:rFonts w:cs="Arial"/>
          <w:szCs w:val="19"/>
          <w:lang w:val="ru-RU"/>
        </w:rPr>
        <w:tab/>
        <w:t>Предельные уровни излучения не превышены.</w:t>
      </w:r>
    </w:p>
    <w:p w:rsidR="0059063E" w:rsidRPr="004D64A1" w:rsidRDefault="0059063E" w:rsidP="0059063E">
      <w:pPr>
        <w:rPr>
          <w:rFonts w:cs="Arial"/>
          <w:szCs w:val="19"/>
          <w:lang w:val="ru-RU"/>
        </w:rPr>
      </w:pPr>
      <w:r w:rsidRPr="004D64A1">
        <w:rPr>
          <w:rFonts w:cs="Arial"/>
          <w:szCs w:val="19"/>
          <w:lang w:val="ru-RU"/>
        </w:rPr>
        <w:t>9.4.2</w:t>
      </w:r>
      <w:r w:rsidRPr="004D64A1">
        <w:rPr>
          <w:rFonts w:cs="Arial"/>
          <w:szCs w:val="19"/>
          <w:lang w:val="ru-RU"/>
        </w:rPr>
        <w:tab/>
        <w:t>Предельное значение дальности не превышено.</w:t>
      </w:r>
    </w:p>
    <w:p w:rsidR="0059063E" w:rsidRPr="004D64A1" w:rsidRDefault="0059063E" w:rsidP="0059063E">
      <w:pPr>
        <w:rPr>
          <w:rFonts w:cs="Arial"/>
          <w:szCs w:val="19"/>
          <w:lang w:val="ru-RU"/>
        </w:rPr>
      </w:pPr>
      <w:r w:rsidRPr="004D64A1">
        <w:rPr>
          <w:rFonts w:cs="Arial"/>
          <w:szCs w:val="19"/>
          <w:lang w:val="ru-RU"/>
        </w:rPr>
        <w:t>9.4.3</w:t>
      </w:r>
      <w:r w:rsidRPr="004D64A1">
        <w:rPr>
          <w:rFonts w:cs="Arial"/>
          <w:szCs w:val="19"/>
          <w:lang w:val="ru-RU"/>
        </w:rPr>
        <w:tab/>
        <w:t>До установки и перед вводом в эксплуатацию на оборудовании были проведены испытания.</w:t>
      </w:r>
    </w:p>
    <w:p w:rsidR="0059063E" w:rsidRPr="004D64A1" w:rsidRDefault="0059063E" w:rsidP="0059063E">
      <w:pPr>
        <w:rPr>
          <w:rFonts w:cs="Arial"/>
          <w:szCs w:val="19"/>
          <w:lang w:val="ru-RU"/>
        </w:rPr>
      </w:pPr>
      <w:r w:rsidRPr="004D64A1">
        <w:rPr>
          <w:rFonts w:cs="Arial"/>
          <w:szCs w:val="19"/>
          <w:lang w:val="ru-RU"/>
        </w:rPr>
        <w:t>9.4.4</w:t>
      </w:r>
      <w:r w:rsidRPr="004D64A1">
        <w:rPr>
          <w:rFonts w:cs="Arial"/>
          <w:szCs w:val="19"/>
          <w:lang w:val="ru-RU"/>
        </w:rPr>
        <w:tab/>
        <w:t>Испытания должны утверждаться регуляторным органом.</w:t>
      </w:r>
    </w:p>
    <w:p w:rsidR="0059063E" w:rsidRPr="004D64A1" w:rsidRDefault="0059063E" w:rsidP="0059063E">
      <w:pPr>
        <w:rPr>
          <w:rFonts w:cs="Arial"/>
          <w:szCs w:val="19"/>
          <w:lang w:val="ru-RU"/>
        </w:rPr>
      </w:pPr>
      <w:r w:rsidRPr="004D64A1">
        <w:rPr>
          <w:rFonts w:cs="Arial"/>
          <w:szCs w:val="19"/>
          <w:lang w:val="ru-RU"/>
        </w:rPr>
        <w:t>9.4.5</w:t>
      </w:r>
      <w:r w:rsidRPr="004D64A1">
        <w:rPr>
          <w:rFonts w:cs="Arial"/>
          <w:szCs w:val="19"/>
          <w:lang w:val="ru-RU"/>
        </w:rPr>
        <w:tab/>
        <w:t>Проведение консультаций с потребителями относительно новых установок и уведомление потребителей о новых установках.</w:t>
      </w:r>
    </w:p>
    <w:p w:rsidR="0059063E" w:rsidRPr="004D64A1" w:rsidRDefault="0059063E" w:rsidP="0059063E">
      <w:pPr>
        <w:rPr>
          <w:rFonts w:cs="Arial"/>
          <w:szCs w:val="19"/>
          <w:lang w:val="ru-RU"/>
        </w:rPr>
      </w:pPr>
      <w:r w:rsidRPr="004D64A1">
        <w:rPr>
          <w:rFonts w:cs="Arial"/>
          <w:szCs w:val="19"/>
          <w:lang w:val="ru-RU"/>
        </w:rPr>
        <w:t>9.4.6</w:t>
      </w:r>
      <w:r w:rsidRPr="004D64A1">
        <w:rPr>
          <w:rFonts w:cs="Arial"/>
          <w:szCs w:val="19"/>
          <w:lang w:val="ru-RU"/>
        </w:rPr>
        <w:tab/>
        <w:t>Информирование общественности о новых установках и публикация данных об излучении, создаваемом оборудованием.</w:t>
      </w:r>
    </w:p>
    <w:p w:rsidR="0059063E" w:rsidRPr="004D64A1" w:rsidRDefault="0059063E" w:rsidP="0059063E">
      <w:pPr>
        <w:rPr>
          <w:rFonts w:cs="Arial"/>
          <w:szCs w:val="19"/>
          <w:lang w:val="ru-RU"/>
        </w:rPr>
      </w:pPr>
      <w:r w:rsidRPr="004D64A1">
        <w:rPr>
          <w:rFonts w:cs="Arial"/>
          <w:szCs w:val="19"/>
          <w:lang w:val="ru-RU"/>
        </w:rPr>
        <w:t>9.4.7</w:t>
      </w:r>
      <w:r w:rsidRPr="004D64A1">
        <w:rPr>
          <w:rFonts w:cs="Arial"/>
          <w:szCs w:val="19"/>
          <w:lang w:val="ru-RU"/>
        </w:rPr>
        <w:tab/>
        <w:t>По возможности следует избегать таких объектов повышенной уязвимости, как школы, больницы.</w:t>
      </w:r>
    </w:p>
    <w:p w:rsidR="0059063E" w:rsidRPr="004D64A1" w:rsidRDefault="0059063E" w:rsidP="0059063E">
      <w:pPr>
        <w:rPr>
          <w:rFonts w:cs="Arial"/>
          <w:szCs w:val="19"/>
          <w:lang w:val="ru-RU"/>
        </w:rPr>
      </w:pPr>
      <w:r w:rsidRPr="004D64A1">
        <w:rPr>
          <w:rFonts w:cs="Arial"/>
          <w:szCs w:val="19"/>
          <w:lang w:val="ru-RU"/>
        </w:rPr>
        <w:t>9.4.8</w:t>
      </w:r>
      <w:r w:rsidRPr="004D64A1">
        <w:rPr>
          <w:rFonts w:cs="Arial"/>
          <w:szCs w:val="19"/>
          <w:lang w:val="ru-RU"/>
        </w:rPr>
        <w:tab/>
        <w:t>На работающем оборудовании радиосвязи должны устанавливаться знаки "Опасность" большого размера.</w:t>
      </w:r>
    </w:p>
    <w:p w:rsidR="0059063E" w:rsidRPr="0059063E" w:rsidRDefault="0059063E" w:rsidP="0059063E">
      <w:pPr>
        <w:pStyle w:val="Heading2"/>
        <w:rPr>
          <w:lang w:val="ru-RU"/>
        </w:rPr>
      </w:pPr>
      <w:bookmarkStart w:id="130" w:name="_Toc370477299"/>
      <w:bookmarkStart w:id="131" w:name="_Toc370477578"/>
      <w:bookmarkStart w:id="132" w:name="_Toc377482118"/>
      <w:r w:rsidRPr="0059063E">
        <w:rPr>
          <w:lang w:val="ru-RU"/>
        </w:rPr>
        <w:t>9.5</w:t>
      </w:r>
      <w:r w:rsidRPr="0059063E">
        <w:rPr>
          <w:lang w:val="ru-RU"/>
        </w:rPr>
        <w:tab/>
        <w:t>Целевые показатели</w:t>
      </w:r>
      <w:bookmarkEnd w:id="130"/>
      <w:bookmarkEnd w:id="131"/>
      <w:bookmarkEnd w:id="132"/>
    </w:p>
    <w:p w:rsidR="0059063E" w:rsidRPr="004D64A1" w:rsidRDefault="0059063E" w:rsidP="0059063E">
      <w:pPr>
        <w:rPr>
          <w:rFonts w:cs="Arial"/>
          <w:szCs w:val="19"/>
          <w:lang w:val="ru-RU"/>
        </w:rPr>
      </w:pPr>
      <w:r w:rsidRPr="004D64A1">
        <w:rPr>
          <w:rFonts w:cs="Arial"/>
          <w:szCs w:val="19"/>
          <w:lang w:val="ru-RU"/>
        </w:rPr>
        <w:t>Основу целевых показателей излучения ЭМП согласно настоящим Руководящим указаниям составляют:</w:t>
      </w:r>
    </w:p>
    <w:p w:rsidR="0059063E" w:rsidRPr="004D64A1" w:rsidRDefault="0059063E" w:rsidP="0059063E">
      <w:pPr>
        <w:rPr>
          <w:rFonts w:cs="Arial"/>
          <w:szCs w:val="19"/>
          <w:lang w:val="ru-RU"/>
        </w:rPr>
      </w:pPr>
      <w:r w:rsidRPr="004D64A1">
        <w:rPr>
          <w:rFonts w:cs="Arial"/>
          <w:szCs w:val="19"/>
          <w:lang w:val="ru-RU"/>
        </w:rPr>
        <w:t>9.5.1</w:t>
      </w:r>
      <w:r w:rsidRPr="004D64A1">
        <w:rPr>
          <w:rFonts w:cs="Arial"/>
          <w:szCs w:val="19"/>
          <w:lang w:val="ru-RU"/>
        </w:rPr>
        <w:tab/>
      </w:r>
      <w:r w:rsidRPr="004D64A1">
        <w:rPr>
          <w:lang w:val="ru-RU"/>
        </w:rPr>
        <w:t>Международные руководящие указания по ЭМП, разработанные ICNIRP (которые одобрены ВОЗ), IEEE и другими международными органами по стандартизации.</w:t>
      </w:r>
    </w:p>
    <w:p w:rsidR="0059063E" w:rsidRPr="004D64A1" w:rsidRDefault="0059063E" w:rsidP="0059063E">
      <w:pPr>
        <w:rPr>
          <w:rFonts w:cs="Arial"/>
          <w:szCs w:val="19"/>
          <w:lang w:val="ru-RU"/>
        </w:rPr>
      </w:pPr>
      <w:r w:rsidRPr="004D64A1">
        <w:rPr>
          <w:rFonts w:cs="Arial"/>
          <w:szCs w:val="19"/>
          <w:lang w:val="ru-RU"/>
        </w:rPr>
        <w:t>9.5.2</w:t>
      </w:r>
      <w:r w:rsidRPr="004D64A1">
        <w:rPr>
          <w:rFonts w:cs="Arial"/>
          <w:szCs w:val="19"/>
          <w:lang w:val="ru-RU"/>
        </w:rPr>
        <w:tab/>
      </w:r>
      <w:r w:rsidRPr="004D64A1">
        <w:rPr>
          <w:lang w:val="ru-RU"/>
        </w:rPr>
        <w:t>Положения по воздействию РЧ на уровне стран, которые могут быть добровольными, например, как настоящие Руководящие указания, или обязательными к исполнению, если страна включит их в свое законодательство.</w:t>
      </w:r>
    </w:p>
    <w:p w:rsidR="0059063E" w:rsidRPr="004D64A1" w:rsidRDefault="0059063E" w:rsidP="0059063E">
      <w:pPr>
        <w:rPr>
          <w:rFonts w:cs="Arial"/>
          <w:szCs w:val="19"/>
          <w:lang w:val="ru-RU"/>
        </w:rPr>
      </w:pPr>
      <w:r w:rsidRPr="004D64A1">
        <w:rPr>
          <w:rFonts w:cs="Arial"/>
          <w:szCs w:val="19"/>
          <w:lang w:val="ru-RU"/>
        </w:rPr>
        <w:t>9.5.3</w:t>
      </w:r>
      <w:r w:rsidRPr="004D64A1">
        <w:rPr>
          <w:rFonts w:cs="Arial"/>
          <w:szCs w:val="19"/>
          <w:lang w:val="ru-RU"/>
        </w:rPr>
        <w:tab/>
      </w:r>
      <w:r w:rsidRPr="004D64A1">
        <w:rPr>
          <w:lang w:val="ru-RU"/>
        </w:rPr>
        <w:t>В случае отсутствия международных стандартов воздействия для некоторых устройств, излучающих ЭМП, Государствам-Членам следует настоятельно рекомендовать соответствующим международным организациям разработать подходящие стандарты.</w:t>
      </w:r>
    </w:p>
    <w:p w:rsidR="0059063E" w:rsidRPr="004D64A1" w:rsidRDefault="0059063E" w:rsidP="0059063E">
      <w:pPr>
        <w:rPr>
          <w:rFonts w:cs="Arial"/>
          <w:szCs w:val="19"/>
          <w:lang w:val="ru-RU"/>
        </w:rPr>
      </w:pPr>
      <w:r w:rsidRPr="004D64A1">
        <w:rPr>
          <w:rFonts w:cs="Arial"/>
          <w:szCs w:val="19"/>
          <w:lang w:val="ru-RU"/>
        </w:rPr>
        <w:t>9.5.4</w:t>
      </w:r>
      <w:r w:rsidRPr="004D64A1">
        <w:rPr>
          <w:rFonts w:cs="Arial"/>
          <w:szCs w:val="19"/>
          <w:lang w:val="ru-RU"/>
        </w:rPr>
        <w:tab/>
      </w:r>
      <w:r w:rsidRPr="004D64A1">
        <w:rPr>
          <w:lang w:val="ru-RU"/>
        </w:rPr>
        <w:t xml:space="preserve">Если необходимы национальные стандарты, то следует применять подготовленную ВОЗ в рамках своих международных проектов по ЭМП </w:t>
      </w:r>
      <w:r w:rsidRPr="004D64A1">
        <w:rPr>
          <w:szCs w:val="18"/>
          <w:lang w:val="ru-RU"/>
        </w:rPr>
        <w:t>основу для разработки стандартов ЭМП в аспекте воздействия на здоровье, которая может использоваться</w:t>
      </w:r>
      <w:r w:rsidRPr="004D64A1">
        <w:rPr>
          <w:lang w:val="ru-RU"/>
        </w:rPr>
        <w:t xml:space="preserve"> в случае необходимости разработки национальных стандартов</w:t>
      </w:r>
      <w:r w:rsidRPr="004D64A1">
        <w:rPr>
          <w:rFonts w:cs="Arial"/>
          <w:szCs w:val="19"/>
          <w:lang w:val="ru-RU"/>
        </w:rPr>
        <w:t>.</w:t>
      </w:r>
    </w:p>
    <w:p w:rsidR="0059063E" w:rsidRPr="0059063E" w:rsidRDefault="0059063E" w:rsidP="0059063E">
      <w:pPr>
        <w:pStyle w:val="Heading2"/>
        <w:rPr>
          <w:lang w:val="ru-RU"/>
        </w:rPr>
      </w:pPr>
      <w:bookmarkStart w:id="133" w:name="_Toc370477300"/>
      <w:bookmarkStart w:id="134" w:name="_Toc370477579"/>
      <w:bookmarkStart w:id="135" w:name="_Toc377482119"/>
      <w:r w:rsidRPr="0059063E">
        <w:rPr>
          <w:lang w:val="ru-RU"/>
        </w:rPr>
        <w:lastRenderedPageBreak/>
        <w:t>9.6</w:t>
      </w:r>
      <w:r w:rsidRPr="0059063E">
        <w:rPr>
          <w:lang w:val="ru-RU"/>
        </w:rPr>
        <w:tab/>
        <w:t>Измерения</w:t>
      </w:r>
      <w:bookmarkEnd w:id="133"/>
      <w:bookmarkEnd w:id="134"/>
      <w:bookmarkEnd w:id="135"/>
    </w:p>
    <w:p w:rsidR="0059063E" w:rsidRPr="004D64A1" w:rsidRDefault="0059063E" w:rsidP="0059063E">
      <w:pPr>
        <w:rPr>
          <w:rFonts w:cs="Arial"/>
          <w:bCs/>
          <w:szCs w:val="19"/>
          <w:lang w:val="ru-RU"/>
        </w:rPr>
      </w:pPr>
      <w:r w:rsidRPr="004D64A1">
        <w:rPr>
          <w:rFonts w:cs="Arial"/>
          <w:bCs/>
          <w:szCs w:val="19"/>
          <w:lang w:val="ru-RU"/>
        </w:rPr>
        <w:t>9.6.1</w:t>
      </w:r>
      <w:r w:rsidRPr="004D64A1">
        <w:rPr>
          <w:rFonts w:cs="Arial"/>
          <w:bCs/>
          <w:szCs w:val="19"/>
          <w:lang w:val="ru-RU"/>
        </w:rPr>
        <w:tab/>
        <w:t xml:space="preserve">В рамках проекта ВОЗ по ЭМП предложены стандарты измерения, в которых </w:t>
      </w:r>
      <w:r w:rsidRPr="004D64A1">
        <w:rPr>
          <w:bCs/>
          <w:lang w:val="ru-RU"/>
        </w:rPr>
        <w:t>описываются способы обеспечения соответствия стандартам воздействия и излучения</w:t>
      </w:r>
      <w:r w:rsidRPr="004D64A1">
        <w:rPr>
          <w:rFonts w:cs="Arial"/>
          <w:bCs/>
          <w:szCs w:val="19"/>
          <w:lang w:val="ru-RU"/>
        </w:rPr>
        <w:t xml:space="preserve">. </w:t>
      </w:r>
    </w:p>
    <w:p w:rsidR="0059063E" w:rsidRPr="004D64A1" w:rsidRDefault="0059063E" w:rsidP="0059063E">
      <w:pPr>
        <w:rPr>
          <w:rFonts w:cs="Arial"/>
          <w:bCs/>
          <w:szCs w:val="19"/>
          <w:lang w:val="ru-RU"/>
        </w:rPr>
      </w:pPr>
      <w:r w:rsidRPr="004D64A1">
        <w:rPr>
          <w:rFonts w:cs="Arial"/>
          <w:bCs/>
          <w:szCs w:val="19"/>
          <w:lang w:val="ru-RU"/>
        </w:rPr>
        <w:t>9.6.2</w:t>
      </w:r>
      <w:r w:rsidRPr="004D64A1">
        <w:rPr>
          <w:rFonts w:cs="Arial"/>
          <w:bCs/>
          <w:szCs w:val="19"/>
          <w:lang w:val="ru-RU"/>
        </w:rPr>
        <w:tab/>
      </w:r>
      <w:r w:rsidRPr="004D64A1">
        <w:rPr>
          <w:bCs/>
          <w:lang w:val="ru-RU"/>
        </w:rPr>
        <w:t>Руководство по способам оценки воздействия на человека в реальных ситуациях будет основано на существующих Рекомендациях МСЭ и стандартах МЭК/CENELEC</w:t>
      </w:r>
      <w:r w:rsidRPr="004D64A1">
        <w:rPr>
          <w:rFonts w:cs="Arial"/>
          <w:bCs/>
          <w:szCs w:val="19"/>
          <w:lang w:val="ru-RU"/>
        </w:rPr>
        <w:t xml:space="preserve">. </w:t>
      </w:r>
    </w:p>
    <w:p w:rsidR="0059063E" w:rsidRPr="004D64A1" w:rsidRDefault="0059063E" w:rsidP="0059063E">
      <w:pPr>
        <w:rPr>
          <w:rFonts w:cs="Arial"/>
          <w:bCs/>
          <w:szCs w:val="19"/>
          <w:lang w:val="ru-RU"/>
        </w:rPr>
      </w:pPr>
      <w:r w:rsidRPr="004D64A1">
        <w:rPr>
          <w:rFonts w:cs="Arial"/>
          <w:bCs/>
          <w:szCs w:val="19"/>
          <w:lang w:val="ru-RU"/>
        </w:rPr>
        <w:t>9.6.3</w:t>
      </w:r>
      <w:r w:rsidRPr="004D64A1">
        <w:rPr>
          <w:rFonts w:cs="Arial"/>
          <w:bCs/>
          <w:szCs w:val="19"/>
          <w:lang w:val="ru-RU"/>
        </w:rPr>
        <w:tab/>
      </w:r>
      <w:r w:rsidRPr="004D64A1">
        <w:rPr>
          <w:bCs/>
          <w:lang w:val="ru-RU"/>
        </w:rPr>
        <w:t>Можно упомянуть Рекомендацию (02)04 (Пересм. Братислава, 2003 г., Хельсинки, 2007 г.) по измерению неионизирующего электромагнитного излучения (9 кГц − 300 ГГц), разработанную Комитетом по электронным средствам связи (КЭС) Европейской конференции администраций почт и связи (СЕПТ)</w:t>
      </w:r>
      <w:r w:rsidRPr="004D64A1">
        <w:rPr>
          <w:rFonts w:cs="Arial"/>
          <w:bCs/>
          <w:szCs w:val="19"/>
          <w:lang w:val="ru-RU"/>
        </w:rPr>
        <w:t xml:space="preserve">. </w:t>
      </w:r>
    </w:p>
    <w:p w:rsidR="0059063E" w:rsidRPr="004D64A1" w:rsidRDefault="0059063E" w:rsidP="0059063E">
      <w:pPr>
        <w:rPr>
          <w:rFonts w:cs="Arial"/>
          <w:bCs/>
          <w:szCs w:val="19"/>
          <w:lang w:val="ru-RU"/>
        </w:rPr>
      </w:pPr>
      <w:r w:rsidRPr="004D64A1">
        <w:rPr>
          <w:rFonts w:cs="Arial"/>
          <w:bCs/>
          <w:szCs w:val="19"/>
          <w:lang w:val="ru-RU"/>
        </w:rPr>
        <w:t>9.6.4</w:t>
      </w:r>
      <w:r w:rsidRPr="004D64A1">
        <w:rPr>
          <w:rFonts w:cs="Arial"/>
          <w:bCs/>
          <w:szCs w:val="19"/>
          <w:lang w:val="ru-RU"/>
        </w:rPr>
        <w:tab/>
      </w:r>
      <w:r w:rsidRPr="004D64A1">
        <w:rPr>
          <w:bCs/>
          <w:lang w:val="ru-RU"/>
        </w:rPr>
        <w:t>В главе 5.6 Справочника МСЭ по управлению использованием спектра рекомендуется проводить измерения неионизирующего излучения (NIR) следующим образом:</w:t>
      </w:r>
    </w:p>
    <w:p w:rsidR="0059063E" w:rsidRPr="001F3A1E" w:rsidRDefault="0059063E" w:rsidP="004D64A1">
      <w:pPr>
        <w:rPr>
          <w:rFonts w:cs="Arial"/>
          <w:bCs/>
          <w:szCs w:val="19"/>
          <w:lang w:val="ru-RU"/>
        </w:rPr>
      </w:pPr>
      <w:r w:rsidRPr="001F3A1E">
        <w:rPr>
          <w:rFonts w:cs="Arial"/>
          <w:szCs w:val="19"/>
          <w:lang w:val="ru-RU"/>
        </w:rPr>
        <w:t>9.6.4.1</w:t>
      </w:r>
      <w:r w:rsidR="00AD7F65" w:rsidRPr="00AD7F65">
        <w:rPr>
          <w:rFonts w:cs="Arial"/>
          <w:szCs w:val="19"/>
          <w:lang w:val="ru-RU"/>
        </w:rPr>
        <w:tab/>
      </w:r>
      <w:r w:rsidRPr="001F3A1E">
        <w:rPr>
          <w:lang w:val="ru-RU"/>
        </w:rPr>
        <w:t>в связи с получением лицензии на радиосвязь;</w:t>
      </w:r>
    </w:p>
    <w:p w:rsidR="0059063E" w:rsidRPr="001F3A1E" w:rsidRDefault="0059063E" w:rsidP="004D64A1">
      <w:pPr>
        <w:rPr>
          <w:rFonts w:cs="Arial"/>
          <w:bCs/>
          <w:szCs w:val="19"/>
          <w:lang w:val="ru-RU"/>
        </w:rPr>
      </w:pPr>
      <w:r w:rsidRPr="001F3A1E">
        <w:rPr>
          <w:rFonts w:cs="Arial"/>
          <w:szCs w:val="19"/>
          <w:lang w:val="ru-RU"/>
        </w:rPr>
        <w:t>9.6.4.2</w:t>
      </w:r>
      <w:r w:rsidRPr="001F3A1E">
        <w:rPr>
          <w:rFonts w:cs="Arial"/>
          <w:szCs w:val="19"/>
          <w:lang w:val="ru-RU"/>
        </w:rPr>
        <w:tab/>
      </w:r>
      <w:r w:rsidRPr="001F3A1E">
        <w:rPr>
          <w:lang w:val="ru-RU"/>
        </w:rPr>
        <w:t>регулярно, согласно плану контроля и мониторинга NIR; или</w:t>
      </w:r>
    </w:p>
    <w:p w:rsidR="0059063E" w:rsidRPr="001F3A1E" w:rsidRDefault="0059063E" w:rsidP="004D64A1">
      <w:pPr>
        <w:rPr>
          <w:rFonts w:cs="Arial"/>
          <w:bCs/>
          <w:szCs w:val="19"/>
          <w:lang w:val="ru-RU"/>
        </w:rPr>
      </w:pPr>
      <w:r w:rsidRPr="001F3A1E">
        <w:rPr>
          <w:rFonts w:cs="Arial"/>
          <w:szCs w:val="19"/>
          <w:lang w:val="ru-RU"/>
        </w:rPr>
        <w:t>9.6.4.3</w:t>
      </w:r>
      <w:r w:rsidRPr="001F3A1E">
        <w:rPr>
          <w:rFonts w:cs="Arial"/>
          <w:szCs w:val="19"/>
          <w:lang w:val="ru-RU"/>
        </w:rPr>
        <w:tab/>
      </w:r>
      <w:r w:rsidRPr="001F3A1E">
        <w:rPr>
          <w:lang w:val="ru-RU"/>
        </w:rPr>
        <w:t>при наличии оснований, т. е. по просьбам населения или официальных органов.</w:t>
      </w:r>
    </w:p>
    <w:p w:rsidR="0059063E" w:rsidRPr="004D64A1" w:rsidRDefault="0059063E" w:rsidP="0059063E">
      <w:pPr>
        <w:rPr>
          <w:rFonts w:cs="Arial"/>
          <w:bCs/>
          <w:szCs w:val="19"/>
          <w:lang w:val="ru-RU"/>
        </w:rPr>
      </w:pPr>
      <w:r w:rsidRPr="004D64A1">
        <w:rPr>
          <w:rFonts w:cs="Arial"/>
          <w:bCs/>
          <w:szCs w:val="19"/>
          <w:lang w:val="ru-RU"/>
        </w:rPr>
        <w:t>9.6.5</w:t>
      </w:r>
      <w:r w:rsidRPr="004D64A1">
        <w:rPr>
          <w:rFonts w:cs="Arial"/>
          <w:bCs/>
          <w:szCs w:val="19"/>
          <w:lang w:val="ru-RU"/>
        </w:rPr>
        <w:tab/>
      </w:r>
      <w:r w:rsidRPr="004D64A1">
        <w:rPr>
          <w:bCs/>
          <w:lang w:val="ru-RU"/>
        </w:rPr>
        <w:t>В Справочнике также освещаются вопросы, связанные с процедурами измерения, выбором местоположения, расположением контрольно-измерительной аппаратуры, мерами предосторожности, используемым оборудованием, факторами погрешностей и форматом отчетности.</w:t>
      </w:r>
    </w:p>
    <w:p w:rsidR="0059063E" w:rsidRPr="0059063E" w:rsidRDefault="0059063E" w:rsidP="0059063E">
      <w:pPr>
        <w:pStyle w:val="Heading2"/>
        <w:rPr>
          <w:rFonts w:cs="Arial"/>
          <w:szCs w:val="19"/>
          <w:lang w:val="ru-RU"/>
        </w:rPr>
      </w:pPr>
      <w:bookmarkStart w:id="136" w:name="_Toc370477301"/>
      <w:bookmarkStart w:id="137" w:name="_Toc370477580"/>
      <w:bookmarkStart w:id="138" w:name="_Toc377482120"/>
      <w:r w:rsidRPr="0059063E">
        <w:rPr>
          <w:rFonts w:cs="Arial"/>
          <w:szCs w:val="19"/>
          <w:lang w:val="ru-RU"/>
        </w:rPr>
        <w:t>9.7</w:t>
      </w:r>
      <w:r w:rsidRPr="0059063E">
        <w:rPr>
          <w:rFonts w:cs="Arial"/>
          <w:szCs w:val="19"/>
          <w:lang w:val="ru-RU"/>
        </w:rPr>
        <w:tab/>
      </w:r>
      <w:r w:rsidRPr="0059063E">
        <w:rPr>
          <w:lang w:val="ru-RU"/>
        </w:rPr>
        <w:t>Публикация результатов измерений регуляторными органами</w:t>
      </w:r>
      <w:bookmarkEnd w:id="136"/>
      <w:bookmarkEnd w:id="137"/>
      <w:bookmarkEnd w:id="138"/>
    </w:p>
    <w:p w:rsidR="0059063E" w:rsidRPr="004D64A1" w:rsidRDefault="0059063E" w:rsidP="0059063E">
      <w:pPr>
        <w:rPr>
          <w:rFonts w:cs="Arial"/>
          <w:bCs/>
          <w:szCs w:val="19"/>
          <w:lang w:val="ru-RU"/>
        </w:rPr>
      </w:pPr>
      <w:r w:rsidRPr="004D64A1">
        <w:rPr>
          <w:rFonts w:cs="Arial"/>
          <w:bCs/>
          <w:szCs w:val="19"/>
          <w:lang w:val="ru-RU"/>
        </w:rPr>
        <w:t>9.7.1</w:t>
      </w:r>
      <w:r w:rsidRPr="004D64A1">
        <w:rPr>
          <w:rFonts w:cs="Arial"/>
          <w:bCs/>
          <w:szCs w:val="19"/>
          <w:lang w:val="ru-RU"/>
        </w:rPr>
        <w:tab/>
      </w:r>
      <w:r w:rsidRPr="004D64A1">
        <w:rPr>
          <w:bCs/>
          <w:lang w:val="ru-RU"/>
        </w:rPr>
        <w:t>Регуляторный орган должен после отчетного периода публиковать результаты измерений, представляемые операторами и периодически проверяемые регуляторным органом. Этот период определяется регуляторным органом.</w:t>
      </w:r>
      <w:r w:rsidRPr="004D64A1">
        <w:rPr>
          <w:rFonts w:cs="Arial"/>
          <w:bCs/>
          <w:szCs w:val="19"/>
          <w:lang w:val="ru-RU"/>
        </w:rPr>
        <w:t xml:space="preserve"> </w:t>
      </w:r>
    </w:p>
    <w:p w:rsidR="0059063E" w:rsidRPr="004D64A1" w:rsidRDefault="0059063E" w:rsidP="0059063E">
      <w:pPr>
        <w:rPr>
          <w:rFonts w:cs="Arial"/>
          <w:bCs/>
          <w:szCs w:val="19"/>
          <w:lang w:val="ru-RU"/>
        </w:rPr>
      </w:pPr>
      <w:r w:rsidRPr="004D64A1">
        <w:rPr>
          <w:rFonts w:cs="Arial"/>
          <w:bCs/>
          <w:szCs w:val="19"/>
          <w:lang w:val="ru-RU"/>
        </w:rPr>
        <w:t>9.7.2</w:t>
      </w:r>
      <w:r w:rsidRPr="004D64A1">
        <w:rPr>
          <w:rFonts w:cs="Arial"/>
          <w:bCs/>
          <w:szCs w:val="19"/>
          <w:lang w:val="ru-RU"/>
        </w:rPr>
        <w:tab/>
      </w:r>
      <w:r w:rsidRPr="004D64A1">
        <w:rPr>
          <w:bCs/>
          <w:lang w:val="ru-RU"/>
        </w:rPr>
        <w:t>В публикуемом сообщении должны быть указаны метод измерений, отчетный период и требуемые минимальные целевые показатели</w:t>
      </w:r>
      <w:r w:rsidRPr="004D64A1">
        <w:rPr>
          <w:rFonts w:cs="Arial"/>
          <w:bCs/>
          <w:szCs w:val="19"/>
          <w:lang w:val="ru-RU"/>
        </w:rPr>
        <w:t>.</w:t>
      </w:r>
    </w:p>
    <w:p w:rsidR="0059063E" w:rsidRPr="004D64A1" w:rsidRDefault="0059063E" w:rsidP="0059063E">
      <w:pPr>
        <w:rPr>
          <w:rFonts w:cs="Arial"/>
          <w:bCs/>
          <w:szCs w:val="19"/>
          <w:lang w:val="ru-RU"/>
        </w:rPr>
      </w:pPr>
      <w:r w:rsidRPr="004D64A1">
        <w:rPr>
          <w:rFonts w:cs="Arial"/>
          <w:bCs/>
          <w:szCs w:val="19"/>
          <w:lang w:val="ru-RU"/>
        </w:rPr>
        <w:t>9.7.3</w:t>
      </w:r>
      <w:r w:rsidRPr="004D64A1">
        <w:rPr>
          <w:rFonts w:cs="Arial"/>
          <w:bCs/>
          <w:szCs w:val="19"/>
          <w:lang w:val="ru-RU"/>
        </w:rPr>
        <w:tab/>
      </w:r>
      <w:r w:rsidRPr="004D64A1">
        <w:rPr>
          <w:bCs/>
          <w:lang w:val="ru-RU"/>
        </w:rPr>
        <w:t>Публикуемые параметры должны классифицироваться по следующим классам оборудования, но не ограничиваться ими:</w:t>
      </w:r>
    </w:p>
    <w:p w:rsidR="0059063E" w:rsidRPr="0044642E" w:rsidRDefault="0059063E" w:rsidP="004D64A1">
      <w:pPr>
        <w:pStyle w:val="Enumlevel1"/>
        <w:rPr>
          <w:rFonts w:eastAsiaTheme="minorHAnsi" w:cs="Arial"/>
          <w:bCs/>
          <w:szCs w:val="19"/>
          <w:lang w:val="ru-RU"/>
        </w:rPr>
      </w:pPr>
      <w:r w:rsidRPr="0044642E">
        <w:rPr>
          <w:lang w:val="ru-RU"/>
        </w:rPr>
        <w:t>−</w:t>
      </w:r>
      <w:r w:rsidRPr="0044642E">
        <w:rPr>
          <w:lang w:val="ru-RU"/>
        </w:rPr>
        <w:tab/>
        <w:t>радиовещательные и сотовые базовые станции</w:t>
      </w:r>
      <w:r w:rsidRPr="0044642E">
        <w:rPr>
          <w:rFonts w:eastAsiaTheme="minorHAnsi" w:cs="Arial"/>
          <w:szCs w:val="19"/>
          <w:lang w:val="ru-RU"/>
        </w:rPr>
        <w:t>;</w:t>
      </w:r>
    </w:p>
    <w:p w:rsidR="0059063E" w:rsidRPr="0044642E" w:rsidRDefault="0059063E" w:rsidP="004D64A1">
      <w:pPr>
        <w:pStyle w:val="Enumlevel1"/>
        <w:rPr>
          <w:rFonts w:eastAsiaTheme="minorHAnsi" w:cs="Arial"/>
          <w:bCs/>
          <w:szCs w:val="19"/>
          <w:lang w:val="ru-RU"/>
        </w:rPr>
      </w:pPr>
      <w:r w:rsidRPr="0044642E">
        <w:rPr>
          <w:lang w:val="ru-RU"/>
        </w:rPr>
        <w:t>−</w:t>
      </w:r>
      <w:r w:rsidRPr="0044642E">
        <w:rPr>
          <w:lang w:val="ru-RU"/>
        </w:rPr>
        <w:tab/>
        <w:t>любительские радиостанции; и</w:t>
      </w:r>
      <w:r w:rsidRPr="0044642E">
        <w:rPr>
          <w:rFonts w:eastAsiaTheme="minorHAnsi" w:cs="Arial"/>
          <w:szCs w:val="19"/>
          <w:lang w:val="ru-RU"/>
        </w:rPr>
        <w:t xml:space="preserve"> </w:t>
      </w:r>
    </w:p>
    <w:p w:rsidR="0059063E" w:rsidRPr="0044642E" w:rsidRDefault="0059063E" w:rsidP="004D64A1">
      <w:pPr>
        <w:pStyle w:val="Enumlevel1"/>
        <w:rPr>
          <w:rFonts w:eastAsiaTheme="minorHAnsi" w:cs="Arial"/>
          <w:bCs/>
          <w:szCs w:val="19"/>
          <w:lang w:val="ru-RU"/>
        </w:rPr>
      </w:pPr>
      <w:r w:rsidRPr="0044642E">
        <w:rPr>
          <w:lang w:val="ru-RU"/>
        </w:rPr>
        <w:t>−</w:t>
      </w:r>
      <w:r w:rsidRPr="0044642E">
        <w:rPr>
          <w:lang w:val="ru-RU"/>
        </w:rPr>
        <w:tab/>
        <w:t>портативное оборудование (проверяются только предоставленные поставщиком технические спецификации, поскольку измерения для портативного оборудования могут быть дорогостоящими, так как сложно измерить коэффициент удельного поглощения портативного оборудования, и это может не требоваться для каждой страны).</w:t>
      </w:r>
      <w:r w:rsidRPr="0044642E">
        <w:rPr>
          <w:rFonts w:eastAsiaTheme="minorHAnsi" w:cs="Arial"/>
          <w:szCs w:val="19"/>
          <w:lang w:val="ru-RU"/>
        </w:rPr>
        <w:t xml:space="preserve"> </w:t>
      </w:r>
    </w:p>
    <w:p w:rsidR="0059063E" w:rsidRPr="004D64A1" w:rsidRDefault="0059063E" w:rsidP="0059063E">
      <w:pPr>
        <w:rPr>
          <w:rFonts w:cs="Arial"/>
          <w:bCs/>
          <w:szCs w:val="19"/>
          <w:lang w:val="ru-RU"/>
        </w:rPr>
      </w:pPr>
      <w:r w:rsidRPr="004D64A1">
        <w:rPr>
          <w:rFonts w:cs="Arial"/>
          <w:bCs/>
          <w:szCs w:val="19"/>
          <w:lang w:val="ru-RU"/>
        </w:rPr>
        <w:t>9.7.4</w:t>
      </w:r>
      <w:r w:rsidRPr="004D64A1">
        <w:rPr>
          <w:rFonts w:cs="Arial"/>
          <w:bCs/>
          <w:szCs w:val="19"/>
          <w:lang w:val="ru-RU"/>
        </w:rPr>
        <w:tab/>
      </w:r>
      <w:r w:rsidRPr="004D64A1">
        <w:rPr>
          <w:bCs/>
          <w:lang w:val="ru-RU"/>
        </w:rPr>
        <w:t>Важно составлять отчеты, доступные для населения. Они могут публиковаться в имеющихся в стране СМИ.</w:t>
      </w:r>
      <w:r w:rsidRPr="004D64A1">
        <w:rPr>
          <w:rFonts w:cs="Arial"/>
          <w:bCs/>
          <w:szCs w:val="19"/>
          <w:lang w:val="ru-RU"/>
        </w:rPr>
        <w:t xml:space="preserve"> </w:t>
      </w:r>
    </w:p>
    <w:p w:rsidR="0059063E" w:rsidRPr="0059063E" w:rsidRDefault="0059063E" w:rsidP="0059063E">
      <w:pPr>
        <w:pStyle w:val="Heading2"/>
        <w:rPr>
          <w:lang w:val="ru-RU"/>
        </w:rPr>
      </w:pPr>
      <w:bookmarkStart w:id="139" w:name="_Toc370477302"/>
      <w:bookmarkStart w:id="140" w:name="_Toc370477581"/>
      <w:bookmarkStart w:id="141" w:name="_Toc377482121"/>
      <w:r w:rsidRPr="0059063E">
        <w:rPr>
          <w:lang w:val="ru-RU"/>
        </w:rPr>
        <w:t>9.8</w:t>
      </w:r>
      <w:r w:rsidRPr="0059063E">
        <w:rPr>
          <w:lang w:val="ru-RU"/>
        </w:rPr>
        <w:tab/>
        <w:t>Содержание и формат публикации</w:t>
      </w:r>
      <w:bookmarkEnd w:id="139"/>
      <w:bookmarkEnd w:id="140"/>
      <w:bookmarkEnd w:id="141"/>
    </w:p>
    <w:p w:rsidR="0059063E" w:rsidRPr="004D64A1" w:rsidRDefault="0059063E" w:rsidP="0059063E">
      <w:pPr>
        <w:rPr>
          <w:rFonts w:cs="Arial"/>
          <w:bCs/>
          <w:szCs w:val="19"/>
          <w:lang w:val="ru-RU"/>
        </w:rPr>
      </w:pPr>
      <w:r w:rsidRPr="004D64A1">
        <w:rPr>
          <w:rFonts w:cs="Arial"/>
          <w:bCs/>
          <w:szCs w:val="19"/>
          <w:lang w:val="ru-RU"/>
        </w:rPr>
        <w:t>9.8.1</w:t>
      </w:r>
      <w:r w:rsidRPr="004D64A1">
        <w:rPr>
          <w:rFonts w:cs="Arial"/>
          <w:bCs/>
          <w:szCs w:val="19"/>
          <w:lang w:val="ru-RU"/>
        </w:rPr>
        <w:tab/>
      </w:r>
      <w:r w:rsidRPr="004D64A1">
        <w:rPr>
          <w:bCs/>
          <w:lang w:val="ru-RU"/>
        </w:rPr>
        <w:t>Предполагается, что всесторонний отчет об измерениях должен содержать следующую информацию:</w:t>
      </w:r>
    </w:p>
    <w:p w:rsidR="0059063E" w:rsidRPr="0044642E" w:rsidRDefault="0059063E" w:rsidP="004D64A1">
      <w:pPr>
        <w:pStyle w:val="Enumlevel1"/>
        <w:rPr>
          <w:lang w:val="ru-RU"/>
        </w:rPr>
      </w:pPr>
      <w:r w:rsidRPr="0044642E">
        <w:rPr>
          <w:lang w:val="ru-RU"/>
        </w:rPr>
        <w:t>−</w:t>
      </w:r>
      <w:r w:rsidRPr="0044642E">
        <w:rPr>
          <w:lang w:val="ru-RU"/>
        </w:rPr>
        <w:tab/>
        <w:t>результаты измерений;</w:t>
      </w:r>
    </w:p>
    <w:p w:rsidR="0059063E" w:rsidRPr="0044642E" w:rsidRDefault="0059063E" w:rsidP="004D64A1">
      <w:pPr>
        <w:pStyle w:val="Enumlevel1"/>
        <w:rPr>
          <w:lang w:val="ru-RU"/>
        </w:rPr>
      </w:pPr>
      <w:r w:rsidRPr="0044642E">
        <w:rPr>
          <w:lang w:val="ru-RU"/>
        </w:rPr>
        <w:t>−</w:t>
      </w:r>
      <w:r w:rsidRPr="0044642E">
        <w:rPr>
          <w:lang w:val="ru-RU"/>
        </w:rPr>
        <w:tab/>
        <w:t>цели и задачи измерений;</w:t>
      </w:r>
    </w:p>
    <w:p w:rsidR="0059063E" w:rsidRPr="0044642E" w:rsidRDefault="0059063E" w:rsidP="004D64A1">
      <w:pPr>
        <w:pStyle w:val="Enumlevel1"/>
        <w:rPr>
          <w:lang w:val="ru-RU"/>
        </w:rPr>
      </w:pPr>
      <w:r w:rsidRPr="0044642E">
        <w:rPr>
          <w:lang w:val="ru-RU"/>
        </w:rPr>
        <w:t>−</w:t>
      </w:r>
      <w:r w:rsidRPr="0044642E">
        <w:rPr>
          <w:lang w:val="ru-RU"/>
        </w:rPr>
        <w:tab/>
        <w:t>дату и время начала и завершения;</w:t>
      </w:r>
    </w:p>
    <w:p w:rsidR="0059063E" w:rsidRPr="0044642E" w:rsidRDefault="0059063E" w:rsidP="004D64A1">
      <w:pPr>
        <w:pStyle w:val="Enumlevel1"/>
        <w:rPr>
          <w:lang w:val="ru-RU"/>
        </w:rPr>
      </w:pPr>
      <w:r w:rsidRPr="0044642E">
        <w:rPr>
          <w:lang w:val="ru-RU"/>
        </w:rPr>
        <w:lastRenderedPageBreak/>
        <w:t>−</w:t>
      </w:r>
      <w:r w:rsidRPr="0044642E">
        <w:rPr>
          <w:lang w:val="ru-RU"/>
        </w:rPr>
        <w:tab/>
        <w:t>географические координаты, высоту над уровнем земли и конкретные характеристики мест проведения измерений;</w:t>
      </w:r>
    </w:p>
    <w:p w:rsidR="0059063E" w:rsidRPr="0044642E" w:rsidRDefault="0059063E" w:rsidP="004D64A1">
      <w:pPr>
        <w:pStyle w:val="Enumlevel1"/>
        <w:rPr>
          <w:lang w:val="ru-RU"/>
        </w:rPr>
      </w:pPr>
      <w:r w:rsidRPr="0044642E">
        <w:rPr>
          <w:lang w:val="ru-RU"/>
        </w:rPr>
        <w:t>−</w:t>
      </w:r>
      <w:r w:rsidRPr="0044642E">
        <w:rPr>
          <w:lang w:val="ru-RU"/>
        </w:rPr>
        <w:tab/>
        <w:t>список определенных передатчиков;</w:t>
      </w:r>
    </w:p>
    <w:p w:rsidR="0059063E" w:rsidRPr="0044642E" w:rsidRDefault="0059063E" w:rsidP="004D64A1">
      <w:pPr>
        <w:pStyle w:val="Enumlevel1"/>
        <w:rPr>
          <w:lang w:val="ru-RU"/>
        </w:rPr>
      </w:pPr>
      <w:r w:rsidRPr="0044642E">
        <w:rPr>
          <w:lang w:val="ru-RU"/>
        </w:rPr>
        <w:t>−</w:t>
      </w:r>
      <w:r w:rsidRPr="0044642E">
        <w:rPr>
          <w:lang w:val="ru-RU"/>
        </w:rPr>
        <w:tab/>
        <w:t>используемое оборудование и его серийные номера; и</w:t>
      </w:r>
    </w:p>
    <w:p w:rsidR="0059063E" w:rsidRPr="0044642E" w:rsidRDefault="0059063E" w:rsidP="004D64A1">
      <w:pPr>
        <w:pStyle w:val="Enumlevel1"/>
        <w:rPr>
          <w:lang w:val="ru-RU"/>
        </w:rPr>
      </w:pPr>
      <w:r w:rsidRPr="0044642E">
        <w:rPr>
          <w:lang w:val="ru-RU"/>
        </w:rPr>
        <w:t>−</w:t>
      </w:r>
      <w:r w:rsidRPr="0044642E">
        <w:rPr>
          <w:lang w:val="ru-RU"/>
        </w:rPr>
        <w:tab/>
        <w:t>уровень погрешности измерений.</w:t>
      </w:r>
    </w:p>
    <w:p w:rsidR="0059063E" w:rsidRPr="004D64A1" w:rsidRDefault="0059063E" w:rsidP="0059063E">
      <w:pPr>
        <w:rPr>
          <w:rFonts w:cs="Arial"/>
          <w:bCs/>
          <w:szCs w:val="19"/>
          <w:lang w:val="ru-RU"/>
        </w:rPr>
      </w:pPr>
      <w:r w:rsidRPr="004D64A1">
        <w:rPr>
          <w:rFonts w:cs="Arial"/>
          <w:bCs/>
          <w:szCs w:val="19"/>
          <w:lang w:val="ru-RU"/>
        </w:rPr>
        <w:t>9.8.2</w:t>
      </w:r>
      <w:r w:rsidRPr="004D64A1">
        <w:rPr>
          <w:rFonts w:cs="Arial"/>
          <w:bCs/>
          <w:szCs w:val="19"/>
          <w:lang w:val="ru-RU"/>
        </w:rPr>
        <w:tab/>
      </w:r>
      <w:r w:rsidRPr="004D64A1">
        <w:rPr>
          <w:bCs/>
          <w:lang w:val="ru-RU"/>
        </w:rPr>
        <w:t>Следует сравнить измеренные и рассчитанные величины. Если величины измеренных или рассчитанных значений выше нижнего предельно допустимого уровня воздействия, установленного ICNIRP, то это следует отразить в отчете и принять меры, применимые согласно действующим нормативным положениям.</w:t>
      </w:r>
    </w:p>
    <w:p w:rsidR="0059063E" w:rsidRPr="004D64A1" w:rsidRDefault="0059063E" w:rsidP="0059063E">
      <w:pPr>
        <w:rPr>
          <w:rFonts w:cs="Arial"/>
          <w:bCs/>
          <w:szCs w:val="19"/>
          <w:lang w:val="ru-RU"/>
        </w:rPr>
      </w:pPr>
      <w:r w:rsidRPr="004D64A1">
        <w:rPr>
          <w:rFonts w:cs="Arial"/>
          <w:bCs/>
          <w:szCs w:val="19"/>
          <w:lang w:val="ru-RU"/>
        </w:rPr>
        <w:t>9.8.3</w:t>
      </w:r>
      <w:r w:rsidRPr="004D64A1">
        <w:rPr>
          <w:rFonts w:cs="Arial"/>
          <w:bCs/>
          <w:szCs w:val="19"/>
          <w:lang w:val="ru-RU"/>
        </w:rPr>
        <w:tab/>
      </w:r>
      <w:r w:rsidRPr="004D64A1">
        <w:rPr>
          <w:bCs/>
          <w:lang w:val="ru-RU"/>
        </w:rPr>
        <w:t>Кроме того, чтобы отчет был более понятным, желательно использовать графическое представление результатов в виде карт, диаграмм и фотографий. Такие изображения могут представлять результаты измерений в соответствующих местоположениях и, кроме того, относительное расположение основных передатчиков и объектов, вызывающих обеспокоенность, таких как школы, больницы и жилые дома.</w:t>
      </w:r>
    </w:p>
    <w:p w:rsidR="0059063E" w:rsidRPr="0044642E" w:rsidRDefault="0059063E" w:rsidP="0059063E">
      <w:pPr>
        <w:pStyle w:val="Heading2"/>
        <w:rPr>
          <w:rFonts w:cs="Arial"/>
          <w:szCs w:val="19"/>
          <w:lang w:val="ru-RU"/>
        </w:rPr>
      </w:pPr>
      <w:bookmarkStart w:id="142" w:name="_Toc370477303"/>
      <w:bookmarkStart w:id="143" w:name="_Toc370477582"/>
      <w:bookmarkStart w:id="144" w:name="_Toc377482122"/>
      <w:r w:rsidRPr="0044642E">
        <w:rPr>
          <w:rFonts w:cs="Arial"/>
          <w:szCs w:val="19"/>
          <w:lang w:val="ru-RU"/>
        </w:rPr>
        <w:t>9.9</w:t>
      </w:r>
      <w:r w:rsidRPr="0044642E">
        <w:rPr>
          <w:rFonts w:cs="Arial"/>
          <w:szCs w:val="19"/>
          <w:lang w:val="ru-RU"/>
        </w:rPr>
        <w:tab/>
      </w:r>
      <w:r w:rsidRPr="0044642E">
        <w:rPr>
          <w:lang w:val="ru-RU"/>
        </w:rPr>
        <w:t>Проверка и расследования</w:t>
      </w:r>
      <w:bookmarkEnd w:id="142"/>
      <w:bookmarkEnd w:id="143"/>
      <w:bookmarkEnd w:id="144"/>
    </w:p>
    <w:p w:rsidR="0059063E" w:rsidRPr="004D64A1" w:rsidRDefault="0059063E" w:rsidP="0059063E">
      <w:pPr>
        <w:rPr>
          <w:rFonts w:cs="Arial"/>
          <w:bCs/>
          <w:szCs w:val="19"/>
          <w:lang w:val="ru-RU"/>
        </w:rPr>
      </w:pPr>
      <w:r w:rsidRPr="004D64A1">
        <w:rPr>
          <w:rFonts w:cs="Arial"/>
          <w:bCs/>
          <w:szCs w:val="19"/>
          <w:lang w:val="ru-RU"/>
        </w:rPr>
        <w:t>9.9.1</w:t>
      </w:r>
      <w:r w:rsidRPr="004D64A1">
        <w:rPr>
          <w:rFonts w:cs="Arial"/>
          <w:bCs/>
          <w:szCs w:val="19"/>
          <w:lang w:val="ru-RU"/>
        </w:rPr>
        <w:tab/>
      </w:r>
      <w:r w:rsidRPr="004D64A1">
        <w:rPr>
          <w:bCs/>
          <w:lang w:val="ru-RU"/>
        </w:rPr>
        <w:t>Для обеспечения соответствия регуляторный орган должен проверять или расследовать вопросы, связанные с измерениями, представленными операторами. В том что касается стандартов воздействия ЭМП, регуляторный орган должен иметь полномочия по проверке соответствия путем расчетов и измерений, производимых на рабочих местах и в других районах. Соответствие устройств стандартам излучения, как правило, сертифицирует производитель.</w:t>
      </w:r>
    </w:p>
    <w:p w:rsidR="0059063E" w:rsidRPr="004D64A1" w:rsidRDefault="0059063E" w:rsidP="0059063E">
      <w:pPr>
        <w:rPr>
          <w:rFonts w:cs="Arial"/>
          <w:bCs/>
          <w:szCs w:val="19"/>
          <w:lang w:val="ru-RU"/>
        </w:rPr>
      </w:pPr>
      <w:r w:rsidRPr="004D64A1">
        <w:rPr>
          <w:rFonts w:cs="Arial"/>
          <w:bCs/>
          <w:szCs w:val="19"/>
          <w:lang w:val="ru-RU"/>
        </w:rPr>
        <w:t>9.9.2</w:t>
      </w:r>
      <w:r w:rsidRPr="004D64A1">
        <w:rPr>
          <w:rFonts w:cs="Arial"/>
          <w:bCs/>
          <w:szCs w:val="19"/>
          <w:lang w:val="ru-RU"/>
        </w:rPr>
        <w:tab/>
      </w:r>
      <w:r w:rsidRPr="004D64A1">
        <w:rPr>
          <w:bCs/>
          <w:lang w:val="ru-RU"/>
        </w:rPr>
        <w:t>Оборудование, которое не соответствует требуемым стандартам, не должно допускаться к эксплуатации.</w:t>
      </w:r>
    </w:p>
    <w:p w:rsidR="0059063E" w:rsidRPr="004D64A1" w:rsidRDefault="0059063E" w:rsidP="0059063E">
      <w:pPr>
        <w:rPr>
          <w:rFonts w:cs="Arial"/>
          <w:bCs/>
          <w:szCs w:val="19"/>
          <w:lang w:val="ru-RU"/>
        </w:rPr>
      </w:pPr>
      <w:r w:rsidRPr="004D64A1">
        <w:rPr>
          <w:rFonts w:cs="Arial"/>
          <w:bCs/>
          <w:szCs w:val="19"/>
          <w:lang w:val="ru-RU"/>
        </w:rPr>
        <w:t>9.9.3</w:t>
      </w:r>
      <w:r w:rsidRPr="004D64A1">
        <w:rPr>
          <w:rFonts w:cs="Arial"/>
          <w:bCs/>
          <w:szCs w:val="19"/>
          <w:lang w:val="ru-RU"/>
        </w:rPr>
        <w:tab/>
      </w:r>
      <w:r w:rsidRPr="004D64A1">
        <w:rPr>
          <w:bCs/>
          <w:lang w:val="ru-RU"/>
        </w:rPr>
        <w:t>Оборудование оператора, который представляет ложные результаты измерений, должно быть заглушено и запрещено в стране</w:t>
      </w:r>
      <w:r w:rsidRPr="004D64A1">
        <w:rPr>
          <w:rFonts w:cs="Arial"/>
          <w:bCs/>
          <w:szCs w:val="19"/>
          <w:lang w:val="ru-RU"/>
        </w:rPr>
        <w:t>.</w:t>
      </w:r>
    </w:p>
    <w:p w:rsidR="0059063E" w:rsidRPr="004D64A1" w:rsidRDefault="0059063E" w:rsidP="0059063E">
      <w:pPr>
        <w:rPr>
          <w:rFonts w:cs="Arial"/>
          <w:bCs/>
          <w:szCs w:val="19"/>
          <w:lang w:val="ru-RU"/>
        </w:rPr>
      </w:pPr>
      <w:r w:rsidRPr="004D64A1">
        <w:rPr>
          <w:rFonts w:cs="Arial"/>
          <w:bCs/>
          <w:szCs w:val="19"/>
          <w:lang w:val="ru-RU"/>
        </w:rPr>
        <w:t>9.9.4</w:t>
      </w:r>
      <w:r w:rsidRPr="004D64A1">
        <w:rPr>
          <w:rFonts w:cs="Arial"/>
          <w:bCs/>
          <w:szCs w:val="19"/>
          <w:lang w:val="ru-RU"/>
        </w:rPr>
        <w:tab/>
      </w:r>
      <w:r w:rsidRPr="004D64A1">
        <w:rPr>
          <w:bCs/>
          <w:lang w:val="ru-RU"/>
        </w:rPr>
        <w:t>Функции по обеспечению соблюдения нормативных положений, касающихся максимальных уровней NIR, возлагаются на орган, ответственный за управление использованием спектра, где имеются квалифицированные кадры в данной области.</w:t>
      </w:r>
    </w:p>
    <w:p w:rsidR="0059063E" w:rsidRPr="0059063E" w:rsidRDefault="0059063E" w:rsidP="0059063E">
      <w:pPr>
        <w:pStyle w:val="Heading2"/>
        <w:rPr>
          <w:lang w:val="ru-RU"/>
        </w:rPr>
      </w:pPr>
      <w:bookmarkStart w:id="145" w:name="_Toc370477304"/>
      <w:bookmarkStart w:id="146" w:name="_Toc370477583"/>
      <w:bookmarkStart w:id="147" w:name="_Toc377482123"/>
      <w:r w:rsidRPr="0059063E">
        <w:rPr>
          <w:lang w:val="ru-RU"/>
        </w:rPr>
        <w:t>9.10</w:t>
      </w:r>
      <w:r w:rsidRPr="0059063E">
        <w:rPr>
          <w:lang w:val="ru-RU"/>
        </w:rPr>
        <w:tab/>
        <w:t>Внесение поправок в Руководящие указания</w:t>
      </w:r>
      <w:bookmarkEnd w:id="145"/>
      <w:bookmarkEnd w:id="146"/>
      <w:bookmarkEnd w:id="147"/>
    </w:p>
    <w:p w:rsidR="0059063E" w:rsidRPr="004D64A1" w:rsidRDefault="0059063E" w:rsidP="0059063E">
      <w:pPr>
        <w:rPr>
          <w:rFonts w:cs="Arial"/>
          <w:bCs/>
          <w:szCs w:val="19"/>
          <w:lang w:val="ru-RU"/>
        </w:rPr>
      </w:pPr>
      <w:r w:rsidRPr="004D64A1">
        <w:rPr>
          <w:rFonts w:cs="Arial"/>
          <w:bCs/>
          <w:szCs w:val="19"/>
          <w:lang w:val="ru-RU"/>
        </w:rPr>
        <w:t>9.10.1</w:t>
      </w:r>
      <w:r w:rsidRPr="004D64A1">
        <w:rPr>
          <w:rFonts w:cs="Arial"/>
          <w:bCs/>
          <w:lang w:val="ru-RU"/>
        </w:rPr>
        <w:t xml:space="preserve"> </w:t>
      </w:r>
      <w:r w:rsidRPr="004D64A1">
        <w:rPr>
          <w:rFonts w:cs="Arial"/>
          <w:bCs/>
          <w:lang w:val="ru-RU"/>
        </w:rPr>
        <w:tab/>
      </w:r>
      <w:r w:rsidRPr="004D64A1">
        <w:rPr>
          <w:bCs/>
          <w:lang w:val="ru-RU"/>
        </w:rPr>
        <w:t>В настоящие Руководящие указания могут вноситься поправки с учетом изложенных в них основных принципов.</w:t>
      </w:r>
    </w:p>
    <w:p w:rsidR="0059063E" w:rsidRPr="004D64A1" w:rsidRDefault="0059063E" w:rsidP="0059063E">
      <w:pPr>
        <w:rPr>
          <w:rFonts w:cs="Arial"/>
          <w:bCs/>
          <w:szCs w:val="19"/>
          <w:lang w:val="ru-RU"/>
        </w:rPr>
      </w:pPr>
      <w:r w:rsidRPr="004D64A1">
        <w:rPr>
          <w:rFonts w:cs="Arial"/>
          <w:bCs/>
          <w:szCs w:val="19"/>
          <w:lang w:val="ru-RU"/>
        </w:rPr>
        <w:t>9.10.2</w:t>
      </w:r>
      <w:r w:rsidRPr="004D64A1">
        <w:rPr>
          <w:rFonts w:cs="Arial"/>
          <w:bCs/>
          <w:lang w:val="ru-RU"/>
        </w:rPr>
        <w:t xml:space="preserve"> </w:t>
      </w:r>
      <w:r w:rsidRPr="004D64A1">
        <w:rPr>
          <w:rFonts w:cs="Arial"/>
          <w:bCs/>
          <w:lang w:val="ru-RU"/>
        </w:rPr>
        <w:tab/>
      </w:r>
      <w:r w:rsidRPr="004D64A1">
        <w:rPr>
          <w:bCs/>
          <w:lang w:val="ru-RU"/>
        </w:rPr>
        <w:t>Поправки вносятся в том случае, если ICNIRP устанавливает новые целевые показатели</w:t>
      </w:r>
      <w:r w:rsidRPr="004D64A1">
        <w:rPr>
          <w:rFonts w:cs="Arial"/>
          <w:bCs/>
          <w:szCs w:val="19"/>
          <w:lang w:val="ru-RU"/>
        </w:rPr>
        <w:t>.</w:t>
      </w:r>
    </w:p>
    <w:p w:rsidR="0059063E" w:rsidRPr="004D64A1" w:rsidRDefault="0059063E" w:rsidP="0059063E">
      <w:pPr>
        <w:rPr>
          <w:rFonts w:cs="Arial"/>
          <w:bCs/>
          <w:szCs w:val="19"/>
          <w:lang w:val="ru-RU"/>
        </w:rPr>
      </w:pPr>
      <w:r w:rsidRPr="004D64A1">
        <w:rPr>
          <w:rFonts w:cs="Arial"/>
          <w:bCs/>
          <w:szCs w:val="19"/>
          <w:lang w:val="ru-RU"/>
        </w:rPr>
        <w:t xml:space="preserve">9.10.3 </w:t>
      </w:r>
      <w:r w:rsidRPr="004D64A1">
        <w:rPr>
          <w:rFonts w:cs="Arial"/>
          <w:bCs/>
          <w:szCs w:val="19"/>
          <w:lang w:val="ru-RU"/>
        </w:rPr>
        <w:tab/>
      </w:r>
      <w:r w:rsidRPr="004D64A1">
        <w:rPr>
          <w:bCs/>
          <w:lang w:val="ru-RU"/>
        </w:rPr>
        <w:t>Необходимо проводить консультации со всеми заинтересованными сторонами, включая население в целом</w:t>
      </w:r>
      <w:r w:rsidRPr="004D64A1">
        <w:rPr>
          <w:rFonts w:cs="Arial"/>
          <w:bCs/>
          <w:szCs w:val="19"/>
          <w:lang w:val="ru-RU"/>
        </w:rPr>
        <w:t>.</w:t>
      </w:r>
    </w:p>
    <w:p w:rsidR="0059063E" w:rsidRPr="004D64A1" w:rsidRDefault="0059063E" w:rsidP="0059063E">
      <w:pPr>
        <w:rPr>
          <w:rFonts w:cs="Arial"/>
          <w:bCs/>
          <w:szCs w:val="19"/>
          <w:lang w:val="ru-RU"/>
        </w:rPr>
      </w:pPr>
      <w:r w:rsidRPr="004D64A1">
        <w:rPr>
          <w:rFonts w:cs="Arial"/>
          <w:bCs/>
          <w:szCs w:val="19"/>
          <w:lang w:val="ru-RU"/>
        </w:rPr>
        <w:t xml:space="preserve">9.10.4 </w:t>
      </w:r>
      <w:r w:rsidRPr="004D64A1">
        <w:rPr>
          <w:rFonts w:cs="Arial"/>
          <w:bCs/>
          <w:szCs w:val="19"/>
          <w:lang w:val="ru-RU"/>
        </w:rPr>
        <w:tab/>
      </w:r>
      <w:r w:rsidRPr="004D64A1">
        <w:rPr>
          <w:bCs/>
          <w:lang w:val="ru-RU"/>
        </w:rPr>
        <w:t>Руководящие указания с поправками должны внедряться по истечении приемлемого для данной страны определенного периода, прошедшего после уведомления о таких поправках</w:t>
      </w:r>
      <w:r w:rsidRPr="004D64A1">
        <w:rPr>
          <w:rFonts w:cs="Arial"/>
          <w:bCs/>
          <w:szCs w:val="19"/>
          <w:lang w:val="ru-RU"/>
        </w:rPr>
        <w:t xml:space="preserve">. </w:t>
      </w:r>
    </w:p>
    <w:p w:rsidR="0059063E" w:rsidRPr="004D64A1" w:rsidRDefault="0059063E" w:rsidP="0059063E">
      <w:pPr>
        <w:rPr>
          <w:bCs/>
          <w:lang w:val="ru-RU"/>
        </w:rPr>
      </w:pPr>
      <w:r w:rsidRPr="004D64A1">
        <w:rPr>
          <w:rFonts w:cs="Arial"/>
          <w:bCs/>
          <w:szCs w:val="19"/>
          <w:lang w:val="ru-RU"/>
        </w:rPr>
        <w:t xml:space="preserve">9.10.5 </w:t>
      </w:r>
      <w:r w:rsidRPr="004D64A1">
        <w:rPr>
          <w:rFonts w:cs="Arial"/>
          <w:bCs/>
          <w:szCs w:val="19"/>
          <w:lang w:val="ru-RU"/>
        </w:rPr>
        <w:tab/>
        <w:t>Рассмотрение Руководящих указаний.</w:t>
      </w:r>
      <w:r w:rsidRPr="004D64A1">
        <w:rPr>
          <w:rFonts w:eastAsiaTheme="minorHAnsi" w:cs="Arial"/>
          <w:bCs/>
          <w:szCs w:val="19"/>
          <w:lang w:val="ru-RU" w:eastAsia="en-US"/>
        </w:rPr>
        <w:t xml:space="preserve"> </w:t>
      </w:r>
      <w:r w:rsidRPr="004D64A1">
        <w:rPr>
          <w:bCs/>
          <w:lang w:val="ru-RU"/>
        </w:rPr>
        <w:t>Рассмотрение будет охватывать:</w:t>
      </w:r>
    </w:p>
    <w:p w:rsidR="0059063E" w:rsidRPr="0044642E" w:rsidRDefault="0059063E" w:rsidP="004D64A1">
      <w:pPr>
        <w:pStyle w:val="Enumlevel1"/>
        <w:rPr>
          <w:lang w:val="ru-RU"/>
        </w:rPr>
      </w:pPr>
      <w:r w:rsidRPr="0044642E">
        <w:rPr>
          <w:lang w:val="ru-RU"/>
        </w:rPr>
        <w:t>−</w:t>
      </w:r>
      <w:r w:rsidRPr="0044642E">
        <w:rPr>
          <w:lang w:val="ru-RU"/>
        </w:rPr>
        <w:tab/>
        <w:t>установление целевых показателей;</w:t>
      </w:r>
    </w:p>
    <w:p w:rsidR="0059063E" w:rsidRPr="0044642E" w:rsidRDefault="0059063E" w:rsidP="004D64A1">
      <w:pPr>
        <w:pStyle w:val="Enumlevel1"/>
        <w:rPr>
          <w:lang w:val="ru-RU"/>
        </w:rPr>
      </w:pPr>
      <w:r w:rsidRPr="0044642E">
        <w:rPr>
          <w:lang w:val="ru-RU"/>
        </w:rPr>
        <w:t>−</w:t>
      </w:r>
      <w:r w:rsidRPr="0044642E">
        <w:rPr>
          <w:lang w:val="ru-RU"/>
        </w:rPr>
        <w:tab/>
        <w:t>оборудование для измерений;</w:t>
      </w:r>
    </w:p>
    <w:p w:rsidR="0059063E" w:rsidRPr="0044642E" w:rsidRDefault="0059063E" w:rsidP="004D64A1">
      <w:pPr>
        <w:pStyle w:val="Enumlevel1"/>
        <w:rPr>
          <w:lang w:val="ru-RU"/>
        </w:rPr>
      </w:pPr>
      <w:r w:rsidRPr="0044642E">
        <w:rPr>
          <w:lang w:val="ru-RU"/>
        </w:rPr>
        <w:t>−</w:t>
      </w:r>
      <w:r w:rsidRPr="0044642E">
        <w:rPr>
          <w:lang w:val="ru-RU"/>
        </w:rPr>
        <w:tab/>
        <w:t>публикацию;</w:t>
      </w:r>
    </w:p>
    <w:p w:rsidR="0059063E" w:rsidRPr="0044642E" w:rsidRDefault="0059063E" w:rsidP="004D64A1">
      <w:pPr>
        <w:pStyle w:val="Enumlevel1"/>
        <w:rPr>
          <w:lang w:val="ru-RU"/>
        </w:rPr>
      </w:pPr>
      <w:r w:rsidRPr="0044642E">
        <w:rPr>
          <w:lang w:val="ru-RU"/>
        </w:rPr>
        <w:t>−</w:t>
      </w:r>
      <w:r w:rsidRPr="0044642E">
        <w:rPr>
          <w:lang w:val="ru-RU"/>
        </w:rPr>
        <w:tab/>
        <w:t>измеряемое оборудование; и</w:t>
      </w:r>
    </w:p>
    <w:p w:rsidR="0059063E" w:rsidRPr="0044642E" w:rsidRDefault="0059063E" w:rsidP="004D64A1">
      <w:pPr>
        <w:pStyle w:val="Enumlevel1"/>
        <w:rPr>
          <w:lang w:val="ru-RU"/>
        </w:rPr>
      </w:pPr>
      <w:r w:rsidRPr="0044642E">
        <w:rPr>
          <w:lang w:val="ru-RU"/>
        </w:rPr>
        <w:t>−</w:t>
      </w:r>
      <w:r w:rsidRPr="0044642E">
        <w:rPr>
          <w:lang w:val="ru-RU"/>
        </w:rPr>
        <w:tab/>
        <w:t>метод измерения.</w:t>
      </w:r>
    </w:p>
    <w:p w:rsidR="00EF06F2" w:rsidRDefault="00EF06F2" w:rsidP="0059063E">
      <w:pPr>
        <w:spacing w:before="0"/>
        <w:rPr>
          <w:szCs w:val="19"/>
          <w:lang w:val="ru-RU"/>
        </w:rPr>
        <w:sectPr w:rsidR="00EF06F2" w:rsidSect="0059063E">
          <w:headerReference w:type="even" r:id="rId25"/>
          <w:headerReference w:type="first" r:id="rId26"/>
          <w:footerReference w:type="first" r:id="rId27"/>
          <w:endnotePr>
            <w:numFmt w:val="decimal"/>
          </w:endnotePr>
          <w:pgSz w:w="11907" w:h="16840" w:code="9"/>
          <w:pgMar w:top="1418" w:right="1418" w:bottom="1418" w:left="1418" w:header="709" w:footer="709" w:gutter="0"/>
          <w:cols w:space="708"/>
          <w:titlePg/>
          <w:docGrid w:linePitch="360"/>
        </w:sectPr>
      </w:pPr>
    </w:p>
    <w:p w:rsidR="0059063E" w:rsidRPr="00603561" w:rsidRDefault="0059063E" w:rsidP="00FE5200">
      <w:pPr>
        <w:pStyle w:val="Heading1"/>
        <w:spacing w:before="120"/>
      </w:pPr>
      <w:bookmarkStart w:id="148" w:name="_Toc370477305"/>
      <w:bookmarkStart w:id="149" w:name="_Toc370477584"/>
      <w:bookmarkStart w:id="150" w:name="_Toc377482124"/>
      <w:bookmarkStart w:id="151" w:name="_Toc370394212"/>
      <w:r w:rsidRPr="001F3A1E">
        <w:lastRenderedPageBreak/>
        <w:t>I</w:t>
      </w:r>
      <w:r w:rsidRPr="00603561">
        <w:tab/>
      </w:r>
      <w:bookmarkEnd w:id="148"/>
      <w:bookmarkEnd w:id="149"/>
      <w:bookmarkEnd w:id="150"/>
      <w:r w:rsidR="00FE5200" w:rsidRPr="002314BE">
        <w:t>Annexes</w:t>
      </w:r>
    </w:p>
    <w:bookmarkEnd w:id="151"/>
    <w:p w:rsidR="00603561" w:rsidRPr="00CB013A" w:rsidRDefault="00603561" w:rsidP="00E57763">
      <w:pPr>
        <w:pStyle w:val="HeadingB"/>
        <w:rPr>
          <w:lang w:val="en-US"/>
        </w:rPr>
      </w:pPr>
      <w:r w:rsidRPr="00CB013A">
        <w:rPr>
          <w:lang w:val="en-US"/>
        </w:rPr>
        <w:t xml:space="preserve">Annex 1: </w:t>
      </w:r>
      <w:r>
        <w:rPr>
          <w:lang w:val="en-US"/>
        </w:rPr>
        <w:tab/>
      </w:r>
      <w:r w:rsidRPr="00CB013A">
        <w:rPr>
          <w:lang w:val="en-US"/>
        </w:rPr>
        <w:t>RF Exposure Units and Standards</w:t>
      </w:r>
    </w:p>
    <w:p w:rsidR="00603561" w:rsidRPr="00CB013A" w:rsidRDefault="00603561" w:rsidP="00E57763">
      <w:pPr>
        <w:pStyle w:val="HeadingB"/>
        <w:rPr>
          <w:lang w:val="en-US"/>
        </w:rPr>
      </w:pPr>
      <w:r w:rsidRPr="00CB013A">
        <w:rPr>
          <w:lang w:val="en-US"/>
        </w:rPr>
        <w:t xml:space="preserve">Annex 2: </w:t>
      </w:r>
      <w:r>
        <w:rPr>
          <w:lang w:val="en-US"/>
        </w:rPr>
        <w:tab/>
      </w:r>
      <w:r w:rsidRPr="00CB013A">
        <w:rPr>
          <w:lang w:val="en-US"/>
        </w:rPr>
        <w:t>ICNIRP 1998 Exposure Levels and IEEE Levels</w:t>
      </w:r>
    </w:p>
    <w:p w:rsidR="00603561" w:rsidRPr="00CB013A" w:rsidRDefault="00603561" w:rsidP="00E57763">
      <w:pPr>
        <w:pStyle w:val="HeadingB"/>
        <w:rPr>
          <w:lang w:val="en-US"/>
        </w:rPr>
      </w:pPr>
      <w:r w:rsidRPr="00CB013A">
        <w:rPr>
          <w:lang w:val="en-US"/>
        </w:rPr>
        <w:t xml:space="preserve">Annex 3: </w:t>
      </w:r>
      <w:r>
        <w:rPr>
          <w:lang w:val="en-US"/>
        </w:rPr>
        <w:tab/>
      </w:r>
      <w:r w:rsidRPr="00CB013A">
        <w:rPr>
          <w:lang w:val="en-US"/>
        </w:rPr>
        <w:t>Mandate of Question 23/1 (WTDC-10/139 (Rev.1))</w:t>
      </w:r>
    </w:p>
    <w:p w:rsidR="00603561" w:rsidRPr="00CB013A" w:rsidRDefault="00603561" w:rsidP="00E57763">
      <w:pPr>
        <w:pStyle w:val="HeadingB"/>
        <w:ind w:left="1134" w:hanging="1134"/>
        <w:rPr>
          <w:lang w:val="en-US"/>
        </w:rPr>
      </w:pPr>
      <w:r w:rsidRPr="00CB013A">
        <w:rPr>
          <w:lang w:val="en-US"/>
        </w:rPr>
        <w:t xml:space="preserve">Annex 4: </w:t>
      </w:r>
      <w:r>
        <w:rPr>
          <w:lang w:val="en-US"/>
        </w:rPr>
        <w:tab/>
      </w:r>
      <w:r w:rsidRPr="00CB013A">
        <w:rPr>
          <w:lang w:val="en-US"/>
        </w:rPr>
        <w:t>WTSA-12 Resolution 72 on “Measurement concerns related to human exposure to electromagnetic fields”'</w:t>
      </w:r>
    </w:p>
    <w:p w:rsidR="00603561" w:rsidRPr="00CB013A" w:rsidRDefault="00603561" w:rsidP="00E57763">
      <w:pPr>
        <w:pStyle w:val="HeadingB"/>
        <w:ind w:left="1134" w:hanging="1134"/>
        <w:rPr>
          <w:lang w:val="en-US"/>
        </w:rPr>
      </w:pPr>
      <w:r w:rsidRPr="00CB013A">
        <w:rPr>
          <w:lang w:val="en-US"/>
        </w:rPr>
        <w:t xml:space="preserve">Annex 5: </w:t>
      </w:r>
      <w:r>
        <w:rPr>
          <w:lang w:val="en-US"/>
        </w:rPr>
        <w:tab/>
      </w:r>
      <w:r w:rsidRPr="00CB013A">
        <w:rPr>
          <w:lang w:val="en-US"/>
        </w:rPr>
        <w:t>WTDC-10 Resolution 62 on "Measurement concerns related to human exposure to EMF".</w:t>
      </w:r>
    </w:p>
    <w:p w:rsidR="00603561" w:rsidRPr="00CB013A" w:rsidRDefault="00603561" w:rsidP="00E57763">
      <w:pPr>
        <w:pStyle w:val="HeadingB"/>
        <w:ind w:left="1134" w:hanging="1134"/>
        <w:rPr>
          <w:lang w:val="en-US"/>
        </w:rPr>
      </w:pPr>
      <w:r w:rsidRPr="00CB013A">
        <w:rPr>
          <w:lang w:val="en-US"/>
        </w:rPr>
        <w:t xml:space="preserve">Annex 6: </w:t>
      </w:r>
      <w:r>
        <w:rPr>
          <w:lang w:val="en-US"/>
        </w:rPr>
        <w:tab/>
      </w:r>
      <w:r w:rsidRPr="00CB013A">
        <w:rPr>
          <w:lang w:val="en-US"/>
        </w:rPr>
        <w:t>Plenipotentiary Conference (PP-10) Resolution 176 on "Human exposure to and measurement of electromagnetic fields"</w:t>
      </w:r>
    </w:p>
    <w:p w:rsidR="00603561" w:rsidRPr="00CB013A" w:rsidRDefault="00603561" w:rsidP="00E57763">
      <w:pPr>
        <w:pStyle w:val="HeadingB"/>
        <w:rPr>
          <w:lang w:val="en-US"/>
        </w:rPr>
      </w:pPr>
      <w:r w:rsidRPr="00CB013A">
        <w:rPr>
          <w:lang w:val="en-US"/>
        </w:rPr>
        <w:t xml:space="preserve">Annex 7: </w:t>
      </w:r>
      <w:r>
        <w:rPr>
          <w:lang w:val="en-US"/>
        </w:rPr>
        <w:tab/>
      </w:r>
      <w:r w:rsidRPr="00CB013A">
        <w:rPr>
          <w:lang w:val="en-US"/>
        </w:rPr>
        <w:t>ITU Project in Central America Document</w:t>
      </w:r>
    </w:p>
    <w:p w:rsidR="00603561" w:rsidRPr="00CB013A" w:rsidRDefault="00603561" w:rsidP="00E57763">
      <w:pPr>
        <w:pStyle w:val="HeadingB"/>
        <w:rPr>
          <w:lang w:val="en-US"/>
        </w:rPr>
      </w:pPr>
      <w:r w:rsidRPr="00CB013A">
        <w:rPr>
          <w:lang w:val="en-US"/>
        </w:rPr>
        <w:t xml:space="preserve">Annex 8: </w:t>
      </w:r>
      <w:r>
        <w:rPr>
          <w:lang w:val="en-US"/>
        </w:rPr>
        <w:tab/>
      </w:r>
      <w:r w:rsidRPr="00CB013A">
        <w:rPr>
          <w:lang w:val="en-US"/>
        </w:rPr>
        <w:t>Q23/1 Workplan</w:t>
      </w:r>
    </w:p>
    <w:p w:rsidR="00603561" w:rsidRPr="00CB013A" w:rsidRDefault="00603561" w:rsidP="00E57763">
      <w:pPr>
        <w:pStyle w:val="HeadingB"/>
        <w:rPr>
          <w:lang w:val="en-US"/>
        </w:rPr>
      </w:pPr>
      <w:r w:rsidRPr="00CB013A">
        <w:rPr>
          <w:lang w:val="en-US"/>
        </w:rPr>
        <w:t xml:space="preserve">Annex 9: </w:t>
      </w:r>
      <w:r>
        <w:rPr>
          <w:lang w:val="en-US"/>
        </w:rPr>
        <w:tab/>
      </w:r>
      <w:r w:rsidRPr="00CB013A">
        <w:rPr>
          <w:lang w:val="en-US"/>
        </w:rPr>
        <w:t>Documents for Q23/1</w:t>
      </w:r>
    </w:p>
    <w:p w:rsidR="0059063E" w:rsidRPr="00603561" w:rsidRDefault="00603561" w:rsidP="00E57763">
      <w:pPr>
        <w:pStyle w:val="HeadingB"/>
        <w:tabs>
          <w:tab w:val="left" w:pos="1701"/>
        </w:tabs>
        <w:ind w:left="1701" w:hanging="1701"/>
        <w:rPr>
          <w:lang w:val="en-US"/>
        </w:rPr>
      </w:pPr>
      <w:r w:rsidRPr="00CB013A">
        <w:rPr>
          <w:lang w:val="en-US"/>
        </w:rPr>
        <w:t xml:space="preserve">Annex 10: </w:t>
      </w:r>
      <w:r w:rsidR="00E57763">
        <w:rPr>
          <w:lang w:val="en-US"/>
        </w:rPr>
        <w:t xml:space="preserve">    </w:t>
      </w:r>
      <w:bookmarkStart w:id="152" w:name="_GoBack"/>
      <w:bookmarkEnd w:id="152"/>
      <w:r w:rsidRPr="00CB013A">
        <w:rPr>
          <w:lang w:val="en-US"/>
        </w:rPr>
        <w:t>A Case Study from India on EMF</w:t>
      </w:r>
    </w:p>
    <w:p w:rsidR="0059063E" w:rsidRPr="00FE5200" w:rsidRDefault="0059063E" w:rsidP="00FE5200">
      <w:pPr>
        <w:pStyle w:val="Heading1"/>
        <w:spacing w:before="120"/>
      </w:pPr>
      <w:bookmarkStart w:id="153" w:name="_Toc369596162"/>
      <w:bookmarkStart w:id="154" w:name="_Toc370394222"/>
      <w:bookmarkStart w:id="155" w:name="_Toc370477316"/>
      <w:bookmarkStart w:id="156" w:name="_Toc370477595"/>
      <w:bookmarkStart w:id="157" w:name="_Toc377482125"/>
      <w:r w:rsidRPr="001F3A1E">
        <w:t>II</w:t>
      </w:r>
      <w:r w:rsidRPr="00FE5200">
        <w:tab/>
      </w:r>
      <w:bookmarkEnd w:id="153"/>
      <w:bookmarkEnd w:id="154"/>
      <w:bookmarkEnd w:id="155"/>
      <w:bookmarkEnd w:id="156"/>
      <w:bookmarkEnd w:id="157"/>
      <w:r w:rsidR="00FE5200" w:rsidRPr="00CB013A">
        <w:t>List of Contributions</w:t>
      </w:r>
    </w:p>
    <w:p w:rsidR="0059063E" w:rsidRPr="00FE5200" w:rsidRDefault="0059063E" w:rsidP="00FE5200">
      <w:pPr>
        <w:pStyle w:val="Heading1"/>
        <w:spacing w:before="120"/>
      </w:pPr>
      <w:bookmarkStart w:id="158" w:name="_Toc369596163"/>
      <w:bookmarkStart w:id="159" w:name="_Toc370394223"/>
      <w:bookmarkStart w:id="160" w:name="_Toc370477317"/>
      <w:bookmarkStart w:id="161" w:name="_Toc370477596"/>
      <w:bookmarkStart w:id="162" w:name="_Toc377482126"/>
      <w:r w:rsidRPr="001F3A1E">
        <w:t>III</w:t>
      </w:r>
      <w:r w:rsidRPr="00FE5200">
        <w:tab/>
      </w:r>
      <w:bookmarkEnd w:id="158"/>
      <w:bookmarkEnd w:id="159"/>
      <w:bookmarkEnd w:id="160"/>
      <w:bookmarkEnd w:id="161"/>
      <w:bookmarkEnd w:id="162"/>
      <w:r w:rsidR="00FE5200" w:rsidRPr="00CB013A">
        <w:t>References</w:t>
      </w:r>
    </w:p>
    <w:p w:rsidR="00002906" w:rsidRPr="00FE5200" w:rsidRDefault="00002906" w:rsidP="00AF3080">
      <w:pPr>
        <w:pStyle w:val="HeadingB"/>
        <w:rPr>
          <w:lang w:val="en-US"/>
        </w:rPr>
      </w:pPr>
    </w:p>
    <w:p w:rsidR="00C15B34" w:rsidRPr="00FE5200" w:rsidRDefault="00C15B34" w:rsidP="00AF3080">
      <w:pPr>
        <w:pStyle w:val="HeadingB"/>
        <w:rPr>
          <w:lang w:val="en-US"/>
        </w:rPr>
        <w:sectPr w:rsidR="00C15B34" w:rsidRPr="00FE5200" w:rsidSect="00EF06F2">
          <w:endnotePr>
            <w:numFmt w:val="decimal"/>
          </w:endnotePr>
          <w:type w:val="oddPage"/>
          <w:pgSz w:w="11907" w:h="16840" w:code="9"/>
          <w:pgMar w:top="1418" w:right="1418" w:bottom="1418" w:left="1418" w:header="709" w:footer="709" w:gutter="0"/>
          <w:cols w:space="708"/>
          <w:titlePg/>
          <w:docGrid w:linePitch="360"/>
        </w:sectPr>
      </w:pPr>
    </w:p>
    <w:p w:rsidR="00061F17" w:rsidRPr="0044642E" w:rsidRDefault="00061F17" w:rsidP="00C15B34">
      <w:pPr>
        <w:pStyle w:val="Heading1"/>
        <w:spacing w:before="0"/>
      </w:pPr>
      <w:bookmarkStart w:id="163" w:name="_Toc377482127"/>
      <w:r w:rsidRPr="00637721">
        <w:lastRenderedPageBreak/>
        <w:t>Annex</w:t>
      </w:r>
      <w:r w:rsidRPr="0044642E">
        <w:t xml:space="preserve"> 1: </w:t>
      </w:r>
      <w:r w:rsidR="00357951" w:rsidRPr="0044642E">
        <w:tab/>
      </w:r>
      <w:r w:rsidRPr="00637721">
        <w:t>RF</w:t>
      </w:r>
      <w:r w:rsidRPr="0044642E">
        <w:t xml:space="preserve"> </w:t>
      </w:r>
      <w:r w:rsidRPr="00637721">
        <w:t>Exposure</w:t>
      </w:r>
      <w:r w:rsidRPr="0044642E">
        <w:t xml:space="preserve"> </w:t>
      </w:r>
      <w:r w:rsidRPr="00637721">
        <w:t>Units</w:t>
      </w:r>
      <w:r w:rsidRPr="0044642E">
        <w:t xml:space="preserve"> </w:t>
      </w:r>
      <w:r w:rsidRPr="00C15B34">
        <w:t>and</w:t>
      </w:r>
      <w:r w:rsidRPr="0044642E">
        <w:t xml:space="preserve"> </w:t>
      </w:r>
      <w:r w:rsidRPr="00637721">
        <w:t>Standards</w:t>
      </w:r>
      <w:bookmarkEnd w:id="99"/>
      <w:bookmarkEnd w:id="163"/>
    </w:p>
    <w:p w:rsidR="00061F17" w:rsidRDefault="00FA6CE1" w:rsidP="00C20DC1">
      <w:pPr>
        <w:pStyle w:val="Normalaftertitle"/>
      </w:pPr>
      <w:r w:rsidRPr="0044642E">
        <w:rPr>
          <w:rStyle w:val="FootnoteReference"/>
          <w:szCs w:val="19"/>
          <w:lang w:val="en-US" w:eastAsia="en-GB"/>
        </w:rPr>
        <w:footnoteReference w:customMarkFollows="1" w:id="21"/>
        <w:t>1</w:t>
      </w:r>
      <w:r w:rsidR="00061F17" w:rsidRPr="00061F17">
        <w:rPr>
          <w:lang w:eastAsia="en-GB"/>
        </w:rPr>
        <w:t>Table</w:t>
      </w:r>
      <w:r w:rsidR="00061F17" w:rsidRPr="0044642E">
        <w:rPr>
          <w:lang w:val="en-US" w:eastAsia="en-GB"/>
        </w:rPr>
        <w:t xml:space="preserve"> 1 </w:t>
      </w:r>
      <w:r w:rsidR="00061F17" w:rsidRPr="00061F17">
        <w:t>lists</w:t>
      </w:r>
      <w:r w:rsidR="00061F17" w:rsidRPr="0044642E">
        <w:rPr>
          <w:lang w:val="en-US"/>
        </w:rPr>
        <w:t xml:space="preserve"> </w:t>
      </w:r>
      <w:r w:rsidR="00061F17" w:rsidRPr="00061F17">
        <w:t>the</w:t>
      </w:r>
      <w:r w:rsidR="00061F17" w:rsidRPr="0044642E">
        <w:rPr>
          <w:lang w:val="en-US"/>
        </w:rPr>
        <w:t xml:space="preserve"> </w:t>
      </w:r>
      <w:r w:rsidR="00061F17" w:rsidRPr="00061F17">
        <w:t>reference units of the physical quantities used in this report.</w:t>
      </w:r>
    </w:p>
    <w:p w:rsidR="00C20DC1" w:rsidRPr="00C20DC1" w:rsidRDefault="00C20DC1" w:rsidP="00C20DC1">
      <w:pPr>
        <w:rPr>
          <w:lang w:val="en-GB" w:eastAsia="en-US"/>
        </w:rPr>
      </w:pPr>
    </w:p>
    <w:p w:rsidR="00061F17" w:rsidRPr="00214D1D" w:rsidRDefault="00061F17" w:rsidP="00637721">
      <w:pPr>
        <w:pStyle w:val="Tabletitle"/>
        <w:rPr>
          <w:lang w:eastAsia="zh-CN"/>
        </w:rPr>
      </w:pPr>
      <w:bookmarkStart w:id="164" w:name="_Toc148460119"/>
      <w:bookmarkStart w:id="165" w:name="_Toc199908850"/>
      <w:r w:rsidRPr="00214D1D">
        <w:rPr>
          <w:lang w:eastAsia="zh-CN"/>
        </w:rPr>
        <w:t>Table 1: Physical quantities and units</w:t>
      </w:r>
      <w:bookmarkEnd w:id="164"/>
      <w:bookmarkEnd w:id="165"/>
    </w:p>
    <w:tbl>
      <w:tblPr>
        <w:tblStyle w:val="Style1"/>
        <w:tblW w:w="4804" w:type="pct"/>
        <w:jc w:val="center"/>
        <w:tblLook w:val="0020" w:firstRow="1" w:lastRow="0" w:firstColumn="0" w:lastColumn="0" w:noHBand="0" w:noVBand="0"/>
      </w:tblPr>
      <w:tblGrid>
        <w:gridCol w:w="3773"/>
        <w:gridCol w:w="1049"/>
        <w:gridCol w:w="2452"/>
        <w:gridCol w:w="1649"/>
      </w:tblGrid>
      <w:tr w:rsidR="00061F17" w:rsidRPr="008D153A" w:rsidTr="002A225A">
        <w:trPr>
          <w:cnfStyle w:val="100000000000" w:firstRow="1" w:lastRow="0" w:firstColumn="0" w:lastColumn="0" w:oddVBand="0" w:evenVBand="0" w:oddHBand="0" w:evenHBand="0" w:firstRowFirstColumn="0" w:firstRowLastColumn="0" w:lastRowFirstColumn="0" w:lastRowLastColumn="0"/>
          <w:trHeight w:val="385"/>
          <w:jc w:val="center"/>
        </w:trPr>
        <w:tc>
          <w:tcPr>
            <w:tcW w:w="2114" w:type="pct"/>
          </w:tcPr>
          <w:p w:rsidR="00061F17" w:rsidRPr="008D153A" w:rsidRDefault="00061F17" w:rsidP="00637721">
            <w:pPr>
              <w:pStyle w:val="Tablehead"/>
              <w:rPr>
                <w:lang w:eastAsia="en-GB"/>
              </w:rPr>
            </w:pPr>
            <w:r w:rsidRPr="008D153A">
              <w:rPr>
                <w:lang w:eastAsia="en-GB"/>
              </w:rPr>
              <w:t>Quantity</w:t>
            </w:r>
          </w:p>
        </w:tc>
        <w:tc>
          <w:tcPr>
            <w:tcW w:w="588" w:type="pct"/>
          </w:tcPr>
          <w:p w:rsidR="00061F17" w:rsidRPr="008D153A" w:rsidRDefault="00061F17" w:rsidP="00637721">
            <w:pPr>
              <w:pStyle w:val="Tablehead"/>
              <w:rPr>
                <w:lang w:eastAsia="en-GB"/>
              </w:rPr>
            </w:pPr>
            <w:r w:rsidRPr="008D153A">
              <w:rPr>
                <w:lang w:eastAsia="en-GB"/>
              </w:rPr>
              <w:t>Symbol</w:t>
            </w:r>
          </w:p>
        </w:tc>
        <w:tc>
          <w:tcPr>
            <w:tcW w:w="1374" w:type="pct"/>
          </w:tcPr>
          <w:p w:rsidR="00061F17" w:rsidRPr="008D153A" w:rsidRDefault="00061F17" w:rsidP="00637721">
            <w:pPr>
              <w:pStyle w:val="Tablehead"/>
              <w:rPr>
                <w:lang w:eastAsia="en-GB"/>
              </w:rPr>
            </w:pPr>
            <w:r w:rsidRPr="008D153A">
              <w:rPr>
                <w:lang w:eastAsia="en-GB"/>
              </w:rPr>
              <w:t>Unit</w:t>
            </w:r>
          </w:p>
        </w:tc>
        <w:tc>
          <w:tcPr>
            <w:tcW w:w="924" w:type="pct"/>
          </w:tcPr>
          <w:p w:rsidR="00061F17" w:rsidRPr="008D153A" w:rsidRDefault="00061F17" w:rsidP="00637721">
            <w:pPr>
              <w:pStyle w:val="Tablehead"/>
              <w:rPr>
                <w:lang w:eastAsia="en-GB"/>
              </w:rPr>
            </w:pPr>
            <w:r w:rsidRPr="008D153A">
              <w:rPr>
                <w:lang w:eastAsia="en-GB"/>
              </w:rPr>
              <w:t>Symbol</w:t>
            </w:r>
          </w:p>
        </w:tc>
      </w:tr>
      <w:tr w:rsidR="00061F17" w:rsidRPr="00D572A5" w:rsidTr="002A225A">
        <w:trPr>
          <w:cnfStyle w:val="000000100000" w:firstRow="0" w:lastRow="0" w:firstColumn="0" w:lastColumn="0" w:oddVBand="0" w:evenVBand="0" w:oddHBand="1" w:evenHBand="0" w:firstRowFirstColumn="0" w:firstRowLastColumn="0" w:lastRowFirstColumn="0" w:lastRowLastColumn="0"/>
          <w:trHeight w:val="20"/>
          <w:jc w:val="center"/>
        </w:trPr>
        <w:tc>
          <w:tcPr>
            <w:tcW w:w="2114" w:type="pct"/>
          </w:tcPr>
          <w:p w:rsidR="00061F17" w:rsidRPr="00D572A5" w:rsidRDefault="00061F17" w:rsidP="00637721">
            <w:pPr>
              <w:pStyle w:val="Tabletext"/>
              <w:rPr>
                <w:lang w:eastAsia="en-GB"/>
              </w:rPr>
            </w:pPr>
            <w:r w:rsidRPr="00D572A5">
              <w:rPr>
                <w:lang w:eastAsia="en-GB"/>
              </w:rPr>
              <w:t>Frequency</w:t>
            </w:r>
          </w:p>
        </w:tc>
        <w:tc>
          <w:tcPr>
            <w:tcW w:w="588" w:type="pct"/>
          </w:tcPr>
          <w:p w:rsidR="00061F17" w:rsidRPr="00D572A5" w:rsidRDefault="00061F17" w:rsidP="00637721">
            <w:pPr>
              <w:pStyle w:val="Tabletext"/>
              <w:rPr>
                <w:lang w:eastAsia="en-GB"/>
              </w:rPr>
            </w:pPr>
            <w:r w:rsidRPr="00D572A5">
              <w:rPr>
                <w:lang w:eastAsia="en-GB"/>
              </w:rPr>
              <w:t>f</w:t>
            </w:r>
          </w:p>
        </w:tc>
        <w:tc>
          <w:tcPr>
            <w:tcW w:w="1374" w:type="pct"/>
          </w:tcPr>
          <w:p w:rsidR="00061F17" w:rsidRPr="00D572A5" w:rsidRDefault="00061F17" w:rsidP="00637721">
            <w:pPr>
              <w:pStyle w:val="Tabletext"/>
              <w:rPr>
                <w:lang w:eastAsia="en-GB"/>
              </w:rPr>
            </w:pPr>
            <w:r w:rsidRPr="00D572A5">
              <w:rPr>
                <w:lang w:eastAsia="en-GB"/>
              </w:rPr>
              <w:t>Hertz</w:t>
            </w:r>
          </w:p>
        </w:tc>
        <w:tc>
          <w:tcPr>
            <w:tcW w:w="924" w:type="pct"/>
          </w:tcPr>
          <w:p w:rsidR="00061F17" w:rsidRPr="00D572A5" w:rsidRDefault="00061F17" w:rsidP="00637721">
            <w:pPr>
              <w:pStyle w:val="Tabletext"/>
              <w:rPr>
                <w:lang w:eastAsia="en-GB"/>
              </w:rPr>
            </w:pPr>
            <w:r w:rsidRPr="00D572A5">
              <w:rPr>
                <w:lang w:eastAsia="en-GB"/>
              </w:rPr>
              <w:t>Hz</w:t>
            </w:r>
          </w:p>
        </w:tc>
      </w:tr>
      <w:tr w:rsidR="00061F17" w:rsidRPr="00D572A5" w:rsidTr="002A225A">
        <w:trPr>
          <w:cnfStyle w:val="000000010000" w:firstRow="0" w:lastRow="0" w:firstColumn="0" w:lastColumn="0" w:oddVBand="0" w:evenVBand="0" w:oddHBand="0" w:evenHBand="1" w:firstRowFirstColumn="0" w:firstRowLastColumn="0" w:lastRowFirstColumn="0" w:lastRowLastColumn="0"/>
          <w:trHeight w:val="20"/>
          <w:jc w:val="center"/>
        </w:trPr>
        <w:tc>
          <w:tcPr>
            <w:tcW w:w="2114" w:type="pct"/>
          </w:tcPr>
          <w:p w:rsidR="00061F17" w:rsidRPr="00D572A5" w:rsidRDefault="00061F17" w:rsidP="00637721">
            <w:pPr>
              <w:pStyle w:val="Tabletext"/>
              <w:rPr>
                <w:lang w:eastAsia="en-GB"/>
              </w:rPr>
            </w:pPr>
            <w:r w:rsidRPr="00D572A5">
              <w:rPr>
                <w:lang w:eastAsia="en-GB"/>
              </w:rPr>
              <w:t>Electric field strength</w:t>
            </w:r>
          </w:p>
        </w:tc>
        <w:tc>
          <w:tcPr>
            <w:tcW w:w="588" w:type="pct"/>
          </w:tcPr>
          <w:p w:rsidR="00061F17" w:rsidRPr="00D572A5" w:rsidRDefault="00061F17" w:rsidP="00637721">
            <w:pPr>
              <w:pStyle w:val="Tabletext"/>
              <w:rPr>
                <w:lang w:eastAsia="en-GB"/>
              </w:rPr>
            </w:pPr>
            <w:r w:rsidRPr="00D572A5">
              <w:rPr>
                <w:lang w:eastAsia="en-GB"/>
              </w:rPr>
              <w:t>E</w:t>
            </w:r>
          </w:p>
        </w:tc>
        <w:tc>
          <w:tcPr>
            <w:tcW w:w="1374" w:type="pct"/>
          </w:tcPr>
          <w:p w:rsidR="00061F17" w:rsidRPr="00D572A5" w:rsidRDefault="00061F17" w:rsidP="00637721">
            <w:pPr>
              <w:pStyle w:val="Tabletext"/>
              <w:rPr>
                <w:lang w:eastAsia="en-GB"/>
              </w:rPr>
            </w:pPr>
            <w:r w:rsidRPr="00D572A5">
              <w:rPr>
                <w:lang w:eastAsia="en-GB"/>
              </w:rPr>
              <w:t>Volt per metre</w:t>
            </w:r>
          </w:p>
        </w:tc>
        <w:tc>
          <w:tcPr>
            <w:tcW w:w="924" w:type="pct"/>
          </w:tcPr>
          <w:p w:rsidR="00061F17" w:rsidRPr="00D572A5" w:rsidRDefault="00061F17" w:rsidP="00637721">
            <w:pPr>
              <w:pStyle w:val="Tabletext"/>
              <w:rPr>
                <w:lang w:eastAsia="en-GB"/>
              </w:rPr>
            </w:pPr>
            <w:r w:rsidRPr="00D572A5">
              <w:rPr>
                <w:lang w:eastAsia="en-GB"/>
              </w:rPr>
              <w:t>V/m</w:t>
            </w:r>
          </w:p>
        </w:tc>
      </w:tr>
      <w:tr w:rsidR="00061F17" w:rsidRPr="00D572A5" w:rsidTr="002A225A">
        <w:trPr>
          <w:cnfStyle w:val="000000100000" w:firstRow="0" w:lastRow="0" w:firstColumn="0" w:lastColumn="0" w:oddVBand="0" w:evenVBand="0" w:oddHBand="1" w:evenHBand="0" w:firstRowFirstColumn="0" w:firstRowLastColumn="0" w:lastRowFirstColumn="0" w:lastRowLastColumn="0"/>
          <w:trHeight w:val="20"/>
          <w:jc w:val="center"/>
        </w:trPr>
        <w:tc>
          <w:tcPr>
            <w:tcW w:w="2114" w:type="pct"/>
          </w:tcPr>
          <w:p w:rsidR="00061F17" w:rsidRPr="00D572A5" w:rsidRDefault="00061F17" w:rsidP="00637721">
            <w:pPr>
              <w:pStyle w:val="Tabletext"/>
              <w:rPr>
                <w:lang w:eastAsia="en-GB"/>
              </w:rPr>
            </w:pPr>
            <w:r w:rsidRPr="00D572A5">
              <w:rPr>
                <w:lang w:eastAsia="en-GB"/>
              </w:rPr>
              <w:t>Power</w:t>
            </w:r>
          </w:p>
        </w:tc>
        <w:tc>
          <w:tcPr>
            <w:tcW w:w="588" w:type="pct"/>
          </w:tcPr>
          <w:p w:rsidR="00061F17" w:rsidRPr="00D572A5" w:rsidRDefault="00061F17" w:rsidP="00637721">
            <w:pPr>
              <w:pStyle w:val="Tabletext"/>
              <w:rPr>
                <w:lang w:eastAsia="en-GB"/>
              </w:rPr>
            </w:pPr>
            <w:r w:rsidRPr="00D572A5">
              <w:rPr>
                <w:lang w:eastAsia="en-GB"/>
              </w:rPr>
              <w:t>P</w:t>
            </w:r>
          </w:p>
        </w:tc>
        <w:tc>
          <w:tcPr>
            <w:tcW w:w="1374" w:type="pct"/>
          </w:tcPr>
          <w:p w:rsidR="00061F17" w:rsidRPr="00D572A5" w:rsidRDefault="00061F17" w:rsidP="00637721">
            <w:pPr>
              <w:pStyle w:val="Tabletext"/>
              <w:rPr>
                <w:lang w:eastAsia="en-GB"/>
              </w:rPr>
            </w:pPr>
            <w:r w:rsidRPr="00D572A5">
              <w:rPr>
                <w:lang w:eastAsia="en-GB"/>
              </w:rPr>
              <w:t>Watts</w:t>
            </w:r>
          </w:p>
        </w:tc>
        <w:tc>
          <w:tcPr>
            <w:tcW w:w="924" w:type="pct"/>
          </w:tcPr>
          <w:p w:rsidR="00061F17" w:rsidRPr="00D572A5" w:rsidRDefault="00061F17" w:rsidP="00637721">
            <w:pPr>
              <w:pStyle w:val="Tabletext"/>
              <w:rPr>
                <w:lang w:eastAsia="en-GB"/>
              </w:rPr>
            </w:pPr>
            <w:r w:rsidRPr="00D572A5">
              <w:rPr>
                <w:lang w:eastAsia="en-GB"/>
              </w:rPr>
              <w:t>W</w:t>
            </w:r>
          </w:p>
        </w:tc>
      </w:tr>
      <w:tr w:rsidR="00061F17" w:rsidRPr="00D572A5" w:rsidTr="002A225A">
        <w:trPr>
          <w:cnfStyle w:val="000000010000" w:firstRow="0" w:lastRow="0" w:firstColumn="0" w:lastColumn="0" w:oddVBand="0" w:evenVBand="0" w:oddHBand="0" w:evenHBand="1" w:firstRowFirstColumn="0" w:firstRowLastColumn="0" w:lastRowFirstColumn="0" w:lastRowLastColumn="0"/>
          <w:trHeight w:val="20"/>
          <w:jc w:val="center"/>
        </w:trPr>
        <w:tc>
          <w:tcPr>
            <w:tcW w:w="2114" w:type="pct"/>
          </w:tcPr>
          <w:p w:rsidR="00061F17" w:rsidRPr="00D572A5" w:rsidRDefault="00061F17" w:rsidP="00637721">
            <w:pPr>
              <w:pStyle w:val="Tabletext"/>
              <w:rPr>
                <w:lang w:eastAsia="en-GB"/>
              </w:rPr>
            </w:pPr>
            <w:r w:rsidRPr="00D572A5">
              <w:rPr>
                <w:lang w:eastAsia="en-GB"/>
              </w:rPr>
              <w:t xml:space="preserve">Specific Absorption Rate </w:t>
            </w:r>
          </w:p>
        </w:tc>
        <w:tc>
          <w:tcPr>
            <w:tcW w:w="588" w:type="pct"/>
          </w:tcPr>
          <w:p w:rsidR="00061F17" w:rsidRPr="00D572A5" w:rsidRDefault="00061F17" w:rsidP="00637721">
            <w:pPr>
              <w:pStyle w:val="Tabletext"/>
              <w:rPr>
                <w:lang w:eastAsia="en-GB"/>
              </w:rPr>
            </w:pPr>
            <w:r w:rsidRPr="00D572A5">
              <w:rPr>
                <w:lang w:eastAsia="en-GB"/>
              </w:rPr>
              <w:t>SAR</w:t>
            </w:r>
          </w:p>
        </w:tc>
        <w:tc>
          <w:tcPr>
            <w:tcW w:w="1374" w:type="pct"/>
          </w:tcPr>
          <w:p w:rsidR="00061F17" w:rsidRPr="007A19CC" w:rsidRDefault="00061F17" w:rsidP="00637721">
            <w:pPr>
              <w:pStyle w:val="Tabletext"/>
              <w:rPr>
                <w:lang w:val="en-US" w:eastAsia="en-GB"/>
              </w:rPr>
            </w:pPr>
            <w:r w:rsidRPr="007A19CC">
              <w:rPr>
                <w:lang w:val="en-US" w:eastAsia="en-GB"/>
              </w:rPr>
              <w:t>Watt per kilogram or milliWatt per gram</w:t>
            </w:r>
          </w:p>
        </w:tc>
        <w:tc>
          <w:tcPr>
            <w:tcW w:w="924" w:type="pct"/>
          </w:tcPr>
          <w:p w:rsidR="00061F17" w:rsidRPr="00D572A5" w:rsidRDefault="00061F17" w:rsidP="00637721">
            <w:pPr>
              <w:pStyle w:val="Tabletext"/>
              <w:rPr>
                <w:lang w:eastAsia="en-GB"/>
              </w:rPr>
            </w:pPr>
            <w:r w:rsidRPr="00D572A5">
              <w:rPr>
                <w:lang w:eastAsia="en-GB"/>
              </w:rPr>
              <w:t>W/kg or mW/g</w:t>
            </w:r>
          </w:p>
        </w:tc>
      </w:tr>
      <w:tr w:rsidR="00061F17" w:rsidRPr="00D572A5" w:rsidTr="002A225A">
        <w:trPr>
          <w:cnfStyle w:val="000000100000" w:firstRow="0" w:lastRow="0" w:firstColumn="0" w:lastColumn="0" w:oddVBand="0" w:evenVBand="0" w:oddHBand="1" w:evenHBand="0" w:firstRowFirstColumn="0" w:firstRowLastColumn="0" w:lastRowFirstColumn="0" w:lastRowLastColumn="0"/>
          <w:trHeight w:val="20"/>
          <w:jc w:val="center"/>
        </w:trPr>
        <w:tc>
          <w:tcPr>
            <w:tcW w:w="2114" w:type="pct"/>
            <w:vMerge w:val="restart"/>
          </w:tcPr>
          <w:p w:rsidR="00061F17" w:rsidRPr="007A19CC" w:rsidRDefault="00061F17" w:rsidP="00637721">
            <w:pPr>
              <w:pStyle w:val="Tabletext"/>
              <w:rPr>
                <w:lang w:val="en-US" w:eastAsia="en-GB"/>
              </w:rPr>
            </w:pPr>
            <w:r w:rsidRPr="007A19CC">
              <w:rPr>
                <w:lang w:val="en-US" w:eastAsia="en-GB"/>
              </w:rPr>
              <w:t xml:space="preserve">Power density or power flux density </w:t>
            </w:r>
          </w:p>
        </w:tc>
        <w:tc>
          <w:tcPr>
            <w:tcW w:w="588" w:type="pct"/>
            <w:vMerge w:val="restart"/>
          </w:tcPr>
          <w:p w:rsidR="00061F17" w:rsidRPr="00D572A5" w:rsidRDefault="00061F17" w:rsidP="00637721">
            <w:pPr>
              <w:pStyle w:val="Tabletext"/>
              <w:rPr>
                <w:lang w:eastAsia="en-GB"/>
              </w:rPr>
            </w:pPr>
            <w:r w:rsidRPr="00D572A5">
              <w:rPr>
                <w:lang w:eastAsia="en-GB"/>
              </w:rPr>
              <w:t>S</w:t>
            </w:r>
          </w:p>
        </w:tc>
        <w:tc>
          <w:tcPr>
            <w:tcW w:w="1374" w:type="pct"/>
          </w:tcPr>
          <w:p w:rsidR="00061F17" w:rsidRPr="00D572A5" w:rsidRDefault="00061F17" w:rsidP="00637721">
            <w:pPr>
              <w:pStyle w:val="Tabletext"/>
              <w:rPr>
                <w:lang w:eastAsia="en-GB"/>
              </w:rPr>
            </w:pPr>
            <w:r w:rsidRPr="00D572A5">
              <w:rPr>
                <w:lang w:eastAsia="en-GB"/>
              </w:rPr>
              <w:t>Watt per square metre</w:t>
            </w:r>
          </w:p>
        </w:tc>
        <w:tc>
          <w:tcPr>
            <w:tcW w:w="924" w:type="pct"/>
          </w:tcPr>
          <w:p w:rsidR="00061F17" w:rsidRPr="00D572A5" w:rsidRDefault="00061F17" w:rsidP="00637721">
            <w:pPr>
              <w:pStyle w:val="Tabletext"/>
              <w:rPr>
                <w:lang w:eastAsia="en-GB"/>
              </w:rPr>
            </w:pPr>
            <w:r w:rsidRPr="00D572A5">
              <w:rPr>
                <w:lang w:eastAsia="en-GB"/>
              </w:rPr>
              <w:t>W/m²</w:t>
            </w:r>
          </w:p>
        </w:tc>
      </w:tr>
      <w:tr w:rsidR="00061F17" w:rsidRPr="00D572A5" w:rsidTr="002A225A">
        <w:trPr>
          <w:cnfStyle w:val="000000010000" w:firstRow="0" w:lastRow="0" w:firstColumn="0" w:lastColumn="0" w:oddVBand="0" w:evenVBand="0" w:oddHBand="0" w:evenHBand="1" w:firstRowFirstColumn="0" w:firstRowLastColumn="0" w:lastRowFirstColumn="0" w:lastRowLastColumn="0"/>
          <w:trHeight w:val="20"/>
          <w:jc w:val="center"/>
        </w:trPr>
        <w:tc>
          <w:tcPr>
            <w:tcW w:w="2114" w:type="pct"/>
            <w:vMerge/>
          </w:tcPr>
          <w:p w:rsidR="00061F17" w:rsidRPr="00D572A5" w:rsidRDefault="00061F17" w:rsidP="00061F17">
            <w:pPr>
              <w:pStyle w:val="BodyText"/>
              <w:rPr>
                <w:rFonts w:ascii="Verdana" w:hAnsi="Verdana"/>
                <w:sz w:val="19"/>
                <w:szCs w:val="19"/>
                <w:lang w:eastAsia="en-GB"/>
              </w:rPr>
            </w:pPr>
          </w:p>
        </w:tc>
        <w:tc>
          <w:tcPr>
            <w:tcW w:w="588" w:type="pct"/>
            <w:vMerge/>
          </w:tcPr>
          <w:p w:rsidR="00061F17" w:rsidRPr="00D572A5" w:rsidRDefault="00061F17" w:rsidP="00061F17">
            <w:pPr>
              <w:pStyle w:val="BodyText"/>
              <w:rPr>
                <w:rFonts w:ascii="Verdana" w:hAnsi="Verdana"/>
                <w:sz w:val="19"/>
                <w:szCs w:val="19"/>
                <w:lang w:eastAsia="en-GB"/>
              </w:rPr>
            </w:pPr>
          </w:p>
        </w:tc>
        <w:tc>
          <w:tcPr>
            <w:tcW w:w="1374" w:type="pct"/>
          </w:tcPr>
          <w:p w:rsidR="00061F17" w:rsidRPr="00D572A5" w:rsidRDefault="00061F17" w:rsidP="00637721">
            <w:pPr>
              <w:pStyle w:val="Tabletext"/>
              <w:rPr>
                <w:lang w:eastAsia="en-GB"/>
              </w:rPr>
            </w:pPr>
            <w:r w:rsidRPr="00D572A5">
              <w:rPr>
                <w:lang w:eastAsia="en-GB"/>
              </w:rPr>
              <w:t>mWatt per square cm</w:t>
            </w:r>
          </w:p>
        </w:tc>
        <w:tc>
          <w:tcPr>
            <w:tcW w:w="924" w:type="pct"/>
          </w:tcPr>
          <w:p w:rsidR="00061F17" w:rsidRPr="00D572A5" w:rsidRDefault="00061F17" w:rsidP="00637721">
            <w:pPr>
              <w:pStyle w:val="Tabletext"/>
              <w:rPr>
                <w:lang w:eastAsia="en-GB"/>
              </w:rPr>
            </w:pPr>
            <w:r w:rsidRPr="00D572A5">
              <w:rPr>
                <w:lang w:eastAsia="en-GB"/>
              </w:rPr>
              <w:t>mW/cm²</w:t>
            </w:r>
          </w:p>
        </w:tc>
      </w:tr>
    </w:tbl>
    <w:p w:rsidR="00C20DC1" w:rsidRDefault="00C20DC1" w:rsidP="00F37D6C">
      <w:pPr>
        <w:rPr>
          <w:lang w:val="en-US"/>
        </w:rPr>
      </w:pPr>
    </w:p>
    <w:p w:rsidR="00061F17" w:rsidRPr="007A19CC" w:rsidRDefault="00061F17" w:rsidP="00F37D6C">
      <w:pPr>
        <w:rPr>
          <w:lang w:val="en-US"/>
        </w:rPr>
      </w:pPr>
      <w:r w:rsidRPr="007A19CC">
        <w:rPr>
          <w:lang w:val="en-US"/>
        </w:rPr>
        <w:t xml:space="preserve">Various institutions define the allowed limits permitted in specific regions: ICNIRP (1998, </w:t>
      </w:r>
      <w:r w:rsidRPr="007A19CC">
        <w:rPr>
          <w:i/>
          <w:iCs/>
          <w:lang w:val="en-US"/>
        </w:rPr>
        <w:t>Guidelines</w:t>
      </w:r>
      <w:r w:rsidRPr="007A19CC">
        <w:rPr>
          <w:lang w:val="en-US"/>
        </w:rPr>
        <w:t xml:space="preserve">); FCC- Federal Communications Commission (1997, </w:t>
      </w:r>
      <w:r w:rsidRPr="007A19CC">
        <w:rPr>
          <w:i/>
          <w:iCs/>
          <w:lang w:val="en-US"/>
        </w:rPr>
        <w:t>Bulletin 65</w:t>
      </w:r>
      <w:r w:rsidRPr="007A19CC">
        <w:rPr>
          <w:lang w:val="en-US"/>
        </w:rPr>
        <w:t xml:space="preserve">), developed by IEEE (Institute of Electrical and Electronic Engineers) 1991 C95.1 and adopted by ANSI (American National Standards Institute) (1992, ANSI/IEEE C95.1); IEEE 2006 standard (C95.1-2005), not adopted by FCC. ICNIRP (1998 p. 509 table 4 and p. 511 table 7) defines the exposure thresholds of the World Health Organisation (WHO) for EMF. The European Council EC 1999/519 (Annex III, tables 1 and 2) adopted its values.   The following tables refer to the exposure limits for general public/ uncontrolled/ unperturbed environment (unlike the controlled/ occupational) for the cellular (UHF bands), where 'f' represents frequency in MHz, unless otherwise stated. </w:t>
      </w:r>
    </w:p>
    <w:p w:rsidR="00061F17" w:rsidRPr="007A19CC" w:rsidRDefault="00061F17" w:rsidP="00F37D6C">
      <w:pPr>
        <w:rPr>
          <w:lang w:val="en-US"/>
        </w:rPr>
      </w:pPr>
      <w:r w:rsidRPr="007A19CC">
        <w:rPr>
          <w:lang w:val="en-US"/>
        </w:rPr>
        <w:t>A distinction is made between the exposure levels from cellular base stations and handsets. The hazards from a base station’s radiation refer to the field intensity and power density generated, whereas the hazards from handsets are considered by the SAR value. The reason for the two different approaches: the far-field standard (easily computable and measured) is used for the base station case, whereas the near-field standard (SAR and phantom-based measurements) is applied for the handset case. The standards and guidelines give the 'baseline limits' for power density and SAR.</w:t>
      </w:r>
    </w:p>
    <w:p w:rsidR="00002906" w:rsidRDefault="00002906" w:rsidP="00B754AE">
      <w:pPr>
        <w:pStyle w:val="HeadingB"/>
      </w:pPr>
      <w:bookmarkStart w:id="166" w:name="_Toc361912441"/>
      <w:bookmarkStart w:id="167" w:name="_Toc149211791"/>
      <w:r>
        <w:br w:type="page"/>
      </w:r>
    </w:p>
    <w:p w:rsidR="00061F17" w:rsidRPr="00B10CC5" w:rsidRDefault="00061F17" w:rsidP="00C15B34">
      <w:pPr>
        <w:pStyle w:val="Heading1"/>
        <w:rPr>
          <w:smallCaps/>
        </w:rPr>
      </w:pPr>
      <w:bookmarkStart w:id="168" w:name="_Toc377482128"/>
      <w:r w:rsidRPr="00C15B34">
        <w:lastRenderedPageBreak/>
        <w:t>Annex</w:t>
      </w:r>
      <w:r>
        <w:t xml:space="preserve"> 2: </w:t>
      </w:r>
      <w:r w:rsidR="00357951">
        <w:tab/>
      </w:r>
      <w:r>
        <w:t>ICNIRP 1998 Exposure Levels and IEEE L</w:t>
      </w:r>
      <w:r w:rsidRPr="00B10CC5">
        <w:t>evels</w:t>
      </w:r>
      <w:bookmarkEnd w:id="166"/>
      <w:bookmarkEnd w:id="168"/>
    </w:p>
    <w:p w:rsidR="00061F17" w:rsidRPr="00413C13" w:rsidRDefault="001970D2" w:rsidP="00F37D6C">
      <w:pPr>
        <w:pStyle w:val="Tabletitle"/>
        <w:spacing w:before="120"/>
        <w:rPr>
          <w:lang w:val="en-GB" w:eastAsia="en-GB"/>
        </w:rPr>
      </w:pPr>
      <w:bookmarkStart w:id="169" w:name="_Toc361912442"/>
      <w:r w:rsidRPr="001970D2">
        <w:rPr>
          <w:rStyle w:val="FootnoteReference"/>
          <w:lang w:val="en-US"/>
        </w:rPr>
        <w:footnoteReference w:customMarkFollows="1" w:id="22"/>
        <w:t>1</w:t>
      </w:r>
      <w:r w:rsidR="00061F17" w:rsidRPr="00061F17">
        <w:t>Table 2</w:t>
      </w:r>
      <w:r w:rsidR="00061F17" w:rsidRPr="00061F17">
        <w:rPr>
          <w:lang w:eastAsia="en-GB"/>
        </w:rPr>
        <w:t>: ICNIRP (1998:511) Reference levels for occupational and general public exposure</w:t>
      </w:r>
      <w:bookmarkEnd w:id="169"/>
    </w:p>
    <w:tbl>
      <w:tblPr>
        <w:tblStyle w:val="Style1"/>
        <w:tblW w:w="4851" w:type="pct"/>
        <w:jc w:val="center"/>
        <w:tblLook w:val="01E0" w:firstRow="1" w:lastRow="1" w:firstColumn="1" w:lastColumn="1" w:noHBand="0" w:noVBand="0"/>
      </w:tblPr>
      <w:tblGrid>
        <w:gridCol w:w="2702"/>
        <w:gridCol w:w="1842"/>
        <w:gridCol w:w="1487"/>
        <w:gridCol w:w="1485"/>
        <w:gridCol w:w="1494"/>
      </w:tblGrid>
      <w:tr w:rsidR="00061F17" w:rsidRPr="00E57763" w:rsidTr="002A225A">
        <w:trPr>
          <w:cnfStyle w:val="100000000000" w:firstRow="1" w:lastRow="0" w:firstColumn="0" w:lastColumn="0" w:oddVBand="0" w:evenVBand="0" w:oddHBand="0" w:evenHBand="0" w:firstRowFirstColumn="0" w:firstRowLastColumn="0" w:lastRowFirstColumn="0" w:lastRowLastColumn="0"/>
          <w:trHeight w:val="664"/>
          <w:jc w:val="center"/>
        </w:trPr>
        <w:tc>
          <w:tcPr>
            <w:tcW w:w="1500" w:type="pct"/>
            <w:hideMark/>
          </w:tcPr>
          <w:p w:rsidR="00061F17" w:rsidRPr="000B0EF9" w:rsidRDefault="00061F17" w:rsidP="00F37D6C">
            <w:pPr>
              <w:pStyle w:val="Tablehead"/>
              <w:rPr>
                <w:lang w:val="en-GB" w:eastAsia="en-GB"/>
              </w:rPr>
            </w:pPr>
            <w:r w:rsidRPr="000B0EF9">
              <w:rPr>
                <w:lang w:eastAsia="en-GB"/>
              </w:rPr>
              <w:t>Frequency  range</w:t>
            </w:r>
          </w:p>
        </w:tc>
        <w:tc>
          <w:tcPr>
            <w:tcW w:w="1846" w:type="pct"/>
            <w:gridSpan w:val="2"/>
            <w:hideMark/>
          </w:tcPr>
          <w:p w:rsidR="00061F17" w:rsidRPr="000B0EF9" w:rsidRDefault="00061F17" w:rsidP="00F37D6C">
            <w:pPr>
              <w:pStyle w:val="Tablehead"/>
              <w:rPr>
                <w:lang w:val="en-GB" w:eastAsia="en-GB"/>
              </w:rPr>
            </w:pPr>
            <w:r w:rsidRPr="00061F17">
              <w:rPr>
                <w:lang w:eastAsia="en-GB"/>
              </w:rPr>
              <w:t>Electric field strength (V/m)</w:t>
            </w:r>
          </w:p>
        </w:tc>
        <w:tc>
          <w:tcPr>
            <w:tcW w:w="1654" w:type="pct"/>
            <w:gridSpan w:val="2"/>
            <w:hideMark/>
          </w:tcPr>
          <w:p w:rsidR="00061F17" w:rsidRPr="000B0EF9" w:rsidRDefault="00061F17" w:rsidP="00F37D6C">
            <w:pPr>
              <w:pStyle w:val="Tablehead"/>
              <w:rPr>
                <w:lang w:val="en-GB" w:eastAsia="en-GB"/>
              </w:rPr>
            </w:pPr>
            <w:r w:rsidRPr="00061F17">
              <w:rPr>
                <w:lang w:eastAsia="en-GB"/>
              </w:rPr>
              <w:t>Equivalent plane wave power density S</w:t>
            </w:r>
            <w:r w:rsidRPr="00061F17">
              <w:rPr>
                <w:vertAlign w:val="subscript"/>
                <w:lang w:eastAsia="en-GB"/>
              </w:rPr>
              <w:t>eq</w:t>
            </w:r>
            <w:r w:rsidRPr="00061F17">
              <w:rPr>
                <w:lang w:eastAsia="en-GB"/>
              </w:rPr>
              <w:t>(W/m</w:t>
            </w:r>
            <w:r w:rsidRPr="00061F17">
              <w:rPr>
                <w:vertAlign w:val="superscript"/>
                <w:lang w:eastAsia="en-GB"/>
              </w:rPr>
              <w:t>2</w:t>
            </w:r>
            <w:r w:rsidRPr="00061F17">
              <w:rPr>
                <w:lang w:eastAsia="en-GB"/>
              </w:rPr>
              <w:t>)</w:t>
            </w:r>
          </w:p>
        </w:tc>
      </w:tr>
      <w:tr w:rsidR="00061F17" w:rsidRPr="00BC042E" w:rsidTr="002A225A">
        <w:trPr>
          <w:cnfStyle w:val="000000100000" w:firstRow="0" w:lastRow="0" w:firstColumn="0" w:lastColumn="0" w:oddVBand="0" w:evenVBand="0" w:oddHBand="1" w:evenHBand="0" w:firstRowFirstColumn="0" w:firstRowLastColumn="0" w:lastRowFirstColumn="0" w:lastRowLastColumn="0"/>
          <w:trHeight w:val="345"/>
          <w:jc w:val="center"/>
        </w:trPr>
        <w:tc>
          <w:tcPr>
            <w:tcW w:w="1500" w:type="pct"/>
          </w:tcPr>
          <w:p w:rsidR="00061F17" w:rsidRPr="00BC042E" w:rsidRDefault="00061F17" w:rsidP="00F37D6C">
            <w:pPr>
              <w:pStyle w:val="Tabletext"/>
              <w:rPr>
                <w:lang w:val="en-GB" w:eastAsia="en-GB"/>
              </w:rPr>
            </w:pPr>
          </w:p>
        </w:tc>
        <w:tc>
          <w:tcPr>
            <w:tcW w:w="1022" w:type="pct"/>
            <w:hideMark/>
          </w:tcPr>
          <w:p w:rsidR="00061F17" w:rsidRPr="00BC042E" w:rsidRDefault="00061F17" w:rsidP="00F37D6C">
            <w:pPr>
              <w:pStyle w:val="Tabletext"/>
              <w:rPr>
                <w:b/>
                <w:lang w:val="en-GB" w:eastAsia="en-GB"/>
              </w:rPr>
            </w:pPr>
            <w:r w:rsidRPr="00BC042E">
              <w:rPr>
                <w:rFonts w:eastAsiaTheme="minorHAnsi"/>
                <w:b/>
                <w:lang w:eastAsia="en-US"/>
              </w:rPr>
              <w:t>general public</w:t>
            </w:r>
          </w:p>
        </w:tc>
        <w:tc>
          <w:tcPr>
            <w:tcW w:w="825" w:type="pct"/>
            <w:hideMark/>
          </w:tcPr>
          <w:p w:rsidR="00061F17" w:rsidRPr="00BC042E" w:rsidRDefault="00061F17" w:rsidP="00F37D6C">
            <w:pPr>
              <w:pStyle w:val="Tabletext"/>
              <w:rPr>
                <w:b/>
                <w:lang w:val="en-GB" w:eastAsia="en-GB"/>
              </w:rPr>
            </w:pPr>
            <w:r w:rsidRPr="00BC042E">
              <w:rPr>
                <w:rFonts w:eastAsiaTheme="minorHAnsi"/>
                <w:b/>
                <w:lang w:eastAsia="en-US"/>
              </w:rPr>
              <w:t>occupational</w:t>
            </w:r>
          </w:p>
        </w:tc>
        <w:tc>
          <w:tcPr>
            <w:tcW w:w="824" w:type="pct"/>
            <w:hideMark/>
          </w:tcPr>
          <w:p w:rsidR="00061F17" w:rsidRPr="00BC042E" w:rsidRDefault="00061F17" w:rsidP="00F37D6C">
            <w:pPr>
              <w:pStyle w:val="Tabletext"/>
              <w:rPr>
                <w:b/>
                <w:lang w:val="en-GB" w:eastAsia="en-GB"/>
              </w:rPr>
            </w:pPr>
            <w:r w:rsidRPr="00BC042E">
              <w:rPr>
                <w:rFonts w:eastAsiaTheme="minorHAnsi"/>
                <w:b/>
                <w:lang w:eastAsia="en-US"/>
              </w:rPr>
              <w:t>general public</w:t>
            </w:r>
          </w:p>
        </w:tc>
        <w:tc>
          <w:tcPr>
            <w:tcW w:w="830" w:type="pct"/>
            <w:hideMark/>
          </w:tcPr>
          <w:p w:rsidR="00061F17" w:rsidRPr="00BC042E" w:rsidRDefault="00061F17" w:rsidP="00F37D6C">
            <w:pPr>
              <w:pStyle w:val="Tabletext"/>
              <w:rPr>
                <w:b/>
                <w:lang w:val="en-GB" w:eastAsia="en-GB"/>
              </w:rPr>
            </w:pPr>
            <w:r w:rsidRPr="00BC042E">
              <w:rPr>
                <w:rFonts w:eastAsiaTheme="minorHAnsi"/>
                <w:b/>
                <w:lang w:eastAsia="en-US"/>
              </w:rPr>
              <w:t>Occupational</w:t>
            </w:r>
          </w:p>
        </w:tc>
      </w:tr>
      <w:tr w:rsidR="00061F17" w:rsidRPr="00BC042E" w:rsidTr="002A225A">
        <w:trPr>
          <w:cnfStyle w:val="000000010000" w:firstRow="0" w:lastRow="0" w:firstColumn="0" w:lastColumn="0" w:oddVBand="0" w:evenVBand="0" w:oddHBand="0" w:evenHBand="1" w:firstRowFirstColumn="0" w:firstRowLastColumn="0" w:lastRowFirstColumn="0" w:lastRowLastColumn="0"/>
          <w:trHeight w:val="20"/>
          <w:jc w:val="center"/>
        </w:trPr>
        <w:tc>
          <w:tcPr>
            <w:tcW w:w="1500" w:type="pct"/>
            <w:hideMark/>
          </w:tcPr>
          <w:p w:rsidR="00061F17" w:rsidRPr="00BC042E" w:rsidRDefault="00061F17" w:rsidP="00F37D6C">
            <w:pPr>
              <w:pStyle w:val="Tabletext"/>
              <w:rPr>
                <w:lang w:val="en-GB" w:eastAsia="en-GB"/>
              </w:rPr>
            </w:pPr>
            <w:r w:rsidRPr="00BC042E">
              <w:rPr>
                <w:lang w:eastAsia="en-GB"/>
              </w:rPr>
              <w:t xml:space="preserve">1-25  Hz </w:t>
            </w:r>
          </w:p>
        </w:tc>
        <w:tc>
          <w:tcPr>
            <w:tcW w:w="1022" w:type="pct"/>
            <w:hideMark/>
          </w:tcPr>
          <w:p w:rsidR="00061F17" w:rsidRPr="00BC042E" w:rsidRDefault="00061F17" w:rsidP="00F37D6C">
            <w:pPr>
              <w:pStyle w:val="Tabletext"/>
              <w:rPr>
                <w:lang w:val="en-GB" w:eastAsia="en-GB"/>
              </w:rPr>
            </w:pPr>
            <w:r w:rsidRPr="00BC042E">
              <w:rPr>
                <w:lang w:eastAsia="en-GB"/>
              </w:rPr>
              <w:t>10,000</w:t>
            </w:r>
          </w:p>
        </w:tc>
        <w:tc>
          <w:tcPr>
            <w:tcW w:w="825" w:type="pct"/>
            <w:hideMark/>
          </w:tcPr>
          <w:p w:rsidR="00061F17" w:rsidRPr="00BC042E" w:rsidRDefault="00061F17" w:rsidP="00F37D6C">
            <w:pPr>
              <w:pStyle w:val="Tabletext"/>
              <w:rPr>
                <w:lang w:val="en-GB" w:eastAsia="en-GB"/>
              </w:rPr>
            </w:pPr>
            <w:r w:rsidRPr="00BC042E">
              <w:rPr>
                <w:lang w:eastAsia="en-GB"/>
              </w:rPr>
              <w:t>20,000</w:t>
            </w:r>
          </w:p>
        </w:tc>
        <w:tc>
          <w:tcPr>
            <w:tcW w:w="1654" w:type="pct"/>
            <w:gridSpan w:val="2"/>
            <w:vMerge w:val="restart"/>
            <w:hideMark/>
          </w:tcPr>
          <w:p w:rsidR="00061F17" w:rsidRPr="00BC042E" w:rsidRDefault="00061F17" w:rsidP="00F37D6C">
            <w:pPr>
              <w:pStyle w:val="Tabletext"/>
              <w:rPr>
                <w:lang w:val="en-GB" w:eastAsia="en-GB"/>
              </w:rPr>
            </w:pPr>
          </w:p>
        </w:tc>
      </w:tr>
      <w:tr w:rsidR="00061F17" w:rsidRPr="00BC042E" w:rsidTr="002A225A">
        <w:trPr>
          <w:cnfStyle w:val="000000100000" w:firstRow="0" w:lastRow="0" w:firstColumn="0" w:lastColumn="0" w:oddVBand="0" w:evenVBand="0" w:oddHBand="1" w:evenHBand="0" w:firstRowFirstColumn="0" w:firstRowLastColumn="0" w:lastRowFirstColumn="0" w:lastRowLastColumn="0"/>
          <w:trHeight w:val="20"/>
          <w:jc w:val="center"/>
        </w:trPr>
        <w:tc>
          <w:tcPr>
            <w:tcW w:w="1500" w:type="pct"/>
            <w:hideMark/>
          </w:tcPr>
          <w:p w:rsidR="00061F17" w:rsidRPr="00BC042E" w:rsidRDefault="00061F17" w:rsidP="00F37D6C">
            <w:pPr>
              <w:pStyle w:val="Tabletext"/>
              <w:rPr>
                <w:lang w:val="en-GB" w:eastAsia="en-GB"/>
              </w:rPr>
            </w:pPr>
            <w:r w:rsidRPr="00BC042E">
              <w:rPr>
                <w:lang w:eastAsia="en-GB"/>
              </w:rPr>
              <w:t xml:space="preserve">0.025- 0.82 KHz </w:t>
            </w:r>
          </w:p>
        </w:tc>
        <w:tc>
          <w:tcPr>
            <w:tcW w:w="1022" w:type="pct"/>
            <w:hideMark/>
          </w:tcPr>
          <w:p w:rsidR="00061F17" w:rsidRPr="00BC042E" w:rsidRDefault="00061F17" w:rsidP="00F37D6C">
            <w:pPr>
              <w:pStyle w:val="Tabletext"/>
              <w:rPr>
                <w:lang w:val="en-GB" w:eastAsia="en-GB"/>
              </w:rPr>
            </w:pPr>
            <w:r w:rsidRPr="00BC042E">
              <w:rPr>
                <w:lang w:eastAsia="en-GB"/>
              </w:rPr>
              <w:t>250/f(KHz)</w:t>
            </w:r>
          </w:p>
        </w:tc>
        <w:tc>
          <w:tcPr>
            <w:tcW w:w="825" w:type="pct"/>
            <w:hideMark/>
          </w:tcPr>
          <w:p w:rsidR="00061F17" w:rsidRPr="00BC042E" w:rsidRDefault="00061F17" w:rsidP="00F37D6C">
            <w:pPr>
              <w:pStyle w:val="Tabletext"/>
              <w:rPr>
                <w:lang w:val="en-GB" w:eastAsia="en-GB"/>
              </w:rPr>
            </w:pPr>
            <w:r w:rsidRPr="00BC042E">
              <w:rPr>
                <w:lang w:eastAsia="en-GB"/>
              </w:rPr>
              <w:t>500/f(KHz)</w:t>
            </w:r>
          </w:p>
        </w:tc>
        <w:tc>
          <w:tcPr>
            <w:tcW w:w="0" w:type="auto"/>
            <w:gridSpan w:val="2"/>
            <w:vMerge/>
            <w:hideMark/>
          </w:tcPr>
          <w:p w:rsidR="00061F17" w:rsidRPr="00BC042E" w:rsidRDefault="00061F17" w:rsidP="00F37D6C">
            <w:pPr>
              <w:pStyle w:val="Tabletext"/>
              <w:rPr>
                <w:lang w:val="en-GB" w:eastAsia="en-GB"/>
              </w:rPr>
            </w:pPr>
          </w:p>
        </w:tc>
      </w:tr>
      <w:tr w:rsidR="00061F17" w:rsidRPr="00BC042E" w:rsidTr="002A225A">
        <w:trPr>
          <w:cnfStyle w:val="000000010000" w:firstRow="0" w:lastRow="0" w:firstColumn="0" w:lastColumn="0" w:oddVBand="0" w:evenVBand="0" w:oddHBand="0" w:evenHBand="1" w:firstRowFirstColumn="0" w:firstRowLastColumn="0" w:lastRowFirstColumn="0" w:lastRowLastColumn="0"/>
          <w:trHeight w:val="20"/>
          <w:jc w:val="center"/>
        </w:trPr>
        <w:tc>
          <w:tcPr>
            <w:tcW w:w="1500" w:type="pct"/>
            <w:hideMark/>
          </w:tcPr>
          <w:p w:rsidR="00061F17" w:rsidRPr="00BC042E" w:rsidRDefault="00061F17" w:rsidP="00F37D6C">
            <w:pPr>
              <w:pStyle w:val="Tabletext"/>
              <w:rPr>
                <w:lang w:val="en-GB" w:eastAsia="en-GB"/>
              </w:rPr>
            </w:pPr>
            <w:r w:rsidRPr="00BC042E">
              <w:rPr>
                <w:lang w:eastAsia="en-GB"/>
              </w:rPr>
              <w:t xml:space="preserve">0.82 -3 KHz </w:t>
            </w:r>
          </w:p>
        </w:tc>
        <w:tc>
          <w:tcPr>
            <w:tcW w:w="1022" w:type="pct"/>
            <w:hideMark/>
          </w:tcPr>
          <w:p w:rsidR="00061F17" w:rsidRPr="00BC042E" w:rsidRDefault="00061F17" w:rsidP="00F37D6C">
            <w:pPr>
              <w:pStyle w:val="Tabletext"/>
              <w:rPr>
                <w:lang w:val="en-GB" w:eastAsia="en-GB"/>
              </w:rPr>
            </w:pPr>
            <w:r w:rsidRPr="00BC042E">
              <w:rPr>
                <w:lang w:eastAsia="en-GB"/>
              </w:rPr>
              <w:t>250/f(KHz)</w:t>
            </w:r>
          </w:p>
        </w:tc>
        <w:tc>
          <w:tcPr>
            <w:tcW w:w="825" w:type="pct"/>
            <w:hideMark/>
          </w:tcPr>
          <w:p w:rsidR="00061F17" w:rsidRPr="00BC042E" w:rsidRDefault="00061F17" w:rsidP="00F37D6C">
            <w:pPr>
              <w:pStyle w:val="Tabletext"/>
              <w:rPr>
                <w:lang w:val="en-GB" w:eastAsia="en-GB"/>
              </w:rPr>
            </w:pPr>
            <w:r w:rsidRPr="00BC042E">
              <w:rPr>
                <w:lang w:eastAsia="en-GB"/>
              </w:rPr>
              <w:t>610</w:t>
            </w:r>
          </w:p>
        </w:tc>
        <w:tc>
          <w:tcPr>
            <w:tcW w:w="0" w:type="auto"/>
            <w:gridSpan w:val="2"/>
            <w:vMerge/>
            <w:hideMark/>
          </w:tcPr>
          <w:p w:rsidR="00061F17" w:rsidRPr="00BC042E" w:rsidRDefault="00061F17" w:rsidP="00F37D6C">
            <w:pPr>
              <w:pStyle w:val="Tabletext"/>
              <w:rPr>
                <w:lang w:val="en-GB" w:eastAsia="en-GB"/>
              </w:rPr>
            </w:pPr>
          </w:p>
        </w:tc>
      </w:tr>
      <w:tr w:rsidR="00061F17" w:rsidRPr="00BC042E" w:rsidTr="002A225A">
        <w:trPr>
          <w:cnfStyle w:val="000000100000" w:firstRow="0" w:lastRow="0" w:firstColumn="0" w:lastColumn="0" w:oddVBand="0" w:evenVBand="0" w:oddHBand="1" w:evenHBand="0" w:firstRowFirstColumn="0" w:firstRowLastColumn="0" w:lastRowFirstColumn="0" w:lastRowLastColumn="0"/>
          <w:trHeight w:val="20"/>
          <w:jc w:val="center"/>
        </w:trPr>
        <w:tc>
          <w:tcPr>
            <w:tcW w:w="1500" w:type="pct"/>
            <w:hideMark/>
          </w:tcPr>
          <w:p w:rsidR="00061F17" w:rsidRPr="00BC042E" w:rsidRDefault="00061F17" w:rsidP="00F37D6C">
            <w:pPr>
              <w:pStyle w:val="Tabletext"/>
              <w:rPr>
                <w:lang w:val="en-GB" w:eastAsia="en-GB"/>
              </w:rPr>
            </w:pPr>
            <w:r w:rsidRPr="00BC042E">
              <w:rPr>
                <w:lang w:eastAsia="en-GB"/>
              </w:rPr>
              <w:t xml:space="preserve">3-1000 KHz </w:t>
            </w:r>
          </w:p>
        </w:tc>
        <w:tc>
          <w:tcPr>
            <w:tcW w:w="1022" w:type="pct"/>
            <w:hideMark/>
          </w:tcPr>
          <w:p w:rsidR="00061F17" w:rsidRPr="00BC042E" w:rsidRDefault="00061F17" w:rsidP="00F37D6C">
            <w:pPr>
              <w:pStyle w:val="Tabletext"/>
              <w:rPr>
                <w:lang w:val="en-GB" w:eastAsia="en-GB"/>
              </w:rPr>
            </w:pPr>
            <w:r w:rsidRPr="00BC042E">
              <w:rPr>
                <w:lang w:eastAsia="en-GB"/>
              </w:rPr>
              <w:t>87</w:t>
            </w:r>
          </w:p>
        </w:tc>
        <w:tc>
          <w:tcPr>
            <w:tcW w:w="825" w:type="pct"/>
            <w:hideMark/>
          </w:tcPr>
          <w:p w:rsidR="00061F17" w:rsidRPr="00BC042E" w:rsidRDefault="00061F17" w:rsidP="00F37D6C">
            <w:pPr>
              <w:pStyle w:val="Tabletext"/>
              <w:rPr>
                <w:lang w:val="en-GB" w:eastAsia="en-GB"/>
              </w:rPr>
            </w:pPr>
            <w:r w:rsidRPr="00BC042E">
              <w:rPr>
                <w:lang w:eastAsia="en-GB"/>
              </w:rPr>
              <w:t>610</w:t>
            </w:r>
          </w:p>
        </w:tc>
        <w:tc>
          <w:tcPr>
            <w:tcW w:w="0" w:type="auto"/>
            <w:gridSpan w:val="2"/>
            <w:vMerge/>
            <w:hideMark/>
          </w:tcPr>
          <w:p w:rsidR="00061F17" w:rsidRPr="00BC042E" w:rsidRDefault="00061F17" w:rsidP="00F37D6C">
            <w:pPr>
              <w:pStyle w:val="Tabletext"/>
              <w:rPr>
                <w:lang w:val="en-GB" w:eastAsia="en-GB"/>
              </w:rPr>
            </w:pPr>
          </w:p>
        </w:tc>
      </w:tr>
      <w:tr w:rsidR="00061F17" w:rsidRPr="00BC042E" w:rsidTr="002A225A">
        <w:trPr>
          <w:cnfStyle w:val="000000010000" w:firstRow="0" w:lastRow="0" w:firstColumn="0" w:lastColumn="0" w:oddVBand="0" w:evenVBand="0" w:oddHBand="0" w:evenHBand="1" w:firstRowFirstColumn="0" w:firstRowLastColumn="0" w:lastRowFirstColumn="0" w:lastRowLastColumn="0"/>
          <w:trHeight w:val="20"/>
          <w:jc w:val="center"/>
        </w:trPr>
        <w:tc>
          <w:tcPr>
            <w:tcW w:w="1500" w:type="pct"/>
            <w:hideMark/>
          </w:tcPr>
          <w:p w:rsidR="00061F17" w:rsidRPr="00BC042E" w:rsidRDefault="00061F17" w:rsidP="00F37D6C">
            <w:pPr>
              <w:pStyle w:val="Tabletext"/>
              <w:rPr>
                <w:lang w:val="en-GB" w:eastAsia="en-GB"/>
              </w:rPr>
            </w:pPr>
            <w:r w:rsidRPr="00BC042E">
              <w:rPr>
                <w:lang w:eastAsia="en-GB"/>
              </w:rPr>
              <w:t xml:space="preserve">1-10 MHz </w:t>
            </w:r>
          </w:p>
        </w:tc>
        <w:tc>
          <w:tcPr>
            <w:tcW w:w="1022" w:type="pct"/>
            <w:hideMark/>
          </w:tcPr>
          <w:p w:rsidR="00061F17" w:rsidRPr="00BC042E" w:rsidRDefault="00061F17" w:rsidP="00F37D6C">
            <w:pPr>
              <w:pStyle w:val="Tabletext"/>
              <w:rPr>
                <w:lang w:val="en-GB" w:eastAsia="en-GB"/>
              </w:rPr>
            </w:pPr>
            <w:r w:rsidRPr="00BC042E">
              <w:rPr>
                <w:lang w:eastAsia="en-GB"/>
              </w:rPr>
              <w:t xml:space="preserve">87/f </w:t>
            </w:r>
            <w:r w:rsidRPr="00BC042E">
              <w:rPr>
                <w:vertAlign w:val="superscript"/>
                <w:lang w:eastAsia="en-GB"/>
              </w:rPr>
              <w:t>1/2</w:t>
            </w:r>
            <w:r w:rsidRPr="00BC042E">
              <w:rPr>
                <w:lang w:eastAsia="en-GB"/>
              </w:rPr>
              <w:t xml:space="preserve"> (MHz)</w:t>
            </w:r>
          </w:p>
        </w:tc>
        <w:tc>
          <w:tcPr>
            <w:tcW w:w="825" w:type="pct"/>
            <w:hideMark/>
          </w:tcPr>
          <w:p w:rsidR="00061F17" w:rsidRPr="00BC042E" w:rsidRDefault="00061F17" w:rsidP="00F37D6C">
            <w:pPr>
              <w:pStyle w:val="Tabletext"/>
              <w:rPr>
                <w:lang w:val="en-GB" w:eastAsia="en-GB"/>
              </w:rPr>
            </w:pPr>
            <w:r w:rsidRPr="00BC042E">
              <w:rPr>
                <w:lang w:eastAsia="en-GB"/>
              </w:rPr>
              <w:t>610/f (MHz)</w:t>
            </w:r>
          </w:p>
        </w:tc>
        <w:tc>
          <w:tcPr>
            <w:tcW w:w="0" w:type="auto"/>
            <w:gridSpan w:val="2"/>
            <w:vMerge/>
            <w:hideMark/>
          </w:tcPr>
          <w:p w:rsidR="00061F17" w:rsidRPr="00BC042E" w:rsidRDefault="00061F17" w:rsidP="00F37D6C">
            <w:pPr>
              <w:pStyle w:val="Tabletext"/>
              <w:rPr>
                <w:lang w:val="en-GB" w:eastAsia="en-GB"/>
              </w:rPr>
            </w:pPr>
          </w:p>
        </w:tc>
      </w:tr>
      <w:tr w:rsidR="00061F17" w:rsidRPr="00BC042E" w:rsidTr="002A225A">
        <w:trPr>
          <w:cnfStyle w:val="000000100000" w:firstRow="0" w:lastRow="0" w:firstColumn="0" w:lastColumn="0" w:oddVBand="0" w:evenVBand="0" w:oddHBand="1" w:evenHBand="0" w:firstRowFirstColumn="0" w:firstRowLastColumn="0" w:lastRowFirstColumn="0" w:lastRowLastColumn="0"/>
          <w:trHeight w:val="20"/>
          <w:jc w:val="center"/>
        </w:trPr>
        <w:tc>
          <w:tcPr>
            <w:tcW w:w="1500" w:type="pct"/>
            <w:hideMark/>
          </w:tcPr>
          <w:p w:rsidR="00061F17" w:rsidRPr="00BC042E" w:rsidRDefault="00061F17" w:rsidP="00F37D6C">
            <w:pPr>
              <w:pStyle w:val="Tabletext"/>
              <w:rPr>
                <w:lang w:val="en-GB" w:eastAsia="en-GB"/>
              </w:rPr>
            </w:pPr>
            <w:r w:rsidRPr="00BC042E">
              <w:rPr>
                <w:lang w:eastAsia="en-GB"/>
              </w:rPr>
              <w:t>10-400  MHz</w:t>
            </w:r>
          </w:p>
        </w:tc>
        <w:tc>
          <w:tcPr>
            <w:tcW w:w="1022" w:type="pct"/>
            <w:hideMark/>
          </w:tcPr>
          <w:p w:rsidR="00061F17" w:rsidRPr="00BC042E" w:rsidRDefault="00061F17" w:rsidP="00F37D6C">
            <w:pPr>
              <w:pStyle w:val="Tabletext"/>
              <w:rPr>
                <w:lang w:val="en-GB" w:eastAsia="en-GB"/>
              </w:rPr>
            </w:pPr>
            <w:r w:rsidRPr="00BC042E">
              <w:rPr>
                <w:lang w:eastAsia="en-GB"/>
              </w:rPr>
              <w:t>28</w:t>
            </w:r>
          </w:p>
        </w:tc>
        <w:tc>
          <w:tcPr>
            <w:tcW w:w="825" w:type="pct"/>
            <w:hideMark/>
          </w:tcPr>
          <w:p w:rsidR="00061F17" w:rsidRPr="00BC042E" w:rsidRDefault="00061F17" w:rsidP="00F37D6C">
            <w:pPr>
              <w:pStyle w:val="Tabletext"/>
              <w:rPr>
                <w:lang w:val="en-GB" w:eastAsia="en-GB"/>
              </w:rPr>
            </w:pPr>
            <w:r w:rsidRPr="00BC042E">
              <w:rPr>
                <w:lang w:eastAsia="en-GB"/>
              </w:rPr>
              <w:t>61</w:t>
            </w:r>
          </w:p>
        </w:tc>
        <w:tc>
          <w:tcPr>
            <w:tcW w:w="824" w:type="pct"/>
            <w:hideMark/>
          </w:tcPr>
          <w:p w:rsidR="00061F17" w:rsidRPr="00BC042E" w:rsidRDefault="00061F17" w:rsidP="00F37D6C">
            <w:pPr>
              <w:pStyle w:val="Tabletext"/>
              <w:rPr>
                <w:lang w:val="en-GB" w:eastAsia="en-GB"/>
              </w:rPr>
            </w:pPr>
            <w:r w:rsidRPr="00BC042E">
              <w:rPr>
                <w:lang w:eastAsia="en-GB"/>
              </w:rPr>
              <w:t>2</w:t>
            </w:r>
          </w:p>
        </w:tc>
        <w:tc>
          <w:tcPr>
            <w:tcW w:w="830" w:type="pct"/>
            <w:hideMark/>
          </w:tcPr>
          <w:p w:rsidR="00061F17" w:rsidRPr="00BC042E" w:rsidRDefault="00061F17" w:rsidP="00F37D6C">
            <w:pPr>
              <w:pStyle w:val="Tabletext"/>
              <w:rPr>
                <w:lang w:val="en-GB" w:eastAsia="en-GB"/>
              </w:rPr>
            </w:pPr>
            <w:r w:rsidRPr="00BC042E">
              <w:rPr>
                <w:lang w:eastAsia="en-GB"/>
              </w:rPr>
              <w:t>10</w:t>
            </w:r>
          </w:p>
        </w:tc>
      </w:tr>
      <w:tr w:rsidR="00061F17" w:rsidRPr="00BC042E" w:rsidTr="002A225A">
        <w:trPr>
          <w:cnfStyle w:val="000000010000" w:firstRow="0" w:lastRow="0" w:firstColumn="0" w:lastColumn="0" w:oddVBand="0" w:evenVBand="0" w:oddHBand="0" w:evenHBand="1" w:firstRowFirstColumn="0" w:firstRowLastColumn="0" w:lastRowFirstColumn="0" w:lastRowLastColumn="0"/>
          <w:trHeight w:val="20"/>
          <w:jc w:val="center"/>
        </w:trPr>
        <w:tc>
          <w:tcPr>
            <w:tcW w:w="1500" w:type="pct"/>
            <w:hideMark/>
          </w:tcPr>
          <w:p w:rsidR="00061F17" w:rsidRPr="00BC042E" w:rsidRDefault="00061F17" w:rsidP="00F37D6C">
            <w:pPr>
              <w:pStyle w:val="Tabletext"/>
              <w:rPr>
                <w:lang w:val="en-GB" w:eastAsia="en-GB"/>
              </w:rPr>
            </w:pPr>
            <w:r w:rsidRPr="00BC042E">
              <w:rPr>
                <w:lang w:eastAsia="en-GB"/>
              </w:rPr>
              <w:t>400-2000 MHz</w:t>
            </w:r>
          </w:p>
        </w:tc>
        <w:tc>
          <w:tcPr>
            <w:tcW w:w="1022" w:type="pct"/>
            <w:hideMark/>
          </w:tcPr>
          <w:p w:rsidR="00061F17" w:rsidRPr="00BC042E" w:rsidRDefault="00061F17" w:rsidP="00F37D6C">
            <w:pPr>
              <w:pStyle w:val="Tabletext"/>
              <w:rPr>
                <w:lang w:val="en-GB" w:eastAsia="en-GB"/>
              </w:rPr>
            </w:pPr>
            <w:r w:rsidRPr="00BC042E">
              <w:rPr>
                <w:lang w:eastAsia="en-GB"/>
              </w:rPr>
              <w:t xml:space="preserve">1.375f </w:t>
            </w:r>
            <w:r w:rsidRPr="00BC042E">
              <w:rPr>
                <w:vertAlign w:val="superscript"/>
                <w:lang w:eastAsia="en-GB"/>
              </w:rPr>
              <w:t>1/2</w:t>
            </w:r>
            <w:r w:rsidRPr="00BC042E">
              <w:rPr>
                <w:lang w:eastAsia="en-GB"/>
              </w:rPr>
              <w:t xml:space="preserve"> (MHz)</w:t>
            </w:r>
          </w:p>
        </w:tc>
        <w:tc>
          <w:tcPr>
            <w:tcW w:w="825" w:type="pct"/>
            <w:hideMark/>
          </w:tcPr>
          <w:p w:rsidR="00061F17" w:rsidRPr="00BC042E" w:rsidRDefault="00061F17" w:rsidP="00F37D6C">
            <w:pPr>
              <w:pStyle w:val="Tabletext"/>
              <w:rPr>
                <w:lang w:val="en-GB" w:eastAsia="en-GB"/>
              </w:rPr>
            </w:pPr>
            <w:r w:rsidRPr="00BC042E">
              <w:rPr>
                <w:lang w:eastAsia="en-GB"/>
              </w:rPr>
              <w:t xml:space="preserve">3f </w:t>
            </w:r>
            <w:r w:rsidRPr="00BC042E">
              <w:rPr>
                <w:vertAlign w:val="superscript"/>
                <w:lang w:eastAsia="en-GB"/>
              </w:rPr>
              <w:t>1/2</w:t>
            </w:r>
            <w:r w:rsidRPr="00BC042E">
              <w:rPr>
                <w:lang w:eastAsia="en-GB"/>
              </w:rPr>
              <w:t xml:space="preserve"> (MHz)</w:t>
            </w:r>
          </w:p>
        </w:tc>
        <w:tc>
          <w:tcPr>
            <w:tcW w:w="824" w:type="pct"/>
            <w:hideMark/>
          </w:tcPr>
          <w:p w:rsidR="00061F17" w:rsidRPr="00BC042E" w:rsidRDefault="00061F17" w:rsidP="00F37D6C">
            <w:pPr>
              <w:pStyle w:val="Tabletext"/>
              <w:rPr>
                <w:lang w:val="en-GB" w:eastAsia="en-GB"/>
              </w:rPr>
            </w:pPr>
            <w:r w:rsidRPr="00BC042E">
              <w:rPr>
                <w:lang w:eastAsia="en-GB"/>
              </w:rPr>
              <w:t>f/200</w:t>
            </w:r>
          </w:p>
        </w:tc>
        <w:tc>
          <w:tcPr>
            <w:tcW w:w="830" w:type="pct"/>
            <w:hideMark/>
          </w:tcPr>
          <w:p w:rsidR="00061F17" w:rsidRPr="00BC042E" w:rsidRDefault="00061F17" w:rsidP="00F37D6C">
            <w:pPr>
              <w:pStyle w:val="Tabletext"/>
              <w:rPr>
                <w:lang w:val="en-GB" w:eastAsia="en-GB"/>
              </w:rPr>
            </w:pPr>
            <w:r w:rsidRPr="00BC042E">
              <w:rPr>
                <w:lang w:eastAsia="en-GB"/>
              </w:rPr>
              <w:t>f/40</w:t>
            </w:r>
          </w:p>
        </w:tc>
      </w:tr>
      <w:tr w:rsidR="00061F17" w:rsidRPr="00BC042E" w:rsidTr="002A225A">
        <w:trPr>
          <w:cnfStyle w:val="000000100000" w:firstRow="0" w:lastRow="0" w:firstColumn="0" w:lastColumn="0" w:oddVBand="0" w:evenVBand="0" w:oddHBand="1" w:evenHBand="0" w:firstRowFirstColumn="0" w:firstRowLastColumn="0" w:lastRowFirstColumn="0" w:lastRowLastColumn="0"/>
          <w:trHeight w:val="20"/>
          <w:jc w:val="center"/>
        </w:trPr>
        <w:tc>
          <w:tcPr>
            <w:tcW w:w="1500" w:type="pct"/>
            <w:hideMark/>
          </w:tcPr>
          <w:p w:rsidR="00061F17" w:rsidRPr="00BC042E" w:rsidRDefault="00061F17" w:rsidP="00F37D6C">
            <w:pPr>
              <w:pStyle w:val="Tabletext"/>
              <w:rPr>
                <w:lang w:val="en-GB" w:eastAsia="en-GB"/>
              </w:rPr>
            </w:pPr>
            <w:r w:rsidRPr="00BC042E">
              <w:rPr>
                <w:lang w:eastAsia="en-GB"/>
              </w:rPr>
              <w:t xml:space="preserve">2-300 GHz  </w:t>
            </w:r>
          </w:p>
        </w:tc>
        <w:tc>
          <w:tcPr>
            <w:tcW w:w="1022" w:type="pct"/>
            <w:hideMark/>
          </w:tcPr>
          <w:p w:rsidR="00061F17" w:rsidRPr="00BC042E" w:rsidRDefault="00061F17" w:rsidP="00F37D6C">
            <w:pPr>
              <w:pStyle w:val="Tabletext"/>
              <w:rPr>
                <w:lang w:val="en-GB" w:eastAsia="en-GB"/>
              </w:rPr>
            </w:pPr>
            <w:r w:rsidRPr="00BC042E">
              <w:rPr>
                <w:lang w:eastAsia="en-GB"/>
              </w:rPr>
              <w:t>61</w:t>
            </w:r>
          </w:p>
        </w:tc>
        <w:tc>
          <w:tcPr>
            <w:tcW w:w="825" w:type="pct"/>
            <w:hideMark/>
          </w:tcPr>
          <w:p w:rsidR="00061F17" w:rsidRPr="00BC042E" w:rsidRDefault="00061F17" w:rsidP="00F37D6C">
            <w:pPr>
              <w:pStyle w:val="Tabletext"/>
              <w:rPr>
                <w:lang w:val="en-GB" w:eastAsia="en-GB"/>
              </w:rPr>
            </w:pPr>
            <w:r w:rsidRPr="00BC042E">
              <w:rPr>
                <w:lang w:eastAsia="en-GB"/>
              </w:rPr>
              <w:t>137</w:t>
            </w:r>
          </w:p>
        </w:tc>
        <w:tc>
          <w:tcPr>
            <w:tcW w:w="824" w:type="pct"/>
            <w:hideMark/>
          </w:tcPr>
          <w:p w:rsidR="00061F17" w:rsidRPr="00BC042E" w:rsidRDefault="00061F17" w:rsidP="00F37D6C">
            <w:pPr>
              <w:pStyle w:val="Tabletext"/>
              <w:rPr>
                <w:lang w:val="en-GB" w:eastAsia="en-GB"/>
              </w:rPr>
            </w:pPr>
            <w:r w:rsidRPr="00BC042E">
              <w:rPr>
                <w:lang w:eastAsia="en-GB"/>
              </w:rPr>
              <w:t>10</w:t>
            </w:r>
          </w:p>
        </w:tc>
        <w:tc>
          <w:tcPr>
            <w:tcW w:w="830" w:type="pct"/>
            <w:hideMark/>
          </w:tcPr>
          <w:p w:rsidR="00061F17" w:rsidRPr="00BC042E" w:rsidRDefault="00061F17" w:rsidP="00F37D6C">
            <w:pPr>
              <w:pStyle w:val="Tabletext"/>
              <w:rPr>
                <w:lang w:val="en-GB" w:eastAsia="en-GB"/>
              </w:rPr>
            </w:pPr>
            <w:r w:rsidRPr="00BC042E">
              <w:rPr>
                <w:lang w:eastAsia="en-GB"/>
              </w:rPr>
              <w:t>50</w:t>
            </w:r>
          </w:p>
        </w:tc>
      </w:tr>
    </w:tbl>
    <w:p w:rsidR="00061F17" w:rsidRPr="00BC042E" w:rsidRDefault="00061F17" w:rsidP="00061F17">
      <w:pPr>
        <w:rPr>
          <w:szCs w:val="19"/>
          <w:lang w:eastAsia="en-US"/>
        </w:rPr>
      </w:pPr>
    </w:p>
    <w:p w:rsidR="00061F17" w:rsidRDefault="00061F17" w:rsidP="00F37D6C">
      <w:pPr>
        <w:pStyle w:val="Figuretitle"/>
        <w:spacing w:before="120"/>
      </w:pPr>
      <w:bookmarkStart w:id="170" w:name="_Toc356299111"/>
      <w:bookmarkStart w:id="171" w:name="_Toc336265634"/>
      <w:bookmarkStart w:id="172" w:name="_Toc375239132"/>
      <w:bookmarkStart w:id="173" w:name="_Toc377482286"/>
      <w:r w:rsidRPr="00252687">
        <w:t xml:space="preserve">Figure </w:t>
      </w:r>
      <w:r w:rsidRPr="00252687">
        <w:fldChar w:fldCharType="begin"/>
      </w:r>
      <w:r w:rsidRPr="00252687">
        <w:instrText xml:space="preserve"> SEQ Figure \* ARABIC \s 1 </w:instrText>
      </w:r>
      <w:r w:rsidRPr="00252687">
        <w:fldChar w:fldCharType="separate"/>
      </w:r>
      <w:r w:rsidR="00EC4D72">
        <w:rPr>
          <w:noProof/>
        </w:rPr>
        <w:t>1</w:t>
      </w:r>
      <w:r w:rsidRPr="00252687">
        <w:fldChar w:fldCharType="end"/>
      </w:r>
      <w:r w:rsidRPr="00252687">
        <w:t>: ICNIRP field strength reference levels; see also Table 2</w:t>
      </w:r>
      <w:bookmarkEnd w:id="170"/>
      <w:bookmarkEnd w:id="171"/>
      <w:bookmarkEnd w:id="172"/>
      <w:bookmarkEnd w:id="173"/>
    </w:p>
    <w:p w:rsidR="00F37D6C" w:rsidRDefault="00F37D6C" w:rsidP="00F37D6C">
      <w:pPr>
        <w:pStyle w:val="Figure"/>
        <w:spacing w:before="120"/>
      </w:pPr>
      <w:r w:rsidRPr="00BC042E">
        <w:rPr>
          <w:noProof/>
          <w:lang w:val="ru-RU" w:eastAsia="zh-CN"/>
        </w:rPr>
        <w:drawing>
          <wp:inline distT="0" distB="0" distL="0" distR="0" wp14:anchorId="0FE4E886" wp14:editId="5BB907B0">
            <wp:extent cx="5179162" cy="2560320"/>
            <wp:effectExtent l="0" t="0" r="21590" b="114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86D63" w:rsidRPr="00252687" w:rsidRDefault="00A86D63" w:rsidP="00A86D63">
      <w:pPr>
        <w:pStyle w:val="figuresource"/>
      </w:pPr>
    </w:p>
    <w:p w:rsidR="00061F17" w:rsidRPr="00BC042E" w:rsidRDefault="00061F17" w:rsidP="00061F17">
      <w:pPr>
        <w:pStyle w:val="Caption"/>
        <w:jc w:val="center"/>
      </w:pPr>
      <w:bookmarkStart w:id="174" w:name="_Toc356299112"/>
      <w:bookmarkStart w:id="175" w:name="_Toc336265635"/>
    </w:p>
    <w:p w:rsidR="00061F17" w:rsidRDefault="00061F17" w:rsidP="00623EAD">
      <w:pPr>
        <w:pStyle w:val="Figuretitle"/>
      </w:pPr>
      <w:bookmarkStart w:id="176" w:name="_Toc375239133"/>
      <w:bookmarkStart w:id="177" w:name="_Toc377482287"/>
      <w:r w:rsidRPr="00882FF2">
        <w:lastRenderedPageBreak/>
        <w:t xml:space="preserve">Figure </w:t>
      </w:r>
      <w:r w:rsidRPr="00882FF2">
        <w:fldChar w:fldCharType="begin"/>
      </w:r>
      <w:r w:rsidRPr="00882FF2">
        <w:instrText xml:space="preserve"> SEQ Figure \* ARABIC \s 1 </w:instrText>
      </w:r>
      <w:r w:rsidRPr="00882FF2">
        <w:fldChar w:fldCharType="separate"/>
      </w:r>
      <w:r w:rsidR="00EC4D72">
        <w:rPr>
          <w:noProof/>
        </w:rPr>
        <w:t>2</w:t>
      </w:r>
      <w:r w:rsidRPr="00882FF2">
        <w:fldChar w:fldCharType="end"/>
      </w:r>
      <w:r w:rsidRPr="00882FF2">
        <w:t>: ICNIRP power density reference levels; above 10MHz only; see Table 2</w:t>
      </w:r>
      <w:bookmarkStart w:id="178" w:name="_Toc361912443"/>
      <w:bookmarkEnd w:id="174"/>
      <w:bookmarkEnd w:id="175"/>
      <w:bookmarkEnd w:id="176"/>
      <w:bookmarkEnd w:id="177"/>
    </w:p>
    <w:p w:rsidR="00623EAD" w:rsidRDefault="00623EAD" w:rsidP="00623EAD">
      <w:pPr>
        <w:pStyle w:val="Figure"/>
      </w:pPr>
      <w:r w:rsidRPr="00BC042E">
        <w:rPr>
          <w:noProof/>
          <w:lang w:val="ru-RU" w:eastAsia="zh-CN"/>
        </w:rPr>
        <w:drawing>
          <wp:inline distT="0" distB="0" distL="0" distR="0" wp14:anchorId="6468CED1" wp14:editId="23D306A3">
            <wp:extent cx="5156835" cy="2362200"/>
            <wp:effectExtent l="0" t="0" r="24765"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A6CE1" w:rsidRPr="00882FF2" w:rsidRDefault="00FA6CE1" w:rsidP="00FA6CE1">
      <w:pPr>
        <w:pStyle w:val="figuresource"/>
        <w:spacing w:before="120"/>
      </w:pPr>
    </w:p>
    <w:p w:rsidR="00061F17" w:rsidRPr="006A2D6B" w:rsidRDefault="00061F17" w:rsidP="002A225A">
      <w:pPr>
        <w:pStyle w:val="Heading2"/>
        <w:rPr>
          <w:lang w:eastAsia="en-US"/>
        </w:rPr>
      </w:pPr>
      <w:bookmarkStart w:id="179" w:name="_Toc374691842"/>
      <w:bookmarkStart w:id="180" w:name="_Toc377482129"/>
      <w:r w:rsidRPr="006A2D6B">
        <w:t>2.1</w:t>
      </w:r>
      <w:r w:rsidRPr="006A2D6B">
        <w:tab/>
        <w:t>Exposure Levels: Cellular Base-Stations</w:t>
      </w:r>
      <w:bookmarkEnd w:id="167"/>
      <w:bookmarkEnd w:id="178"/>
      <w:bookmarkEnd w:id="179"/>
      <w:bookmarkEnd w:id="180"/>
    </w:p>
    <w:p w:rsidR="00061F17" w:rsidRPr="007A19CC" w:rsidRDefault="00061F17" w:rsidP="002A225A">
      <w:pPr>
        <w:rPr>
          <w:lang w:val="en-US"/>
        </w:rPr>
      </w:pPr>
      <w:bookmarkStart w:id="181" w:name="_Toc122404840"/>
      <w:bookmarkStart w:id="182" w:name="_Toc124020448"/>
      <w:bookmarkStart w:id="183" w:name="_Toc124026980"/>
      <w:bookmarkStart w:id="184" w:name="_Toc124027421"/>
      <w:bookmarkStart w:id="185" w:name="_Toc124571119"/>
      <w:bookmarkStart w:id="186" w:name="_Toc124918549"/>
      <w:bookmarkStart w:id="187" w:name="_Toc128043074"/>
      <w:bookmarkStart w:id="188" w:name="_Toc144965636"/>
      <w:bookmarkStart w:id="189" w:name="_Toc147387478"/>
      <w:r w:rsidRPr="007A19CC">
        <w:rPr>
          <w:lang w:val="en-US"/>
        </w:rPr>
        <w:t xml:space="preserve">The limits of ICNIRP (1998:511, table 7) and the European Community (EC 1999/519: Annex III, table 2) are identical. The ICNIRP levels have been endorsed by the Commission's Scientific Steering Committee. Table 2 specifies these exposure limits </w:t>
      </w:r>
      <w:bookmarkEnd w:id="181"/>
      <w:bookmarkEnd w:id="182"/>
      <w:bookmarkEnd w:id="183"/>
      <w:bookmarkEnd w:id="184"/>
      <w:bookmarkEnd w:id="185"/>
      <w:bookmarkEnd w:id="186"/>
      <w:bookmarkEnd w:id="187"/>
      <w:bookmarkEnd w:id="188"/>
      <w:bookmarkEnd w:id="189"/>
      <w:r w:rsidRPr="007A19CC">
        <w:rPr>
          <w:lang w:val="en-US"/>
        </w:rPr>
        <w:t>for frequencies of cellular base stations.</w:t>
      </w:r>
      <w:bookmarkStart w:id="190" w:name="_Ref149546100"/>
      <w:bookmarkStart w:id="191" w:name="_Ref154567326"/>
      <w:bookmarkStart w:id="192" w:name="_Ref147993205"/>
      <w:bookmarkStart w:id="193" w:name="_Toc148460120"/>
      <w:bookmarkStart w:id="194" w:name="_Toc199908851"/>
      <w:bookmarkStart w:id="195" w:name="_Toc108101960"/>
    </w:p>
    <w:p w:rsidR="00061F17" w:rsidRPr="00B47154" w:rsidRDefault="00061F17" w:rsidP="002A225A">
      <w:pPr>
        <w:pStyle w:val="Tabletitle"/>
      </w:pPr>
      <w:r w:rsidRPr="00B47154">
        <w:t>Table</w:t>
      </w:r>
      <w:bookmarkEnd w:id="190"/>
      <w:bookmarkEnd w:id="191"/>
      <w:r w:rsidRPr="00B47154">
        <w:t xml:space="preserve"> 3: ICNIRP and EC reference levels for exposure</w:t>
      </w:r>
      <w:bookmarkEnd w:id="192"/>
      <w:bookmarkEnd w:id="193"/>
      <w:bookmarkEnd w:id="194"/>
    </w:p>
    <w:tbl>
      <w:tblPr>
        <w:tblStyle w:val="Style1"/>
        <w:tblW w:w="4880" w:type="pct"/>
        <w:jc w:val="center"/>
        <w:tblLook w:val="01E0" w:firstRow="1" w:lastRow="1" w:firstColumn="1" w:lastColumn="1" w:noHBand="0" w:noVBand="0"/>
      </w:tblPr>
      <w:tblGrid>
        <w:gridCol w:w="1844"/>
        <w:gridCol w:w="1751"/>
        <w:gridCol w:w="1699"/>
        <w:gridCol w:w="1885"/>
        <w:gridCol w:w="1885"/>
      </w:tblGrid>
      <w:tr w:rsidR="00061F17" w:rsidRPr="00E57763" w:rsidTr="002A225A">
        <w:trPr>
          <w:cnfStyle w:val="100000000000" w:firstRow="1" w:lastRow="0" w:firstColumn="0" w:lastColumn="0" w:oddVBand="0" w:evenVBand="0" w:oddHBand="0" w:evenHBand="0" w:firstRowFirstColumn="0" w:firstRowLastColumn="0" w:lastRowFirstColumn="0" w:lastRowLastColumn="0"/>
          <w:trHeight w:val="20"/>
          <w:jc w:val="center"/>
        </w:trPr>
        <w:tc>
          <w:tcPr>
            <w:tcW w:w="1017" w:type="pct"/>
          </w:tcPr>
          <w:p w:rsidR="00061F17" w:rsidRPr="000B0EF9" w:rsidRDefault="00061F17" w:rsidP="002A225A">
            <w:pPr>
              <w:pStyle w:val="Tablehead"/>
              <w:rPr>
                <w:lang w:eastAsia="en-GB"/>
              </w:rPr>
            </w:pPr>
            <w:r w:rsidRPr="000B0EF9">
              <w:rPr>
                <w:lang w:eastAsia="en-GB"/>
              </w:rPr>
              <w:t>Frequency range</w:t>
            </w:r>
          </w:p>
        </w:tc>
        <w:tc>
          <w:tcPr>
            <w:tcW w:w="966" w:type="pct"/>
          </w:tcPr>
          <w:p w:rsidR="00061F17" w:rsidRPr="00061F17" w:rsidRDefault="00061F17" w:rsidP="002A225A">
            <w:pPr>
              <w:pStyle w:val="Tablehead"/>
              <w:rPr>
                <w:lang w:eastAsia="en-GB"/>
              </w:rPr>
            </w:pPr>
            <w:r w:rsidRPr="00061F17">
              <w:rPr>
                <w:lang w:eastAsia="en-GB"/>
              </w:rPr>
              <w:t>Electric field strength (V/m)</w:t>
            </w:r>
          </w:p>
        </w:tc>
        <w:tc>
          <w:tcPr>
            <w:tcW w:w="937" w:type="pct"/>
          </w:tcPr>
          <w:p w:rsidR="00061F17" w:rsidRPr="00061F17" w:rsidRDefault="00061F17" w:rsidP="002A225A">
            <w:pPr>
              <w:pStyle w:val="Tablehead"/>
              <w:rPr>
                <w:lang w:eastAsia="en-GB"/>
              </w:rPr>
            </w:pPr>
            <w:r w:rsidRPr="00061F17">
              <w:rPr>
                <w:lang w:eastAsia="en-GB"/>
              </w:rPr>
              <w:t>Magnetic field strength (A/m)</w:t>
            </w:r>
          </w:p>
        </w:tc>
        <w:tc>
          <w:tcPr>
            <w:tcW w:w="1040" w:type="pct"/>
          </w:tcPr>
          <w:p w:rsidR="00061F17" w:rsidRPr="00061F17" w:rsidRDefault="00061F17" w:rsidP="002A225A">
            <w:pPr>
              <w:pStyle w:val="Tablehead"/>
              <w:rPr>
                <w:lang w:eastAsia="en-GB"/>
              </w:rPr>
            </w:pPr>
            <w:r w:rsidRPr="00061F17">
              <w:rPr>
                <w:lang w:eastAsia="en-GB"/>
              </w:rPr>
              <w:t>Equivalent plane wave power density S</w:t>
            </w:r>
            <w:r w:rsidRPr="00061F17">
              <w:rPr>
                <w:vertAlign w:val="subscript"/>
                <w:lang w:eastAsia="en-GB"/>
              </w:rPr>
              <w:t>eq</w:t>
            </w:r>
            <w:r w:rsidRPr="00061F17">
              <w:rPr>
                <w:lang w:eastAsia="en-GB"/>
              </w:rPr>
              <w:t>(W/m</w:t>
            </w:r>
            <w:r w:rsidRPr="00061F17">
              <w:rPr>
                <w:vertAlign w:val="superscript"/>
                <w:lang w:eastAsia="en-GB"/>
              </w:rPr>
              <w:t>2</w:t>
            </w:r>
            <w:r w:rsidRPr="00061F17">
              <w:rPr>
                <w:lang w:eastAsia="en-GB"/>
              </w:rPr>
              <w:t>)</w:t>
            </w:r>
          </w:p>
        </w:tc>
        <w:tc>
          <w:tcPr>
            <w:tcW w:w="1040" w:type="pct"/>
          </w:tcPr>
          <w:p w:rsidR="00061F17" w:rsidRPr="00061F17" w:rsidRDefault="00061F17" w:rsidP="002A225A">
            <w:pPr>
              <w:pStyle w:val="Tablehead"/>
              <w:rPr>
                <w:lang w:eastAsia="en-GB"/>
              </w:rPr>
            </w:pPr>
            <w:r w:rsidRPr="00061F17">
              <w:rPr>
                <w:lang w:eastAsia="en-GB"/>
              </w:rPr>
              <w:t>Magnetic Flux Density (µT), B</w:t>
            </w:r>
          </w:p>
        </w:tc>
      </w:tr>
      <w:tr w:rsidR="00061F17" w:rsidRPr="00BC042E" w:rsidTr="002A225A">
        <w:trPr>
          <w:cnfStyle w:val="000000100000" w:firstRow="0" w:lastRow="0" w:firstColumn="0" w:lastColumn="0" w:oddVBand="0" w:evenVBand="0" w:oddHBand="1" w:evenHBand="0" w:firstRowFirstColumn="0" w:firstRowLastColumn="0" w:lastRowFirstColumn="0" w:lastRowLastColumn="0"/>
          <w:trHeight w:val="20"/>
          <w:jc w:val="center"/>
        </w:trPr>
        <w:tc>
          <w:tcPr>
            <w:tcW w:w="1017" w:type="pct"/>
          </w:tcPr>
          <w:p w:rsidR="00061F17" w:rsidRPr="00BC042E" w:rsidRDefault="00061F17" w:rsidP="002A225A">
            <w:pPr>
              <w:pStyle w:val="Tabletext"/>
              <w:rPr>
                <w:lang w:eastAsia="en-GB"/>
              </w:rPr>
            </w:pPr>
            <w:r w:rsidRPr="00BC042E">
              <w:rPr>
                <w:lang w:eastAsia="en-GB"/>
              </w:rPr>
              <w:t>400-2000 MHz</w:t>
            </w:r>
          </w:p>
        </w:tc>
        <w:tc>
          <w:tcPr>
            <w:tcW w:w="966" w:type="pct"/>
          </w:tcPr>
          <w:p w:rsidR="00061F17" w:rsidRPr="00BC042E" w:rsidRDefault="00061F17" w:rsidP="002A225A">
            <w:pPr>
              <w:pStyle w:val="Tabletext"/>
              <w:rPr>
                <w:lang w:eastAsia="en-GB"/>
              </w:rPr>
            </w:pPr>
            <w:r w:rsidRPr="00BC042E">
              <w:rPr>
                <w:lang w:eastAsia="en-GB"/>
              </w:rPr>
              <w:t xml:space="preserve">1.375f </w:t>
            </w:r>
            <w:r>
              <w:rPr>
                <w:vertAlign w:val="superscript"/>
                <w:lang w:eastAsia="en-GB"/>
              </w:rPr>
              <w:t>½</w:t>
            </w:r>
          </w:p>
        </w:tc>
        <w:tc>
          <w:tcPr>
            <w:tcW w:w="937" w:type="pct"/>
          </w:tcPr>
          <w:p w:rsidR="00061F17" w:rsidRPr="00BC042E" w:rsidRDefault="00061F17" w:rsidP="002A225A">
            <w:pPr>
              <w:pStyle w:val="Tabletext"/>
              <w:rPr>
                <w:lang w:eastAsia="en-GB"/>
              </w:rPr>
            </w:pPr>
            <w:r w:rsidRPr="00BC042E">
              <w:rPr>
                <w:lang w:eastAsia="en-GB"/>
              </w:rPr>
              <w:t xml:space="preserve">0.0037f </w:t>
            </w:r>
            <w:r w:rsidRPr="00BC042E">
              <w:rPr>
                <w:vertAlign w:val="superscript"/>
                <w:lang w:eastAsia="en-GB"/>
              </w:rPr>
              <w:t>1/2</w:t>
            </w:r>
          </w:p>
        </w:tc>
        <w:tc>
          <w:tcPr>
            <w:tcW w:w="1040" w:type="pct"/>
          </w:tcPr>
          <w:p w:rsidR="00061F17" w:rsidRPr="00BC042E" w:rsidRDefault="00061F17" w:rsidP="002A225A">
            <w:pPr>
              <w:pStyle w:val="Tabletext"/>
              <w:rPr>
                <w:lang w:eastAsia="en-GB"/>
              </w:rPr>
            </w:pPr>
            <w:r w:rsidRPr="00BC042E">
              <w:rPr>
                <w:lang w:eastAsia="en-GB"/>
              </w:rPr>
              <w:t>f/200</w:t>
            </w:r>
          </w:p>
        </w:tc>
        <w:tc>
          <w:tcPr>
            <w:tcW w:w="1040" w:type="pct"/>
          </w:tcPr>
          <w:p w:rsidR="00061F17" w:rsidRPr="00BC042E" w:rsidRDefault="00061F17" w:rsidP="002A225A">
            <w:pPr>
              <w:pStyle w:val="Tabletext"/>
              <w:rPr>
                <w:lang w:eastAsia="en-GB"/>
              </w:rPr>
            </w:pPr>
            <w:r w:rsidRPr="00BC042E">
              <w:rPr>
                <w:lang w:eastAsia="en-GB"/>
              </w:rPr>
              <w:t xml:space="preserve">0.0046 f </w:t>
            </w:r>
            <w:r w:rsidRPr="00BC042E">
              <w:rPr>
                <w:vertAlign w:val="superscript"/>
                <w:lang w:eastAsia="en-GB"/>
              </w:rPr>
              <w:t>½</w:t>
            </w:r>
          </w:p>
        </w:tc>
      </w:tr>
      <w:tr w:rsidR="00061F17" w:rsidRPr="00BC042E" w:rsidTr="002A225A">
        <w:trPr>
          <w:cnfStyle w:val="000000010000" w:firstRow="0" w:lastRow="0" w:firstColumn="0" w:lastColumn="0" w:oddVBand="0" w:evenVBand="0" w:oddHBand="0" w:evenHBand="1" w:firstRowFirstColumn="0" w:firstRowLastColumn="0" w:lastRowFirstColumn="0" w:lastRowLastColumn="0"/>
          <w:trHeight w:val="20"/>
          <w:jc w:val="center"/>
        </w:trPr>
        <w:tc>
          <w:tcPr>
            <w:tcW w:w="1017" w:type="pct"/>
          </w:tcPr>
          <w:p w:rsidR="00061F17" w:rsidRPr="00BC042E" w:rsidRDefault="00061F17" w:rsidP="002A225A">
            <w:pPr>
              <w:pStyle w:val="Tabletext"/>
              <w:rPr>
                <w:lang w:eastAsia="en-GB"/>
              </w:rPr>
            </w:pPr>
            <w:r w:rsidRPr="00BC042E">
              <w:rPr>
                <w:lang w:eastAsia="en-GB"/>
              </w:rPr>
              <w:t>2-300 GHz</w:t>
            </w:r>
          </w:p>
        </w:tc>
        <w:tc>
          <w:tcPr>
            <w:tcW w:w="966" w:type="pct"/>
          </w:tcPr>
          <w:p w:rsidR="00061F17" w:rsidRPr="00BC042E" w:rsidRDefault="00061F17" w:rsidP="002A225A">
            <w:pPr>
              <w:pStyle w:val="Tabletext"/>
              <w:rPr>
                <w:lang w:eastAsia="en-GB"/>
              </w:rPr>
            </w:pPr>
            <w:r w:rsidRPr="00BC042E">
              <w:rPr>
                <w:lang w:eastAsia="en-GB"/>
              </w:rPr>
              <w:t>61</w:t>
            </w:r>
          </w:p>
        </w:tc>
        <w:tc>
          <w:tcPr>
            <w:tcW w:w="937" w:type="pct"/>
          </w:tcPr>
          <w:p w:rsidR="00061F17" w:rsidRPr="00BC042E" w:rsidRDefault="00061F17" w:rsidP="002A225A">
            <w:pPr>
              <w:pStyle w:val="Tabletext"/>
              <w:rPr>
                <w:lang w:eastAsia="en-GB"/>
              </w:rPr>
            </w:pPr>
            <w:r w:rsidRPr="00BC042E">
              <w:rPr>
                <w:lang w:eastAsia="en-GB"/>
              </w:rPr>
              <w:t>0.16</w:t>
            </w:r>
          </w:p>
        </w:tc>
        <w:tc>
          <w:tcPr>
            <w:tcW w:w="1040" w:type="pct"/>
          </w:tcPr>
          <w:p w:rsidR="00061F17" w:rsidRPr="00BC042E" w:rsidRDefault="00061F17" w:rsidP="002A225A">
            <w:pPr>
              <w:pStyle w:val="Tabletext"/>
              <w:rPr>
                <w:lang w:eastAsia="en-GB"/>
              </w:rPr>
            </w:pPr>
            <w:r w:rsidRPr="00BC042E">
              <w:rPr>
                <w:lang w:eastAsia="en-GB"/>
              </w:rPr>
              <w:t>10</w:t>
            </w:r>
          </w:p>
        </w:tc>
        <w:tc>
          <w:tcPr>
            <w:tcW w:w="1040" w:type="pct"/>
          </w:tcPr>
          <w:p w:rsidR="00061F17" w:rsidRPr="00BC042E" w:rsidRDefault="00061F17" w:rsidP="002A225A">
            <w:pPr>
              <w:pStyle w:val="Tabletext"/>
              <w:rPr>
                <w:lang w:eastAsia="en-GB"/>
              </w:rPr>
            </w:pPr>
            <w:r w:rsidRPr="00BC042E">
              <w:rPr>
                <w:lang w:eastAsia="en-GB"/>
              </w:rPr>
              <w:t>0.2</w:t>
            </w:r>
          </w:p>
        </w:tc>
      </w:tr>
    </w:tbl>
    <w:p w:rsidR="00061F17" w:rsidRPr="00BC042E" w:rsidRDefault="00061F17" w:rsidP="002A225A">
      <w:pPr>
        <w:pStyle w:val="Tablesource"/>
      </w:pPr>
      <w:bookmarkStart w:id="196" w:name="_Toc147387745"/>
      <w:bookmarkEnd w:id="195"/>
      <w:r w:rsidRPr="00BC042E">
        <w:t>Table 3 specifies the US thresholds for cellular base stations.</w:t>
      </w:r>
    </w:p>
    <w:p w:rsidR="00061F17" w:rsidRPr="007A19CC" w:rsidRDefault="00061F17" w:rsidP="002A225A">
      <w:pPr>
        <w:pStyle w:val="Tabletitle"/>
        <w:rPr>
          <w:lang w:val="fr-CH"/>
        </w:rPr>
      </w:pPr>
      <w:bookmarkStart w:id="197" w:name="_Ref149546227"/>
      <w:bookmarkStart w:id="198" w:name="_Toc147387748"/>
      <w:bookmarkStart w:id="199" w:name="_Toc148460122"/>
      <w:bookmarkStart w:id="200" w:name="_Toc199908852"/>
      <w:bookmarkStart w:id="201" w:name="_Toc33287256"/>
      <w:bookmarkStart w:id="202" w:name="_Toc76900331"/>
      <w:bookmarkStart w:id="203" w:name="_Toc147387746"/>
      <w:bookmarkEnd w:id="196"/>
      <w:r w:rsidRPr="007A19CC">
        <w:rPr>
          <w:lang w:val="fr-CH"/>
        </w:rPr>
        <w:t xml:space="preserve">Table </w:t>
      </w:r>
      <w:bookmarkEnd w:id="197"/>
      <w:r w:rsidRPr="007A19CC">
        <w:rPr>
          <w:lang w:val="fr-CH"/>
        </w:rPr>
        <w:t>4 : FCC exposure limits (FCC 2001:67)</w:t>
      </w:r>
      <w:bookmarkEnd w:id="198"/>
      <w:bookmarkEnd w:id="199"/>
      <w:bookmarkEnd w:id="200"/>
    </w:p>
    <w:tbl>
      <w:tblPr>
        <w:tblStyle w:val="Style1"/>
        <w:tblW w:w="5000" w:type="pct"/>
        <w:jc w:val="center"/>
        <w:tblLook w:val="01E0" w:firstRow="1" w:lastRow="1" w:firstColumn="1" w:lastColumn="1" w:noHBand="0" w:noVBand="0"/>
      </w:tblPr>
      <w:tblGrid>
        <w:gridCol w:w="2896"/>
        <w:gridCol w:w="2035"/>
        <w:gridCol w:w="2060"/>
        <w:gridCol w:w="2296"/>
      </w:tblGrid>
      <w:tr w:rsidR="00061F17" w:rsidRPr="00E57763" w:rsidTr="00C15B34">
        <w:trPr>
          <w:cnfStyle w:val="100000000000" w:firstRow="1" w:lastRow="0" w:firstColumn="0" w:lastColumn="0" w:oddVBand="0" w:evenVBand="0" w:oddHBand="0" w:evenHBand="0" w:firstRowFirstColumn="0" w:firstRowLastColumn="0" w:lastRowFirstColumn="0" w:lastRowLastColumn="0"/>
          <w:trHeight w:val="315"/>
          <w:jc w:val="center"/>
        </w:trPr>
        <w:tc>
          <w:tcPr>
            <w:tcW w:w="2619" w:type="dxa"/>
            <w:noWrap/>
          </w:tcPr>
          <w:p w:rsidR="00061F17" w:rsidRPr="000B0EF9" w:rsidRDefault="00061F17" w:rsidP="002A225A">
            <w:pPr>
              <w:pStyle w:val="Tablehead"/>
              <w:rPr>
                <w:lang w:eastAsia="en-GB"/>
              </w:rPr>
            </w:pPr>
            <w:r w:rsidRPr="000B0EF9">
              <w:rPr>
                <w:lang w:eastAsia="en-GB"/>
              </w:rPr>
              <w:t>Frequency Range MHz</w:t>
            </w:r>
          </w:p>
        </w:tc>
        <w:tc>
          <w:tcPr>
            <w:tcW w:w="1841" w:type="dxa"/>
            <w:noWrap/>
          </w:tcPr>
          <w:p w:rsidR="00061F17" w:rsidRPr="00061F17" w:rsidRDefault="00061F17" w:rsidP="002A225A">
            <w:pPr>
              <w:pStyle w:val="Tablehead"/>
              <w:rPr>
                <w:lang w:eastAsia="en-GB"/>
              </w:rPr>
            </w:pPr>
            <w:r w:rsidRPr="00061F17">
              <w:rPr>
                <w:lang w:eastAsia="en-GB"/>
              </w:rPr>
              <w:t>Electric Field (E)  (V/m)</w:t>
            </w:r>
          </w:p>
        </w:tc>
        <w:tc>
          <w:tcPr>
            <w:tcW w:w="1863" w:type="dxa"/>
            <w:noWrap/>
          </w:tcPr>
          <w:p w:rsidR="00061F17" w:rsidRPr="00061F17" w:rsidRDefault="00061F17" w:rsidP="002A225A">
            <w:pPr>
              <w:pStyle w:val="Tablehead"/>
              <w:rPr>
                <w:lang w:eastAsia="en-GB"/>
              </w:rPr>
            </w:pPr>
            <w:r w:rsidRPr="00061F17">
              <w:rPr>
                <w:lang w:eastAsia="en-GB"/>
              </w:rPr>
              <w:t>Magnetic Field H (A/m)</w:t>
            </w:r>
          </w:p>
        </w:tc>
        <w:tc>
          <w:tcPr>
            <w:tcW w:w="2077" w:type="dxa"/>
            <w:noWrap/>
          </w:tcPr>
          <w:p w:rsidR="00061F17" w:rsidRPr="00061F17" w:rsidRDefault="00061F17" w:rsidP="002A225A">
            <w:pPr>
              <w:pStyle w:val="Tablehead"/>
              <w:rPr>
                <w:lang w:eastAsia="en-GB"/>
              </w:rPr>
            </w:pPr>
            <w:r w:rsidRPr="00061F17">
              <w:rPr>
                <w:lang w:eastAsia="en-GB"/>
              </w:rPr>
              <w:t>Power Density (S) (mW/cm</w:t>
            </w:r>
            <w:r w:rsidRPr="00061F17">
              <w:rPr>
                <w:vertAlign w:val="superscript"/>
                <w:lang w:eastAsia="en-GB"/>
              </w:rPr>
              <w:t>2</w:t>
            </w:r>
            <w:r w:rsidRPr="00061F17">
              <w:rPr>
                <w:lang w:eastAsia="en-GB"/>
              </w:rPr>
              <w:t>)</w:t>
            </w:r>
          </w:p>
        </w:tc>
      </w:tr>
      <w:tr w:rsidR="00061F17" w:rsidRPr="00BC042E" w:rsidTr="00C15B34">
        <w:trPr>
          <w:cnfStyle w:val="000000100000" w:firstRow="0" w:lastRow="0" w:firstColumn="0" w:lastColumn="0" w:oddVBand="0" w:evenVBand="0" w:oddHBand="1" w:evenHBand="0" w:firstRowFirstColumn="0" w:firstRowLastColumn="0" w:lastRowFirstColumn="0" w:lastRowLastColumn="0"/>
          <w:trHeight w:val="315"/>
          <w:jc w:val="center"/>
        </w:trPr>
        <w:tc>
          <w:tcPr>
            <w:tcW w:w="2619" w:type="dxa"/>
            <w:noWrap/>
          </w:tcPr>
          <w:p w:rsidR="00061F17" w:rsidRPr="00BC042E" w:rsidRDefault="00061F17" w:rsidP="002A225A">
            <w:pPr>
              <w:pStyle w:val="Tabletext"/>
              <w:rPr>
                <w:lang w:eastAsia="en-GB"/>
              </w:rPr>
            </w:pPr>
            <w:r w:rsidRPr="00BC042E">
              <w:rPr>
                <w:lang w:eastAsia="en-GB"/>
              </w:rPr>
              <w:t>30-300</w:t>
            </w:r>
          </w:p>
        </w:tc>
        <w:tc>
          <w:tcPr>
            <w:tcW w:w="1841" w:type="dxa"/>
            <w:noWrap/>
          </w:tcPr>
          <w:p w:rsidR="00061F17" w:rsidRPr="00BC042E" w:rsidRDefault="00061F17" w:rsidP="002A225A">
            <w:pPr>
              <w:pStyle w:val="Tabletext"/>
              <w:rPr>
                <w:lang w:eastAsia="en-GB"/>
              </w:rPr>
            </w:pPr>
            <w:r w:rsidRPr="00BC042E">
              <w:rPr>
                <w:lang w:eastAsia="en-GB"/>
              </w:rPr>
              <w:t>27.5</w:t>
            </w:r>
          </w:p>
        </w:tc>
        <w:tc>
          <w:tcPr>
            <w:tcW w:w="1863" w:type="dxa"/>
            <w:noWrap/>
          </w:tcPr>
          <w:p w:rsidR="00061F17" w:rsidRPr="00BC042E" w:rsidRDefault="00061F17" w:rsidP="002A225A">
            <w:pPr>
              <w:pStyle w:val="Tabletext"/>
              <w:rPr>
                <w:lang w:eastAsia="en-GB"/>
              </w:rPr>
            </w:pPr>
            <w:r w:rsidRPr="00BC042E">
              <w:rPr>
                <w:lang w:eastAsia="en-GB"/>
              </w:rPr>
              <w:t>0.073</w:t>
            </w:r>
          </w:p>
        </w:tc>
        <w:tc>
          <w:tcPr>
            <w:tcW w:w="2077" w:type="dxa"/>
            <w:noWrap/>
          </w:tcPr>
          <w:p w:rsidR="00061F17" w:rsidRPr="00BC042E" w:rsidRDefault="00061F17" w:rsidP="002A225A">
            <w:pPr>
              <w:pStyle w:val="Tabletext"/>
              <w:rPr>
                <w:lang w:eastAsia="en-GB"/>
              </w:rPr>
            </w:pPr>
            <w:r w:rsidRPr="00BC042E">
              <w:rPr>
                <w:lang w:eastAsia="en-GB"/>
              </w:rPr>
              <w:t>0.2</w:t>
            </w:r>
          </w:p>
        </w:tc>
      </w:tr>
      <w:tr w:rsidR="00061F17" w:rsidRPr="00BC042E" w:rsidTr="00C15B34">
        <w:trPr>
          <w:cnfStyle w:val="000000010000" w:firstRow="0" w:lastRow="0" w:firstColumn="0" w:lastColumn="0" w:oddVBand="0" w:evenVBand="0" w:oddHBand="0" w:evenHBand="1" w:firstRowFirstColumn="0" w:firstRowLastColumn="0" w:lastRowFirstColumn="0" w:lastRowLastColumn="0"/>
          <w:trHeight w:val="315"/>
          <w:jc w:val="center"/>
        </w:trPr>
        <w:tc>
          <w:tcPr>
            <w:tcW w:w="2619" w:type="dxa"/>
            <w:noWrap/>
          </w:tcPr>
          <w:p w:rsidR="00061F17" w:rsidRPr="00BC042E" w:rsidRDefault="00061F17" w:rsidP="002A225A">
            <w:pPr>
              <w:pStyle w:val="Tabletext"/>
              <w:rPr>
                <w:lang w:eastAsia="en-GB"/>
              </w:rPr>
            </w:pPr>
            <w:r w:rsidRPr="00BC042E">
              <w:rPr>
                <w:lang w:eastAsia="en-GB"/>
              </w:rPr>
              <w:t>300-1500</w:t>
            </w:r>
          </w:p>
        </w:tc>
        <w:tc>
          <w:tcPr>
            <w:tcW w:w="1841" w:type="dxa"/>
            <w:noWrap/>
          </w:tcPr>
          <w:p w:rsidR="00061F17" w:rsidRPr="00BC042E" w:rsidRDefault="00061F17" w:rsidP="002A225A">
            <w:pPr>
              <w:pStyle w:val="Tabletext"/>
              <w:rPr>
                <w:lang w:eastAsia="en-GB"/>
              </w:rPr>
            </w:pPr>
            <w:r w:rsidRPr="00BC042E">
              <w:rPr>
                <w:lang w:eastAsia="en-GB"/>
              </w:rPr>
              <w:t>--</w:t>
            </w:r>
          </w:p>
        </w:tc>
        <w:tc>
          <w:tcPr>
            <w:tcW w:w="1863" w:type="dxa"/>
            <w:noWrap/>
          </w:tcPr>
          <w:p w:rsidR="00061F17" w:rsidRPr="00BC042E" w:rsidRDefault="00061F17" w:rsidP="002A225A">
            <w:pPr>
              <w:pStyle w:val="Tabletext"/>
              <w:rPr>
                <w:lang w:eastAsia="en-GB"/>
              </w:rPr>
            </w:pPr>
            <w:r w:rsidRPr="00BC042E">
              <w:rPr>
                <w:lang w:eastAsia="en-GB"/>
              </w:rPr>
              <w:t>--</w:t>
            </w:r>
          </w:p>
        </w:tc>
        <w:tc>
          <w:tcPr>
            <w:tcW w:w="2077" w:type="dxa"/>
            <w:noWrap/>
          </w:tcPr>
          <w:p w:rsidR="00061F17" w:rsidRPr="00BC042E" w:rsidRDefault="00061F17" w:rsidP="002A225A">
            <w:pPr>
              <w:pStyle w:val="Tabletext"/>
              <w:rPr>
                <w:lang w:eastAsia="en-GB"/>
              </w:rPr>
            </w:pPr>
            <w:r w:rsidRPr="00BC042E">
              <w:rPr>
                <w:lang w:eastAsia="en-GB"/>
              </w:rPr>
              <w:t>f/1500</w:t>
            </w:r>
          </w:p>
        </w:tc>
      </w:tr>
      <w:tr w:rsidR="00061F17" w:rsidRPr="00BC042E" w:rsidTr="00C15B34">
        <w:trPr>
          <w:cnfStyle w:val="000000100000" w:firstRow="0" w:lastRow="0" w:firstColumn="0" w:lastColumn="0" w:oddVBand="0" w:evenVBand="0" w:oddHBand="1" w:evenHBand="0" w:firstRowFirstColumn="0" w:firstRowLastColumn="0" w:lastRowFirstColumn="0" w:lastRowLastColumn="0"/>
          <w:trHeight w:val="315"/>
          <w:jc w:val="center"/>
        </w:trPr>
        <w:tc>
          <w:tcPr>
            <w:tcW w:w="2619" w:type="dxa"/>
            <w:noWrap/>
          </w:tcPr>
          <w:p w:rsidR="00061F17" w:rsidRPr="00BC042E" w:rsidRDefault="00061F17" w:rsidP="002A225A">
            <w:pPr>
              <w:pStyle w:val="Tabletext"/>
              <w:rPr>
                <w:lang w:eastAsia="en-GB"/>
              </w:rPr>
            </w:pPr>
            <w:r w:rsidRPr="00BC042E">
              <w:rPr>
                <w:lang w:eastAsia="en-GB"/>
              </w:rPr>
              <w:t>1500-100,000</w:t>
            </w:r>
          </w:p>
        </w:tc>
        <w:tc>
          <w:tcPr>
            <w:tcW w:w="1841" w:type="dxa"/>
            <w:noWrap/>
          </w:tcPr>
          <w:p w:rsidR="00061F17" w:rsidRPr="00BC042E" w:rsidRDefault="00061F17" w:rsidP="002A225A">
            <w:pPr>
              <w:pStyle w:val="Tabletext"/>
              <w:rPr>
                <w:lang w:eastAsia="en-GB"/>
              </w:rPr>
            </w:pPr>
            <w:r w:rsidRPr="00BC042E">
              <w:rPr>
                <w:lang w:eastAsia="en-GB"/>
              </w:rPr>
              <w:t>--</w:t>
            </w:r>
          </w:p>
        </w:tc>
        <w:tc>
          <w:tcPr>
            <w:tcW w:w="1863" w:type="dxa"/>
            <w:noWrap/>
          </w:tcPr>
          <w:p w:rsidR="00061F17" w:rsidRPr="00BC042E" w:rsidRDefault="00061F17" w:rsidP="002A225A">
            <w:pPr>
              <w:pStyle w:val="Tabletext"/>
              <w:rPr>
                <w:lang w:eastAsia="en-GB"/>
              </w:rPr>
            </w:pPr>
            <w:r w:rsidRPr="00BC042E">
              <w:rPr>
                <w:lang w:eastAsia="en-GB"/>
              </w:rPr>
              <w:t>--</w:t>
            </w:r>
          </w:p>
        </w:tc>
        <w:tc>
          <w:tcPr>
            <w:tcW w:w="2077" w:type="dxa"/>
            <w:noWrap/>
          </w:tcPr>
          <w:p w:rsidR="00061F17" w:rsidRPr="00BC042E" w:rsidRDefault="00061F17" w:rsidP="002A225A">
            <w:pPr>
              <w:pStyle w:val="Tabletext"/>
              <w:rPr>
                <w:lang w:eastAsia="en-GB"/>
              </w:rPr>
            </w:pPr>
            <w:r w:rsidRPr="00BC042E">
              <w:rPr>
                <w:lang w:eastAsia="en-GB"/>
              </w:rPr>
              <w:t>1</w:t>
            </w:r>
          </w:p>
        </w:tc>
      </w:tr>
    </w:tbl>
    <w:p w:rsidR="00061F17" w:rsidRPr="00BC042E" w:rsidRDefault="00061F17" w:rsidP="002A225A">
      <w:pPr>
        <w:pStyle w:val="Tablesource"/>
      </w:pPr>
      <w:r w:rsidRPr="00BC042E">
        <w:t>Table-</w:t>
      </w:r>
      <w:r>
        <w:t>4</w:t>
      </w:r>
      <w:r w:rsidRPr="00BC042E">
        <w:t xml:space="preserve"> depicts that the levels in power exposure limits of the US are 4/3 (=200/150) higher than ICNIRP and Europe. </w:t>
      </w:r>
    </w:p>
    <w:p w:rsidR="00061F17" w:rsidRPr="007A19CC" w:rsidRDefault="00061F17" w:rsidP="002A225A">
      <w:pPr>
        <w:rPr>
          <w:lang w:val="en-US"/>
        </w:rPr>
      </w:pPr>
      <w:r w:rsidRPr="007A19CC">
        <w:rPr>
          <w:lang w:val="en-US"/>
        </w:rPr>
        <w:t xml:space="preserve">The IEEE maximum permissible exposure 2005 updates are shown in Table 5. </w:t>
      </w:r>
    </w:p>
    <w:p w:rsidR="00002906" w:rsidRDefault="00002906" w:rsidP="002A225A">
      <w:pPr>
        <w:pStyle w:val="Tabletitle"/>
      </w:pPr>
      <w:bookmarkStart w:id="204" w:name="_Ref149546318"/>
      <w:bookmarkStart w:id="205" w:name="_Toc148460123"/>
      <w:bookmarkStart w:id="206" w:name="_Toc199908853"/>
      <w:r>
        <w:br w:type="page"/>
      </w:r>
    </w:p>
    <w:p w:rsidR="00061F17" w:rsidRPr="00FE56DC" w:rsidRDefault="00061F17" w:rsidP="002A225A">
      <w:pPr>
        <w:pStyle w:val="Tabletitle"/>
      </w:pPr>
      <w:r w:rsidRPr="00FE56DC">
        <w:lastRenderedPageBreak/>
        <w:t xml:space="preserve">Table </w:t>
      </w:r>
      <w:bookmarkEnd w:id="204"/>
      <w:r w:rsidRPr="00FE56DC">
        <w:t>5</w:t>
      </w:r>
      <w:r>
        <w:t>:</w:t>
      </w:r>
      <w:r w:rsidRPr="00FE56DC">
        <w:t xml:space="preserve"> The 2005 IEEE permissible exposure (</w:t>
      </w:r>
      <w:r w:rsidRPr="008A262D">
        <w:rPr>
          <w:rStyle w:val="CharChar"/>
          <w:rFonts w:asciiTheme="minorHAnsi" w:hAnsiTheme="minorHAnsi"/>
          <w:sz w:val="18"/>
          <w:szCs w:val="18"/>
        </w:rPr>
        <w:t>IEEE Std C95.1-2005:25, Table 9</w:t>
      </w:r>
      <w:r w:rsidRPr="00FE56DC">
        <w:t>)</w:t>
      </w:r>
      <w:bookmarkEnd w:id="205"/>
      <w:bookmarkEnd w:id="206"/>
    </w:p>
    <w:tbl>
      <w:tblPr>
        <w:tblStyle w:val="Style1"/>
        <w:tblW w:w="5000" w:type="pct"/>
        <w:jc w:val="center"/>
        <w:tblLook w:val="01E0" w:firstRow="1" w:lastRow="1" w:firstColumn="1" w:lastColumn="1" w:noHBand="0" w:noVBand="0"/>
      </w:tblPr>
      <w:tblGrid>
        <w:gridCol w:w="2896"/>
        <w:gridCol w:w="2035"/>
        <w:gridCol w:w="2060"/>
        <w:gridCol w:w="2296"/>
      </w:tblGrid>
      <w:tr w:rsidR="00061F17" w:rsidRPr="00E57763" w:rsidTr="00F22C89">
        <w:trPr>
          <w:cnfStyle w:val="100000000000" w:firstRow="1" w:lastRow="0" w:firstColumn="0" w:lastColumn="0" w:oddVBand="0" w:evenVBand="0" w:oddHBand="0" w:evenHBand="0" w:firstRowFirstColumn="0" w:firstRowLastColumn="0" w:lastRowFirstColumn="0" w:lastRowLastColumn="0"/>
          <w:trHeight w:val="315"/>
          <w:jc w:val="center"/>
        </w:trPr>
        <w:tc>
          <w:tcPr>
            <w:tcW w:w="2619" w:type="dxa"/>
            <w:noWrap/>
          </w:tcPr>
          <w:p w:rsidR="00061F17" w:rsidRPr="000B0EF9" w:rsidRDefault="00061F17" w:rsidP="002A225A">
            <w:pPr>
              <w:pStyle w:val="Tablehead"/>
              <w:rPr>
                <w:lang w:eastAsia="en-GB"/>
              </w:rPr>
            </w:pPr>
            <w:r w:rsidRPr="000B0EF9">
              <w:rPr>
                <w:lang w:eastAsia="en-GB"/>
              </w:rPr>
              <w:t>Frequency Range MHz</w:t>
            </w:r>
          </w:p>
        </w:tc>
        <w:tc>
          <w:tcPr>
            <w:tcW w:w="1841" w:type="dxa"/>
            <w:noWrap/>
          </w:tcPr>
          <w:p w:rsidR="00061F17" w:rsidRPr="00061F17" w:rsidRDefault="00061F17" w:rsidP="002A225A">
            <w:pPr>
              <w:pStyle w:val="Tablehead"/>
              <w:rPr>
                <w:lang w:eastAsia="en-GB"/>
              </w:rPr>
            </w:pPr>
            <w:r w:rsidRPr="00061F17">
              <w:rPr>
                <w:lang w:eastAsia="en-GB"/>
              </w:rPr>
              <w:t>Electric Field (E)  (V/m)</w:t>
            </w:r>
          </w:p>
        </w:tc>
        <w:tc>
          <w:tcPr>
            <w:tcW w:w="1863" w:type="dxa"/>
            <w:noWrap/>
          </w:tcPr>
          <w:p w:rsidR="00061F17" w:rsidRPr="00061F17" w:rsidRDefault="00061F17" w:rsidP="002A225A">
            <w:pPr>
              <w:pStyle w:val="Tablehead"/>
              <w:rPr>
                <w:lang w:eastAsia="en-GB"/>
              </w:rPr>
            </w:pPr>
            <w:r w:rsidRPr="00061F17">
              <w:rPr>
                <w:lang w:eastAsia="en-GB"/>
              </w:rPr>
              <w:t>Magnetic Field H (A/m)</w:t>
            </w:r>
          </w:p>
        </w:tc>
        <w:tc>
          <w:tcPr>
            <w:tcW w:w="2077" w:type="dxa"/>
            <w:noWrap/>
          </w:tcPr>
          <w:p w:rsidR="00061F17" w:rsidRPr="00061F17" w:rsidRDefault="00061F17" w:rsidP="002A225A">
            <w:pPr>
              <w:pStyle w:val="Tablehead"/>
              <w:rPr>
                <w:lang w:eastAsia="en-GB"/>
              </w:rPr>
            </w:pPr>
            <w:r w:rsidRPr="00061F17">
              <w:rPr>
                <w:lang w:eastAsia="en-GB"/>
              </w:rPr>
              <w:t>RMS power density (S) (W/m</w:t>
            </w:r>
            <w:r w:rsidRPr="00061F17">
              <w:rPr>
                <w:vertAlign w:val="superscript"/>
                <w:lang w:eastAsia="en-GB"/>
              </w:rPr>
              <w:t>2</w:t>
            </w:r>
            <w:r w:rsidRPr="00061F17">
              <w:rPr>
                <w:lang w:eastAsia="en-GB"/>
              </w:rPr>
              <w:t>)</w:t>
            </w:r>
          </w:p>
        </w:tc>
      </w:tr>
      <w:tr w:rsidR="00061F17" w:rsidRPr="00BC042E" w:rsidTr="00F22C89">
        <w:trPr>
          <w:cnfStyle w:val="000000100000" w:firstRow="0" w:lastRow="0" w:firstColumn="0" w:lastColumn="0" w:oddVBand="0" w:evenVBand="0" w:oddHBand="1" w:evenHBand="0" w:firstRowFirstColumn="0" w:firstRowLastColumn="0" w:lastRowFirstColumn="0" w:lastRowLastColumn="0"/>
          <w:trHeight w:val="315"/>
          <w:jc w:val="center"/>
        </w:trPr>
        <w:tc>
          <w:tcPr>
            <w:tcW w:w="2619" w:type="dxa"/>
            <w:noWrap/>
          </w:tcPr>
          <w:p w:rsidR="00061F17" w:rsidRPr="00BC042E" w:rsidRDefault="00061F17" w:rsidP="002A225A">
            <w:pPr>
              <w:pStyle w:val="Tabletext"/>
              <w:rPr>
                <w:lang w:eastAsia="en-GB"/>
              </w:rPr>
            </w:pPr>
            <w:r w:rsidRPr="00BC042E">
              <w:rPr>
                <w:lang w:eastAsia="en-GB"/>
              </w:rPr>
              <w:t>100-400</w:t>
            </w:r>
          </w:p>
        </w:tc>
        <w:tc>
          <w:tcPr>
            <w:tcW w:w="1841" w:type="dxa"/>
            <w:noWrap/>
          </w:tcPr>
          <w:p w:rsidR="00061F17" w:rsidRPr="00BC042E" w:rsidRDefault="00061F17" w:rsidP="002A225A">
            <w:pPr>
              <w:pStyle w:val="Tabletext"/>
              <w:rPr>
                <w:lang w:eastAsia="en-GB"/>
              </w:rPr>
            </w:pPr>
            <w:r w:rsidRPr="00BC042E">
              <w:rPr>
                <w:lang w:eastAsia="en-GB"/>
              </w:rPr>
              <w:t>27.5</w:t>
            </w:r>
          </w:p>
        </w:tc>
        <w:tc>
          <w:tcPr>
            <w:tcW w:w="1863" w:type="dxa"/>
            <w:noWrap/>
          </w:tcPr>
          <w:p w:rsidR="00061F17" w:rsidRPr="00BC042E" w:rsidRDefault="00061F17" w:rsidP="002A225A">
            <w:pPr>
              <w:pStyle w:val="Tabletext"/>
              <w:rPr>
                <w:lang w:eastAsia="en-GB"/>
              </w:rPr>
            </w:pPr>
            <w:r w:rsidRPr="00BC042E">
              <w:rPr>
                <w:lang w:eastAsia="en-GB"/>
              </w:rPr>
              <w:t>0.073</w:t>
            </w:r>
          </w:p>
        </w:tc>
        <w:tc>
          <w:tcPr>
            <w:tcW w:w="2077" w:type="dxa"/>
            <w:noWrap/>
          </w:tcPr>
          <w:p w:rsidR="00061F17" w:rsidRPr="00BC042E" w:rsidRDefault="00061F17" w:rsidP="002A225A">
            <w:pPr>
              <w:pStyle w:val="Tabletext"/>
              <w:rPr>
                <w:lang w:eastAsia="en-GB"/>
              </w:rPr>
            </w:pPr>
            <w:r w:rsidRPr="00BC042E">
              <w:rPr>
                <w:lang w:eastAsia="en-GB"/>
              </w:rPr>
              <w:t>2</w:t>
            </w:r>
          </w:p>
        </w:tc>
      </w:tr>
      <w:tr w:rsidR="00061F17" w:rsidRPr="00BC042E" w:rsidTr="00F22C89">
        <w:trPr>
          <w:cnfStyle w:val="000000010000" w:firstRow="0" w:lastRow="0" w:firstColumn="0" w:lastColumn="0" w:oddVBand="0" w:evenVBand="0" w:oddHBand="0" w:evenHBand="1" w:firstRowFirstColumn="0" w:firstRowLastColumn="0" w:lastRowFirstColumn="0" w:lastRowLastColumn="0"/>
          <w:trHeight w:val="315"/>
          <w:jc w:val="center"/>
        </w:trPr>
        <w:tc>
          <w:tcPr>
            <w:tcW w:w="2619" w:type="dxa"/>
            <w:noWrap/>
          </w:tcPr>
          <w:p w:rsidR="00061F17" w:rsidRPr="00BC042E" w:rsidRDefault="00061F17" w:rsidP="002A225A">
            <w:pPr>
              <w:pStyle w:val="Tabletext"/>
              <w:rPr>
                <w:lang w:eastAsia="en-GB"/>
              </w:rPr>
            </w:pPr>
            <w:r w:rsidRPr="00BC042E">
              <w:rPr>
                <w:lang w:eastAsia="en-GB"/>
              </w:rPr>
              <w:t>400-2000</w:t>
            </w:r>
          </w:p>
        </w:tc>
        <w:tc>
          <w:tcPr>
            <w:tcW w:w="1841" w:type="dxa"/>
            <w:noWrap/>
          </w:tcPr>
          <w:p w:rsidR="00061F17" w:rsidRPr="00BC042E" w:rsidRDefault="00061F17" w:rsidP="002A225A">
            <w:pPr>
              <w:pStyle w:val="Tabletext"/>
              <w:rPr>
                <w:lang w:eastAsia="en-GB"/>
              </w:rPr>
            </w:pPr>
            <w:r w:rsidRPr="00BC042E">
              <w:rPr>
                <w:lang w:eastAsia="en-GB"/>
              </w:rPr>
              <w:t>--</w:t>
            </w:r>
          </w:p>
        </w:tc>
        <w:tc>
          <w:tcPr>
            <w:tcW w:w="1863" w:type="dxa"/>
            <w:noWrap/>
          </w:tcPr>
          <w:p w:rsidR="00061F17" w:rsidRPr="00BC042E" w:rsidRDefault="00061F17" w:rsidP="002A225A">
            <w:pPr>
              <w:pStyle w:val="Tabletext"/>
              <w:rPr>
                <w:lang w:eastAsia="en-GB"/>
              </w:rPr>
            </w:pPr>
            <w:r w:rsidRPr="00BC042E">
              <w:rPr>
                <w:lang w:eastAsia="en-GB"/>
              </w:rPr>
              <w:t>--</w:t>
            </w:r>
          </w:p>
        </w:tc>
        <w:tc>
          <w:tcPr>
            <w:tcW w:w="2077" w:type="dxa"/>
            <w:noWrap/>
          </w:tcPr>
          <w:p w:rsidR="00061F17" w:rsidRPr="00BC042E" w:rsidRDefault="00061F17" w:rsidP="002A225A">
            <w:pPr>
              <w:pStyle w:val="Tabletext"/>
              <w:rPr>
                <w:lang w:eastAsia="en-GB"/>
              </w:rPr>
            </w:pPr>
            <w:r w:rsidRPr="00BC042E">
              <w:rPr>
                <w:lang w:eastAsia="en-GB"/>
              </w:rPr>
              <w:t>f/200</w:t>
            </w:r>
          </w:p>
        </w:tc>
      </w:tr>
      <w:tr w:rsidR="00061F17" w:rsidRPr="00BC042E" w:rsidTr="00F22C89">
        <w:trPr>
          <w:cnfStyle w:val="000000100000" w:firstRow="0" w:lastRow="0" w:firstColumn="0" w:lastColumn="0" w:oddVBand="0" w:evenVBand="0" w:oddHBand="1" w:evenHBand="0" w:firstRowFirstColumn="0" w:firstRowLastColumn="0" w:lastRowFirstColumn="0" w:lastRowLastColumn="0"/>
          <w:trHeight w:val="315"/>
          <w:jc w:val="center"/>
        </w:trPr>
        <w:tc>
          <w:tcPr>
            <w:tcW w:w="2619" w:type="dxa"/>
            <w:noWrap/>
          </w:tcPr>
          <w:p w:rsidR="00061F17" w:rsidRPr="00BC042E" w:rsidRDefault="00061F17" w:rsidP="002A225A">
            <w:pPr>
              <w:pStyle w:val="Tabletext"/>
              <w:rPr>
                <w:lang w:eastAsia="en-GB"/>
              </w:rPr>
            </w:pPr>
            <w:r w:rsidRPr="00BC042E">
              <w:rPr>
                <w:lang w:eastAsia="en-GB"/>
              </w:rPr>
              <w:t>2000-5000</w:t>
            </w:r>
          </w:p>
        </w:tc>
        <w:tc>
          <w:tcPr>
            <w:tcW w:w="1841" w:type="dxa"/>
            <w:noWrap/>
          </w:tcPr>
          <w:p w:rsidR="00061F17" w:rsidRPr="00BC042E" w:rsidRDefault="00061F17" w:rsidP="002A225A">
            <w:pPr>
              <w:pStyle w:val="Tabletext"/>
              <w:rPr>
                <w:lang w:eastAsia="en-GB"/>
              </w:rPr>
            </w:pPr>
            <w:r w:rsidRPr="00BC042E">
              <w:rPr>
                <w:lang w:eastAsia="en-GB"/>
              </w:rPr>
              <w:t>--</w:t>
            </w:r>
          </w:p>
        </w:tc>
        <w:tc>
          <w:tcPr>
            <w:tcW w:w="1863" w:type="dxa"/>
            <w:noWrap/>
          </w:tcPr>
          <w:p w:rsidR="00061F17" w:rsidRPr="00BC042E" w:rsidRDefault="00061F17" w:rsidP="002A225A">
            <w:pPr>
              <w:pStyle w:val="Tabletext"/>
              <w:rPr>
                <w:lang w:eastAsia="en-GB"/>
              </w:rPr>
            </w:pPr>
            <w:r w:rsidRPr="00BC042E">
              <w:rPr>
                <w:lang w:eastAsia="en-GB"/>
              </w:rPr>
              <w:t>--</w:t>
            </w:r>
          </w:p>
        </w:tc>
        <w:tc>
          <w:tcPr>
            <w:tcW w:w="2077" w:type="dxa"/>
            <w:noWrap/>
          </w:tcPr>
          <w:p w:rsidR="00061F17" w:rsidRPr="00BC042E" w:rsidRDefault="00061F17" w:rsidP="002A225A">
            <w:pPr>
              <w:pStyle w:val="Tabletext"/>
              <w:rPr>
                <w:lang w:eastAsia="en-GB"/>
              </w:rPr>
            </w:pPr>
            <w:r w:rsidRPr="00BC042E">
              <w:rPr>
                <w:lang w:eastAsia="en-GB"/>
              </w:rPr>
              <w:t>10</w:t>
            </w:r>
          </w:p>
        </w:tc>
      </w:tr>
    </w:tbl>
    <w:p w:rsidR="00061F17" w:rsidRPr="007A19CC" w:rsidRDefault="00061F17" w:rsidP="002A225A">
      <w:pPr>
        <w:rPr>
          <w:lang w:val="en-US"/>
        </w:rPr>
      </w:pPr>
      <w:r w:rsidRPr="007A19CC">
        <w:rPr>
          <w:lang w:val="en-US"/>
        </w:rPr>
        <w:t>The IEEE C95.1-2005 level for 400-2000 MHz (typical cellular RF bands) is identical (not to FCC nor ANSI levels) to the ICNIRP level (f/200 W/m</w:t>
      </w:r>
      <w:r w:rsidRPr="007A19CC">
        <w:rPr>
          <w:vertAlign w:val="superscript"/>
          <w:lang w:val="en-US"/>
        </w:rPr>
        <w:t>2</w:t>
      </w:r>
      <w:r w:rsidRPr="007A19CC">
        <w:rPr>
          <w:lang w:val="en-US"/>
        </w:rPr>
        <w:t>); the units are also the same.</w:t>
      </w:r>
      <w:bookmarkEnd w:id="201"/>
      <w:bookmarkEnd w:id="202"/>
      <w:bookmarkEnd w:id="203"/>
    </w:p>
    <w:p w:rsidR="00061F17" w:rsidRPr="00001D3B" w:rsidRDefault="00061F17" w:rsidP="00530177">
      <w:pPr>
        <w:pStyle w:val="Heading2"/>
      </w:pPr>
      <w:bookmarkStart w:id="207" w:name="_Toc149211792"/>
      <w:bookmarkStart w:id="208" w:name="_Toc361912444"/>
      <w:bookmarkStart w:id="209" w:name="_Toc374691843"/>
      <w:bookmarkStart w:id="210" w:name="_Toc377482130"/>
      <w:r w:rsidRPr="00001D3B">
        <w:t>2.2</w:t>
      </w:r>
      <w:r w:rsidRPr="00001D3B">
        <w:tab/>
        <w:t>Exposures: Cellular Handsets</w:t>
      </w:r>
      <w:bookmarkEnd w:id="207"/>
      <w:bookmarkEnd w:id="208"/>
      <w:bookmarkEnd w:id="209"/>
      <w:bookmarkEnd w:id="210"/>
    </w:p>
    <w:p w:rsidR="00061F17" w:rsidRPr="007A19CC" w:rsidRDefault="00061F17" w:rsidP="00530177">
      <w:pPr>
        <w:rPr>
          <w:lang w:val="en-US"/>
        </w:rPr>
      </w:pPr>
      <w:r w:rsidRPr="007A19CC">
        <w:rPr>
          <w:lang w:val="en-US"/>
        </w:rPr>
        <w:t>Specific energy Absorption Rate (SAR) is the time rate of energy absorption per gram of tissue from electromagnetic radiation; it is expressed in watts per kilogram (W/kg). Table 6 compares the rate absorption in ICNIRP, EC and FCC</w:t>
      </w:r>
      <w:r w:rsidR="001970D2" w:rsidRPr="001970D2">
        <w:rPr>
          <w:rStyle w:val="FootnoteReference"/>
          <w:lang w:val="en-US"/>
        </w:rPr>
        <w:footnoteReference w:customMarkFollows="1" w:id="23"/>
        <w:t>2</w:t>
      </w:r>
      <w:r w:rsidRPr="007A19CC">
        <w:rPr>
          <w:lang w:val="en-US"/>
        </w:rPr>
        <w:t>.</w:t>
      </w:r>
    </w:p>
    <w:p w:rsidR="00061F17" w:rsidRPr="00B14959" w:rsidRDefault="00061F17" w:rsidP="00530177">
      <w:pPr>
        <w:pStyle w:val="Tabletitle"/>
      </w:pPr>
      <w:bookmarkStart w:id="211" w:name="_Ref149547028"/>
      <w:bookmarkStart w:id="212" w:name="_Toc199908855"/>
      <w:bookmarkStart w:id="213" w:name="_Toc148460125"/>
      <w:r w:rsidRPr="00B14959">
        <w:t>Table</w:t>
      </w:r>
      <w:r>
        <w:t xml:space="preserve"> </w:t>
      </w:r>
      <w:bookmarkEnd w:id="211"/>
      <w:r w:rsidRPr="00B14959">
        <w:t>6</w:t>
      </w:r>
      <w:r>
        <w:t>:</w:t>
      </w:r>
      <w:r w:rsidRPr="00B14959">
        <w:t xml:space="preserve"> Maximal</w:t>
      </w:r>
      <w:r>
        <w:t xml:space="preserve"> power from handsets: Specific absorption r</w:t>
      </w:r>
      <w:r w:rsidRPr="00B14959">
        <w:t>ate, SAR (W/kg)</w:t>
      </w:r>
      <w:bookmarkEnd w:id="212"/>
      <w:bookmarkEnd w:id="213"/>
    </w:p>
    <w:tbl>
      <w:tblPr>
        <w:tblStyle w:val="Style1"/>
        <w:tblW w:w="5000" w:type="pct"/>
        <w:jc w:val="center"/>
        <w:tblLook w:val="0020" w:firstRow="1" w:lastRow="0" w:firstColumn="0" w:lastColumn="0" w:noHBand="0" w:noVBand="0"/>
      </w:tblPr>
      <w:tblGrid>
        <w:gridCol w:w="1925"/>
        <w:gridCol w:w="3926"/>
        <w:gridCol w:w="3436"/>
      </w:tblGrid>
      <w:tr w:rsidR="00061F17" w:rsidRPr="000B0EF9" w:rsidTr="00C15B34">
        <w:trPr>
          <w:cnfStyle w:val="100000000000" w:firstRow="1" w:lastRow="0" w:firstColumn="0" w:lastColumn="0" w:oddVBand="0" w:evenVBand="0" w:oddHBand="0" w:evenHBand="0" w:firstRowFirstColumn="0" w:firstRowLastColumn="0" w:lastRowFirstColumn="0" w:lastRowLastColumn="0"/>
          <w:jc w:val="center"/>
        </w:trPr>
        <w:tc>
          <w:tcPr>
            <w:tcW w:w="1766" w:type="dxa"/>
          </w:tcPr>
          <w:p w:rsidR="00061F17" w:rsidRPr="000B0EF9" w:rsidRDefault="00061F17" w:rsidP="00530177">
            <w:pPr>
              <w:pStyle w:val="Tablehead"/>
              <w:rPr>
                <w:lang w:eastAsia="en-GB"/>
              </w:rPr>
            </w:pPr>
            <w:r w:rsidRPr="000B0EF9">
              <w:rPr>
                <w:lang w:eastAsia="en-GB"/>
              </w:rPr>
              <w:t>ICNIRP</w:t>
            </w:r>
          </w:p>
        </w:tc>
        <w:tc>
          <w:tcPr>
            <w:tcW w:w="3603" w:type="dxa"/>
          </w:tcPr>
          <w:p w:rsidR="00061F17" w:rsidRPr="000B0EF9" w:rsidRDefault="00061F17" w:rsidP="00530177">
            <w:pPr>
              <w:pStyle w:val="Tablehead"/>
              <w:rPr>
                <w:lang w:eastAsia="en-GB"/>
              </w:rPr>
            </w:pPr>
            <w:r w:rsidRPr="000B0EF9">
              <w:rPr>
                <w:lang w:eastAsia="en-GB"/>
              </w:rPr>
              <w:t>European Community</w:t>
            </w:r>
          </w:p>
        </w:tc>
        <w:tc>
          <w:tcPr>
            <w:tcW w:w="3153" w:type="dxa"/>
          </w:tcPr>
          <w:p w:rsidR="00061F17" w:rsidRPr="000B0EF9" w:rsidRDefault="00061F17" w:rsidP="00530177">
            <w:pPr>
              <w:pStyle w:val="Tablehead"/>
              <w:rPr>
                <w:lang w:eastAsia="en-GB"/>
              </w:rPr>
            </w:pPr>
            <w:r w:rsidRPr="000B0EF9">
              <w:rPr>
                <w:lang w:eastAsia="en-GB"/>
              </w:rPr>
              <w:t>FCC- USA</w:t>
            </w:r>
          </w:p>
        </w:tc>
      </w:tr>
      <w:tr w:rsidR="00061F17" w:rsidRPr="00BC042E" w:rsidTr="00C15B34">
        <w:trPr>
          <w:cnfStyle w:val="000000100000" w:firstRow="0" w:lastRow="0" w:firstColumn="0" w:lastColumn="0" w:oddVBand="0" w:evenVBand="0" w:oddHBand="1" w:evenHBand="0" w:firstRowFirstColumn="0" w:firstRowLastColumn="0" w:lastRowFirstColumn="0" w:lastRowLastColumn="0"/>
          <w:jc w:val="center"/>
        </w:trPr>
        <w:tc>
          <w:tcPr>
            <w:tcW w:w="5369" w:type="dxa"/>
            <w:gridSpan w:val="2"/>
          </w:tcPr>
          <w:p w:rsidR="00061F17" w:rsidRPr="007A19CC" w:rsidRDefault="00061F17" w:rsidP="00530177">
            <w:pPr>
              <w:pStyle w:val="Tabletext"/>
              <w:rPr>
                <w:lang w:val="en-US" w:eastAsia="en-GB"/>
              </w:rPr>
            </w:pPr>
            <w:r w:rsidRPr="007A19CC">
              <w:rPr>
                <w:lang w:val="en-US" w:eastAsia="en-GB"/>
              </w:rPr>
              <w:t>10 MHz–10 GHz; Localised SAR (Head and Trunk)</w:t>
            </w:r>
          </w:p>
        </w:tc>
        <w:tc>
          <w:tcPr>
            <w:tcW w:w="3153" w:type="dxa"/>
          </w:tcPr>
          <w:p w:rsidR="00061F17" w:rsidRPr="00BC042E" w:rsidRDefault="00061F17" w:rsidP="00530177">
            <w:pPr>
              <w:pStyle w:val="Tabletext"/>
              <w:rPr>
                <w:lang w:eastAsia="en-GB"/>
              </w:rPr>
            </w:pPr>
            <w:r w:rsidRPr="00BC042E">
              <w:rPr>
                <w:lang w:eastAsia="en-GB"/>
              </w:rPr>
              <w:t xml:space="preserve">Portable Devices; General Population/ Uncontrolled </w:t>
            </w:r>
          </w:p>
        </w:tc>
      </w:tr>
      <w:tr w:rsidR="00061F17" w:rsidRPr="00BC042E" w:rsidTr="00C15B34">
        <w:trPr>
          <w:cnfStyle w:val="000000010000" w:firstRow="0" w:lastRow="0" w:firstColumn="0" w:lastColumn="0" w:oddVBand="0" w:evenVBand="0" w:oddHBand="0" w:evenHBand="1" w:firstRowFirstColumn="0" w:firstRowLastColumn="0" w:lastRowFirstColumn="0" w:lastRowLastColumn="0"/>
          <w:jc w:val="center"/>
        </w:trPr>
        <w:tc>
          <w:tcPr>
            <w:tcW w:w="5369" w:type="dxa"/>
            <w:gridSpan w:val="2"/>
          </w:tcPr>
          <w:p w:rsidR="00061F17" w:rsidRPr="00BC042E" w:rsidRDefault="00061F17" w:rsidP="00530177">
            <w:pPr>
              <w:pStyle w:val="Tabletext"/>
              <w:rPr>
                <w:lang w:eastAsia="en-GB"/>
              </w:rPr>
            </w:pPr>
            <w:r w:rsidRPr="00BC042E">
              <w:rPr>
                <w:lang w:eastAsia="en-GB"/>
              </w:rPr>
              <w:t>2.0; averaged over 10 g tissue</w:t>
            </w:r>
          </w:p>
        </w:tc>
        <w:tc>
          <w:tcPr>
            <w:tcW w:w="3153" w:type="dxa"/>
          </w:tcPr>
          <w:p w:rsidR="00061F17" w:rsidRPr="00BC042E" w:rsidRDefault="00061F17" w:rsidP="00530177">
            <w:pPr>
              <w:pStyle w:val="Tabletext"/>
              <w:rPr>
                <w:lang w:eastAsia="en-GB"/>
              </w:rPr>
            </w:pPr>
            <w:r w:rsidRPr="00BC042E">
              <w:rPr>
                <w:lang w:eastAsia="en-GB"/>
              </w:rPr>
              <w:t>1.6; averaged over 1g tissue</w:t>
            </w:r>
          </w:p>
        </w:tc>
      </w:tr>
    </w:tbl>
    <w:p w:rsidR="00FF79CB" w:rsidRDefault="00FF79CB" w:rsidP="00530177"/>
    <w:p w:rsidR="00061F17" w:rsidRPr="007A19CC" w:rsidRDefault="00061F17" w:rsidP="00530177">
      <w:pPr>
        <w:rPr>
          <w:lang w:val="en-US"/>
        </w:rPr>
      </w:pPr>
      <w:r w:rsidRPr="00FF79CB">
        <w:rPr>
          <w:lang w:val="en-US"/>
        </w:rPr>
        <w:t xml:space="preserve">In contrast to the thresholds of power density from cellular base stations, it is important to observe that the US is more risk averse than Europe in the allowed SAR from the cellular terminal. </w:t>
      </w:r>
      <w:r w:rsidRPr="007A19CC">
        <w:rPr>
          <w:lang w:val="en-US"/>
        </w:rPr>
        <w:t>The ICNIRP threshold (adopted by EC) is 2.0 W/kg, while the US limits are 1.6 watts/kg</w:t>
      </w:r>
      <w:r w:rsidR="001970D2" w:rsidRPr="001970D2">
        <w:rPr>
          <w:rStyle w:val="FootnoteReference"/>
          <w:lang w:val="en-US"/>
        </w:rPr>
        <w:footnoteReference w:customMarkFollows="1" w:id="24"/>
        <w:t>3</w:t>
      </w:r>
      <w:r w:rsidRPr="007A19CC">
        <w:rPr>
          <w:lang w:val="en-US"/>
        </w:rPr>
        <w:t xml:space="preserve"> for the partial body. The IEEE (2006:79) has changed the peak spatial average SAR values from 1.6 W/kg for exposure of the public environment to 2 W/kg; moreover, the SAR is to be averaged over 10g tissue as in the ICNIRP and not for 1g as before. These changes were based on the scientific considerations and were also influenced by the desire to harmonize the basic restrictions with ICNIRP, where scientifically justified. </w:t>
      </w:r>
    </w:p>
    <w:p w:rsidR="00002906" w:rsidRDefault="00002906">
      <w:pPr>
        <w:spacing w:before="0"/>
        <w:jc w:val="left"/>
        <w:rPr>
          <w:rFonts w:cs="Times New Roman Bold"/>
          <w:b/>
          <w:bCs/>
          <w:lang w:val="en-AU"/>
        </w:rPr>
      </w:pPr>
      <w:bookmarkStart w:id="214" w:name="_Toc361912445"/>
      <w:r w:rsidRPr="00B03492">
        <w:rPr>
          <w:lang w:val="en-US"/>
        </w:rPr>
        <w:br w:type="page"/>
      </w:r>
    </w:p>
    <w:p w:rsidR="00061F17" w:rsidRDefault="00061F17" w:rsidP="00002906">
      <w:pPr>
        <w:pStyle w:val="Heading1"/>
        <w:tabs>
          <w:tab w:val="left" w:pos="1418"/>
        </w:tabs>
        <w:ind w:left="1418" w:hanging="1418"/>
      </w:pPr>
      <w:bookmarkStart w:id="215" w:name="_Toc377482131"/>
      <w:r w:rsidRPr="00FF79CB">
        <w:lastRenderedPageBreak/>
        <w:t xml:space="preserve">Annex 3: </w:t>
      </w:r>
      <w:r w:rsidR="00357951">
        <w:tab/>
      </w:r>
      <w:r w:rsidRPr="00FF79CB">
        <w:t>Mandate of Question 23/1 (WTDC-10/139 (Rev.1))</w:t>
      </w:r>
      <w:bookmarkEnd w:id="214"/>
      <w:r w:rsidR="00C20DC1" w:rsidRPr="00002906">
        <w:footnoteReference w:customMarkFollows="1" w:id="25"/>
        <w:t>*</w:t>
      </w:r>
      <w:r w:rsidRPr="00FF79CB">
        <w:t>.</w:t>
      </w:r>
      <w:bookmarkEnd w:id="215"/>
    </w:p>
    <w:p w:rsidR="00002906" w:rsidRPr="00002906" w:rsidRDefault="00002906" w:rsidP="00002906">
      <w:pPr>
        <w:rPr>
          <w:lang w:val="en-US"/>
        </w:rPr>
      </w:pPr>
    </w:p>
    <w:p w:rsidR="00061F17" w:rsidRPr="004F5CF4" w:rsidRDefault="00061F17" w:rsidP="00F22C89">
      <w:pPr>
        <w:pStyle w:val="Figuretitle"/>
        <w:pBdr>
          <w:right w:val="single" w:sz="12" w:space="0" w:color="005173"/>
        </w:pBdr>
        <w:rPr>
          <w:bCs/>
          <w:lang w:eastAsia="en-ZA"/>
        </w:rPr>
      </w:pPr>
      <w:bookmarkStart w:id="216" w:name="_Toc375239134"/>
      <w:bookmarkStart w:id="217" w:name="_Toc377482288"/>
      <w:r w:rsidRPr="004F5CF4">
        <w:rPr>
          <w:lang w:eastAsia="en-ZA"/>
        </w:rPr>
        <w:t>Question 23/1 – Strategies and policies concerning human exposure to electromagnetic fields</w:t>
      </w:r>
      <w:bookmarkEnd w:id="216"/>
      <w:bookmarkEnd w:id="217"/>
      <w:r w:rsidRPr="004F5CF4">
        <w:rPr>
          <w:lang w:eastAsia="en-ZA"/>
        </w:rPr>
        <w:t xml:space="preserve"> </w:t>
      </w:r>
    </w:p>
    <w:p w:rsidR="00061F17" w:rsidRPr="004F5CF4" w:rsidRDefault="00061F17" w:rsidP="00F22C89">
      <w:pPr>
        <w:pStyle w:val="Figuretitle"/>
        <w:pBdr>
          <w:right w:val="single" w:sz="12" w:space="0" w:color="005173"/>
        </w:pBdr>
        <w:spacing w:before="240"/>
        <w:rPr>
          <w:bCs/>
          <w:lang w:eastAsia="en-ZA"/>
        </w:rPr>
      </w:pPr>
      <w:bookmarkStart w:id="218" w:name="_Toc375239135"/>
      <w:bookmarkStart w:id="219" w:name="_Toc377482289"/>
      <w:r w:rsidRPr="004F5CF4">
        <w:rPr>
          <w:lang w:eastAsia="en-ZA"/>
        </w:rPr>
        <w:t>1</w:t>
      </w:r>
      <w:r w:rsidRPr="00F361D6">
        <w:rPr>
          <w:lang w:eastAsia="en-ZA"/>
        </w:rPr>
        <w:t>.</w:t>
      </w:r>
      <w:r w:rsidRPr="004F5CF4">
        <w:rPr>
          <w:lang w:eastAsia="en-ZA"/>
        </w:rPr>
        <w:t xml:space="preserve"> </w:t>
      </w:r>
      <w:r w:rsidR="00FF79CB">
        <w:rPr>
          <w:lang w:eastAsia="en-ZA"/>
        </w:rPr>
        <w:tab/>
      </w:r>
      <w:r w:rsidRPr="004F5CF4">
        <w:rPr>
          <w:lang w:eastAsia="en-ZA"/>
        </w:rPr>
        <w:t>Statement of the situation</w:t>
      </w:r>
      <w:bookmarkEnd w:id="218"/>
      <w:bookmarkEnd w:id="219"/>
      <w:r w:rsidRPr="004F5CF4">
        <w:rPr>
          <w:lang w:eastAsia="en-ZA"/>
        </w:rPr>
        <w:t xml:space="preserve"> </w:t>
      </w:r>
    </w:p>
    <w:p w:rsidR="00061F17" w:rsidRPr="00F361D6" w:rsidRDefault="00061F17" w:rsidP="00F22C89">
      <w:pPr>
        <w:pStyle w:val="Figure"/>
        <w:pBdr>
          <w:right w:val="single" w:sz="12" w:space="0" w:color="005173"/>
        </w:pBdr>
        <w:spacing w:before="120" w:after="0"/>
        <w:ind w:left="0" w:firstLine="0"/>
        <w:jc w:val="both"/>
        <w:rPr>
          <w:lang w:eastAsia="en-ZA"/>
        </w:rPr>
      </w:pPr>
      <w:r w:rsidRPr="004F5CF4">
        <w:rPr>
          <w:lang w:eastAsia="en-ZA"/>
        </w:rPr>
        <w:t xml:space="preserve">The deployment of different sources of electromagnetic fields to cater for the telecommunication </w:t>
      </w:r>
      <w:r w:rsidRPr="00F361D6">
        <w:rPr>
          <w:lang w:eastAsia="en-ZA"/>
        </w:rPr>
        <w:t xml:space="preserve">and ICT </w:t>
      </w:r>
      <w:r w:rsidRPr="004F5CF4">
        <w:rPr>
          <w:lang w:eastAsia="en-ZA"/>
        </w:rPr>
        <w:t xml:space="preserve">needs of urban and rural communities has developed very rapidly over the past ten (10) </w:t>
      </w:r>
      <w:r w:rsidRPr="00F361D6">
        <w:rPr>
          <w:lang w:eastAsia="en-ZA"/>
        </w:rPr>
        <w:t xml:space="preserve">years. This has </w:t>
      </w:r>
      <w:r w:rsidRPr="004F5CF4">
        <w:rPr>
          <w:lang w:eastAsia="en-ZA"/>
        </w:rPr>
        <w:t xml:space="preserve">been due to strong competition, ongoing traffic growth, quality of service requirements, network coverage extension and the introduction of new technologies. It has produced concern on the possible effects of prolonged exposure to emissions on people's health. </w:t>
      </w:r>
    </w:p>
    <w:p w:rsidR="00061F17" w:rsidRPr="00F361D6" w:rsidRDefault="00061F17" w:rsidP="00F22C89">
      <w:pPr>
        <w:pStyle w:val="Figure"/>
        <w:pBdr>
          <w:right w:val="single" w:sz="12" w:space="0" w:color="005173"/>
        </w:pBdr>
        <w:spacing w:before="120" w:after="0"/>
        <w:ind w:left="0" w:firstLine="0"/>
        <w:jc w:val="both"/>
        <w:rPr>
          <w:lang w:eastAsia="en-ZA"/>
        </w:rPr>
      </w:pPr>
      <w:r w:rsidRPr="004F5CF4">
        <w:rPr>
          <w:lang w:eastAsia="en-ZA"/>
        </w:rPr>
        <w:t>This concern on the part of populations is growing,</w:t>
      </w:r>
      <w:r w:rsidRPr="00F361D6">
        <w:rPr>
          <w:lang w:eastAsia="en-ZA"/>
        </w:rPr>
        <w:t xml:space="preserve"> </w:t>
      </w:r>
      <w:r w:rsidRPr="004F5CF4">
        <w:rPr>
          <w:lang w:eastAsia="en-ZA"/>
        </w:rPr>
        <w:t xml:space="preserve">aggravated by the feeling that they are not being kept informed of the process for deploying these installations; hence many complaints received by operators and government bodies responsible for radiocommunications/ICTs. </w:t>
      </w:r>
    </w:p>
    <w:p w:rsidR="00061F17" w:rsidRPr="004F5CF4" w:rsidRDefault="00061F17" w:rsidP="00F22C89">
      <w:pPr>
        <w:pStyle w:val="Figure"/>
        <w:pBdr>
          <w:right w:val="single" w:sz="12" w:space="0" w:color="005173"/>
        </w:pBdr>
        <w:spacing w:before="120" w:after="0"/>
        <w:ind w:left="0" w:firstLine="0"/>
        <w:jc w:val="both"/>
        <w:rPr>
          <w:lang w:eastAsia="en-ZA"/>
        </w:rPr>
      </w:pPr>
      <w:r w:rsidRPr="004F5CF4">
        <w:rPr>
          <w:lang w:eastAsia="en-ZA"/>
        </w:rPr>
        <w:t xml:space="preserve">Thus, since the continued development of radiocommunications requires trust on the part of populations, the work carried out in ITU-R Study Group 1 Working Party 1C and ITU-T Study Group 5 under Resolution 72, on measurement concerns related to human exposure to electromagnetic fields, should be complemented by studies on the different regulatory and communication mechanisms developed by countries to increase the awareness of and information to populations and facilitate the deployment and operation of radiocommunication systems. </w:t>
      </w:r>
    </w:p>
    <w:p w:rsidR="00061F17" w:rsidRPr="004F5CF4" w:rsidRDefault="00061F17" w:rsidP="00F22C89">
      <w:pPr>
        <w:pStyle w:val="Figuretitle"/>
        <w:pBdr>
          <w:right w:val="single" w:sz="12" w:space="0" w:color="005173"/>
        </w:pBdr>
        <w:spacing w:before="240"/>
        <w:rPr>
          <w:bCs/>
          <w:lang w:eastAsia="en-ZA"/>
        </w:rPr>
      </w:pPr>
      <w:bookmarkStart w:id="220" w:name="_Toc375239136"/>
      <w:bookmarkStart w:id="221" w:name="_Toc377482290"/>
      <w:r w:rsidRPr="004F5CF4">
        <w:rPr>
          <w:lang w:eastAsia="en-ZA"/>
        </w:rPr>
        <w:t>2</w:t>
      </w:r>
      <w:r w:rsidRPr="00F361D6">
        <w:rPr>
          <w:lang w:eastAsia="en-ZA"/>
        </w:rPr>
        <w:t xml:space="preserve">. </w:t>
      </w:r>
      <w:r w:rsidR="00FF79CB">
        <w:rPr>
          <w:lang w:eastAsia="en-ZA"/>
        </w:rPr>
        <w:tab/>
      </w:r>
      <w:r w:rsidRPr="004F5CF4">
        <w:rPr>
          <w:lang w:eastAsia="en-ZA"/>
        </w:rPr>
        <w:t>Question for study</w:t>
      </w:r>
      <w:bookmarkEnd w:id="220"/>
      <w:bookmarkEnd w:id="221"/>
      <w:r w:rsidRPr="004F5CF4">
        <w:rPr>
          <w:lang w:eastAsia="en-ZA"/>
        </w:rPr>
        <w:t xml:space="preserve"> </w:t>
      </w:r>
    </w:p>
    <w:p w:rsidR="00061F17" w:rsidRPr="004F5CF4" w:rsidRDefault="00061F17" w:rsidP="00F22C89">
      <w:pPr>
        <w:pStyle w:val="Figure"/>
        <w:pBdr>
          <w:right w:val="single" w:sz="12" w:space="0" w:color="005173"/>
        </w:pBdr>
        <w:spacing w:before="120" w:after="0"/>
        <w:ind w:left="0" w:firstLine="0"/>
        <w:jc w:val="both"/>
        <w:rPr>
          <w:lang w:eastAsia="en-ZA"/>
        </w:rPr>
      </w:pPr>
      <w:r w:rsidRPr="004F5CF4">
        <w:rPr>
          <w:lang w:eastAsia="en-ZA"/>
        </w:rPr>
        <w:t xml:space="preserve">The following subjects should be studied: </w:t>
      </w:r>
    </w:p>
    <w:p w:rsidR="00061F17" w:rsidRPr="004F5CF4" w:rsidRDefault="00061F17" w:rsidP="00F22C89">
      <w:pPr>
        <w:pStyle w:val="Figure"/>
        <w:pBdr>
          <w:right w:val="single" w:sz="12" w:space="0" w:color="005173"/>
        </w:pBdr>
        <w:spacing w:before="120" w:after="0"/>
        <w:ind w:left="0" w:firstLine="0"/>
        <w:jc w:val="both"/>
        <w:rPr>
          <w:lang w:eastAsia="en-ZA"/>
        </w:rPr>
      </w:pPr>
      <w:r w:rsidRPr="004F5CF4">
        <w:rPr>
          <w:lang w:eastAsia="en-ZA"/>
        </w:rPr>
        <w:t xml:space="preserve">a) </w:t>
      </w:r>
      <w:r w:rsidRPr="00F361D6">
        <w:rPr>
          <w:lang w:eastAsia="en-ZA"/>
        </w:rPr>
        <w:tab/>
      </w:r>
      <w:r w:rsidRPr="004F5CF4">
        <w:rPr>
          <w:lang w:eastAsia="en-ZA"/>
        </w:rPr>
        <w:t>To compile and analyse the regulatory policies concerning human exposure to electromagnetic fields that are being considered or</w:t>
      </w:r>
      <w:r w:rsidRPr="00F361D6">
        <w:rPr>
          <w:lang w:eastAsia="en-ZA"/>
        </w:rPr>
        <w:t xml:space="preserve"> </w:t>
      </w:r>
      <w:r w:rsidRPr="004F5CF4">
        <w:rPr>
          <w:lang w:eastAsia="en-ZA"/>
        </w:rPr>
        <w:t xml:space="preserve">being undertaken for authorizing the installation of radiocommunication sites and Power Lines Telecommunications systems. </w:t>
      </w:r>
    </w:p>
    <w:p w:rsidR="00061F17" w:rsidRPr="004F5CF4" w:rsidRDefault="00061F17" w:rsidP="00F22C89">
      <w:pPr>
        <w:pStyle w:val="Figure"/>
        <w:pBdr>
          <w:right w:val="single" w:sz="12" w:space="0" w:color="005173"/>
        </w:pBdr>
        <w:spacing w:before="120" w:after="0"/>
        <w:ind w:left="0" w:firstLine="0"/>
        <w:jc w:val="both"/>
        <w:rPr>
          <w:lang w:eastAsia="en-ZA"/>
        </w:rPr>
      </w:pPr>
      <w:r w:rsidRPr="00F361D6">
        <w:rPr>
          <w:lang w:eastAsia="en-ZA"/>
        </w:rPr>
        <w:t>b)</w:t>
      </w:r>
      <w:r w:rsidRPr="00F361D6">
        <w:rPr>
          <w:lang w:eastAsia="en-ZA"/>
        </w:rPr>
        <w:tab/>
      </w:r>
      <w:r w:rsidRPr="004F5CF4">
        <w:rPr>
          <w:lang w:eastAsia="en-ZA"/>
        </w:rPr>
        <w:t xml:space="preserve">To describe the strategies or methods for raising the awareness of populations and </w:t>
      </w:r>
      <w:r w:rsidRPr="00F361D6">
        <w:rPr>
          <w:lang w:eastAsia="en-ZA"/>
        </w:rPr>
        <w:t xml:space="preserve">information to </w:t>
      </w:r>
      <w:r w:rsidRPr="004F5CF4">
        <w:rPr>
          <w:lang w:eastAsia="en-ZA"/>
        </w:rPr>
        <w:t>populations regarding the effects of</w:t>
      </w:r>
      <w:r w:rsidRPr="00F361D6">
        <w:rPr>
          <w:lang w:eastAsia="en-ZA"/>
        </w:rPr>
        <w:t xml:space="preserve"> </w:t>
      </w:r>
      <w:r w:rsidRPr="004F5CF4">
        <w:rPr>
          <w:lang w:eastAsia="en-ZA"/>
        </w:rPr>
        <w:t xml:space="preserve">electromagnetic fields due to radiocommunication systems. </w:t>
      </w:r>
    </w:p>
    <w:p w:rsidR="00061F17" w:rsidRPr="00F361D6" w:rsidRDefault="00061F17" w:rsidP="00F22C89">
      <w:pPr>
        <w:pStyle w:val="Figure"/>
        <w:pBdr>
          <w:right w:val="single" w:sz="12" w:space="0" w:color="005173"/>
        </w:pBdr>
        <w:spacing w:before="120" w:after="0"/>
        <w:ind w:left="0" w:firstLine="0"/>
        <w:jc w:val="both"/>
        <w:rPr>
          <w:lang w:eastAsia="en-ZA"/>
        </w:rPr>
      </w:pPr>
      <w:r w:rsidRPr="00F361D6">
        <w:rPr>
          <w:lang w:eastAsia="en-ZA"/>
        </w:rPr>
        <w:t>c)</w:t>
      </w:r>
      <w:r w:rsidRPr="00F361D6">
        <w:rPr>
          <w:lang w:eastAsia="en-ZA"/>
        </w:rPr>
        <w:tab/>
      </w:r>
      <w:r w:rsidRPr="004F5CF4">
        <w:rPr>
          <w:lang w:eastAsia="en-ZA"/>
        </w:rPr>
        <w:t>To propose guidelines and best practices on this</w:t>
      </w:r>
      <w:r>
        <w:rPr>
          <w:lang w:eastAsia="en-ZA"/>
        </w:rPr>
        <w:t xml:space="preserve"> </w:t>
      </w:r>
      <w:r w:rsidRPr="004F5CF4">
        <w:rPr>
          <w:lang w:eastAsia="en-ZA"/>
        </w:rPr>
        <w:t xml:space="preserve">matter. </w:t>
      </w:r>
    </w:p>
    <w:p w:rsidR="00061F17" w:rsidRPr="004F5CF4" w:rsidRDefault="00061F17" w:rsidP="00F22C89">
      <w:pPr>
        <w:pStyle w:val="Figuretitle"/>
        <w:pBdr>
          <w:right w:val="single" w:sz="12" w:space="0" w:color="005173"/>
        </w:pBdr>
        <w:spacing w:before="240"/>
        <w:rPr>
          <w:bCs/>
          <w:lang w:eastAsia="en-ZA"/>
        </w:rPr>
      </w:pPr>
      <w:bookmarkStart w:id="222" w:name="_Toc375239137"/>
      <w:bookmarkStart w:id="223" w:name="_Toc377482291"/>
      <w:r w:rsidRPr="004F5CF4">
        <w:rPr>
          <w:lang w:eastAsia="en-ZA"/>
        </w:rPr>
        <w:t>3</w:t>
      </w:r>
      <w:r w:rsidRPr="00F361D6">
        <w:rPr>
          <w:lang w:eastAsia="en-ZA"/>
        </w:rPr>
        <w:t>.</w:t>
      </w:r>
      <w:r w:rsidRPr="004F5CF4">
        <w:rPr>
          <w:lang w:eastAsia="en-ZA"/>
        </w:rPr>
        <w:t xml:space="preserve"> </w:t>
      </w:r>
      <w:r w:rsidR="00FF79CB">
        <w:rPr>
          <w:lang w:eastAsia="en-ZA"/>
        </w:rPr>
        <w:tab/>
      </w:r>
      <w:r w:rsidRPr="004F5CF4">
        <w:rPr>
          <w:lang w:eastAsia="en-ZA"/>
        </w:rPr>
        <w:t>Expected outcome</w:t>
      </w:r>
      <w:bookmarkEnd w:id="222"/>
      <w:bookmarkEnd w:id="223"/>
      <w:r w:rsidRPr="004F5CF4">
        <w:rPr>
          <w:lang w:eastAsia="en-ZA"/>
        </w:rPr>
        <w:t xml:space="preserve"> </w:t>
      </w:r>
    </w:p>
    <w:p w:rsidR="00061F17" w:rsidRPr="004F5CF4" w:rsidRDefault="00061F17" w:rsidP="00F22C89">
      <w:pPr>
        <w:pStyle w:val="Figure"/>
        <w:pBdr>
          <w:right w:val="single" w:sz="12" w:space="0" w:color="005173"/>
        </w:pBdr>
        <w:spacing w:before="120" w:after="0"/>
        <w:ind w:left="0" w:firstLine="0"/>
        <w:jc w:val="both"/>
        <w:rPr>
          <w:lang w:eastAsia="en-ZA"/>
        </w:rPr>
      </w:pPr>
      <w:r w:rsidRPr="00F361D6">
        <w:rPr>
          <w:lang w:eastAsia="en-ZA"/>
        </w:rPr>
        <w:t>a)</w:t>
      </w:r>
      <w:r w:rsidRPr="00F361D6">
        <w:rPr>
          <w:lang w:eastAsia="en-ZA"/>
        </w:rPr>
        <w:tab/>
      </w:r>
      <w:r w:rsidRPr="004F5CF4">
        <w:rPr>
          <w:lang w:eastAsia="en-ZA"/>
        </w:rPr>
        <w:t>A report to the membership presenting guidelines</w:t>
      </w:r>
      <w:r>
        <w:rPr>
          <w:lang w:eastAsia="en-ZA"/>
        </w:rPr>
        <w:t xml:space="preserve"> </w:t>
      </w:r>
      <w:r w:rsidRPr="004F5CF4">
        <w:rPr>
          <w:lang w:eastAsia="en-ZA"/>
        </w:rPr>
        <w:t xml:space="preserve">to assist Member States in resolving </w:t>
      </w:r>
      <w:r w:rsidRPr="00F361D6">
        <w:rPr>
          <w:lang w:eastAsia="en-ZA"/>
        </w:rPr>
        <w:t>similar</w:t>
      </w:r>
      <w:r>
        <w:rPr>
          <w:lang w:eastAsia="en-ZA"/>
        </w:rPr>
        <w:t xml:space="preserve"> p</w:t>
      </w:r>
      <w:r w:rsidRPr="00F361D6">
        <w:rPr>
          <w:lang w:eastAsia="en-ZA"/>
        </w:rPr>
        <w:t xml:space="preserve">roblems </w:t>
      </w:r>
      <w:r w:rsidRPr="004F5CF4">
        <w:rPr>
          <w:lang w:eastAsia="en-ZA"/>
        </w:rPr>
        <w:t xml:space="preserve">faced by regulatory bodies. </w:t>
      </w:r>
    </w:p>
    <w:p w:rsidR="00061F17" w:rsidRPr="00F361D6" w:rsidRDefault="00061F17" w:rsidP="00F22C89">
      <w:pPr>
        <w:pStyle w:val="Figure"/>
        <w:pBdr>
          <w:right w:val="single" w:sz="12" w:space="0" w:color="005173"/>
        </w:pBdr>
        <w:spacing w:before="120" w:after="0"/>
        <w:ind w:left="0" w:firstLine="0"/>
        <w:jc w:val="both"/>
        <w:rPr>
          <w:lang w:eastAsia="en-ZA"/>
        </w:rPr>
      </w:pPr>
      <w:r w:rsidRPr="00F361D6">
        <w:rPr>
          <w:lang w:eastAsia="en-ZA"/>
        </w:rPr>
        <w:t>b)</w:t>
      </w:r>
      <w:r w:rsidRPr="00F361D6">
        <w:rPr>
          <w:lang w:eastAsia="en-ZA"/>
        </w:rPr>
        <w:tab/>
      </w:r>
      <w:r w:rsidRPr="004F5CF4">
        <w:rPr>
          <w:lang w:eastAsia="en-ZA"/>
        </w:rPr>
        <w:t xml:space="preserve">The report will provide regulatory authorities with guidelines on methods for raising the </w:t>
      </w:r>
      <w:r>
        <w:rPr>
          <w:lang w:eastAsia="en-ZA"/>
        </w:rPr>
        <w:t>a</w:t>
      </w:r>
      <w:r w:rsidRPr="004F5CF4">
        <w:rPr>
          <w:lang w:eastAsia="en-ZA"/>
        </w:rPr>
        <w:t xml:space="preserve">wareness of populations along with best practices based on countries' experience in the matter. </w:t>
      </w:r>
    </w:p>
    <w:p w:rsidR="00061F17" w:rsidRPr="004F5CF4" w:rsidRDefault="00061F17" w:rsidP="00F22C89">
      <w:pPr>
        <w:pStyle w:val="Figuretitle"/>
        <w:pBdr>
          <w:right w:val="single" w:sz="12" w:space="0" w:color="005173"/>
        </w:pBdr>
        <w:spacing w:before="240"/>
        <w:rPr>
          <w:bCs/>
          <w:lang w:eastAsia="en-ZA"/>
        </w:rPr>
      </w:pPr>
      <w:bookmarkStart w:id="224" w:name="_Toc375239138"/>
      <w:bookmarkStart w:id="225" w:name="_Toc377482292"/>
      <w:r w:rsidRPr="004F5CF4">
        <w:rPr>
          <w:lang w:eastAsia="en-ZA"/>
        </w:rPr>
        <w:t xml:space="preserve">4 </w:t>
      </w:r>
      <w:r w:rsidR="00FF79CB">
        <w:rPr>
          <w:lang w:eastAsia="en-ZA"/>
        </w:rPr>
        <w:tab/>
      </w:r>
      <w:r w:rsidRPr="004F5CF4">
        <w:rPr>
          <w:lang w:eastAsia="en-ZA"/>
        </w:rPr>
        <w:t>Timeline</w:t>
      </w:r>
      <w:bookmarkEnd w:id="224"/>
      <w:bookmarkEnd w:id="225"/>
      <w:r w:rsidRPr="004F5CF4">
        <w:rPr>
          <w:lang w:eastAsia="en-ZA"/>
        </w:rPr>
        <w:t xml:space="preserve"> </w:t>
      </w:r>
    </w:p>
    <w:p w:rsidR="00061F17" w:rsidRPr="004F5CF4" w:rsidRDefault="00061F17" w:rsidP="00F22C89">
      <w:pPr>
        <w:pStyle w:val="Figure"/>
        <w:pBdr>
          <w:right w:val="single" w:sz="12" w:space="0" w:color="005173"/>
        </w:pBdr>
        <w:spacing w:before="120" w:after="0"/>
        <w:ind w:left="0" w:firstLine="0"/>
        <w:jc w:val="both"/>
        <w:rPr>
          <w:lang w:eastAsia="en-ZA"/>
        </w:rPr>
      </w:pPr>
      <w:r w:rsidRPr="004F5CF4">
        <w:rPr>
          <w:lang w:eastAsia="en-ZA"/>
        </w:rPr>
        <w:t>A provisional report is to be presented to the Study Group in 2012. It is proposed that the study be completed in 2013, at which date a final report containing guidelines will be submitted</w:t>
      </w:r>
    </w:p>
    <w:p w:rsidR="00061F17" w:rsidRDefault="00061F17" w:rsidP="00061F17">
      <w:pPr>
        <w:spacing w:before="0"/>
        <w:rPr>
          <w:b/>
          <w:szCs w:val="19"/>
          <w:lang w:val="en-GB"/>
        </w:rPr>
      </w:pPr>
      <w:bookmarkStart w:id="226" w:name="_Toc361912446"/>
      <w:r w:rsidRPr="00061F17">
        <w:rPr>
          <w:smallCaps/>
          <w:szCs w:val="19"/>
          <w:lang w:val="en-US"/>
        </w:rPr>
        <w:br w:type="page"/>
      </w:r>
    </w:p>
    <w:p w:rsidR="00061F17" w:rsidRPr="00013023" w:rsidRDefault="00061F17" w:rsidP="00534837">
      <w:pPr>
        <w:pStyle w:val="Heading1"/>
        <w:tabs>
          <w:tab w:val="left" w:pos="1418"/>
        </w:tabs>
        <w:ind w:left="1418" w:hanging="1418"/>
        <w:rPr>
          <w:smallCaps/>
        </w:rPr>
      </w:pPr>
      <w:bookmarkStart w:id="227" w:name="_Toc377482132"/>
      <w:r w:rsidRPr="00013023">
        <w:lastRenderedPageBreak/>
        <w:t>A</w:t>
      </w:r>
      <w:r>
        <w:t>nnex</w:t>
      </w:r>
      <w:r w:rsidRPr="00013023">
        <w:t xml:space="preserve"> 4: </w:t>
      </w:r>
      <w:r w:rsidR="00357951">
        <w:tab/>
      </w:r>
      <w:r w:rsidRPr="00013023">
        <w:t>WTSA</w:t>
      </w:r>
      <w:r>
        <w:t>-</w:t>
      </w:r>
      <w:r w:rsidRPr="00013023">
        <w:t>12</w:t>
      </w:r>
      <w:r w:rsidR="00FA6CE1" w:rsidRPr="00FA6CE1">
        <w:rPr>
          <w:rStyle w:val="FootnoteReference"/>
          <w:lang w:val="en-US"/>
        </w:rPr>
        <w:footnoteReference w:customMarkFollows="1" w:id="26"/>
        <w:t>*</w:t>
      </w:r>
      <w:r w:rsidRPr="00013023">
        <w:t xml:space="preserve"> Resolution 72 on “Measurement concerns related to human exposure to electromagnetic fields”'</w:t>
      </w:r>
      <w:bookmarkEnd w:id="226"/>
      <w:bookmarkEnd w:id="227"/>
    </w:p>
    <w:p w:rsidR="00FF79CB" w:rsidRDefault="00FF79CB" w:rsidP="00FA6CE1">
      <w:pPr>
        <w:rPr>
          <w:lang w:val="en-US"/>
        </w:rPr>
      </w:pPr>
      <w:bookmarkStart w:id="228" w:name="dstart"/>
      <w:bookmarkStart w:id="229" w:name="dbreak"/>
      <w:bookmarkStart w:id="230" w:name="c2tope"/>
      <w:bookmarkStart w:id="231" w:name="irecnoe"/>
      <w:bookmarkEnd w:id="228"/>
      <w:bookmarkEnd w:id="229"/>
      <w:bookmarkEnd w:id="230"/>
      <w:bookmarkEnd w:id="231"/>
    </w:p>
    <w:p w:rsidR="00A86D63" w:rsidRPr="00A86D63" w:rsidRDefault="00A86D63" w:rsidP="00FA6CE1">
      <w:pPr>
        <w:rPr>
          <w:lang w:val="en-US"/>
        </w:rPr>
      </w:pPr>
    </w:p>
    <w:p w:rsidR="00061F17" w:rsidRPr="007A19CC" w:rsidRDefault="00061F17" w:rsidP="00FF79CB">
      <w:pPr>
        <w:pStyle w:val="ResNo"/>
        <w:rPr>
          <w:lang w:val="en-US"/>
        </w:rPr>
      </w:pPr>
      <w:r w:rsidRPr="007A19CC">
        <w:rPr>
          <w:lang w:val="en-US"/>
        </w:rPr>
        <w:t xml:space="preserve">resolution </w:t>
      </w:r>
      <w:r w:rsidRPr="007A19CC">
        <w:rPr>
          <w:rStyle w:val="href"/>
          <w:lang w:val="en-US"/>
        </w:rPr>
        <w:t xml:space="preserve">72 </w:t>
      </w:r>
      <w:r w:rsidRPr="007A19CC">
        <w:rPr>
          <w:lang w:val="en-US"/>
        </w:rPr>
        <w:t>(Rev. Dubai, 2012)</w:t>
      </w:r>
    </w:p>
    <w:p w:rsidR="00061F17" w:rsidRPr="00F361D6" w:rsidRDefault="00061F17" w:rsidP="00FF79CB">
      <w:pPr>
        <w:pStyle w:val="Restitle"/>
        <w:rPr>
          <w:lang w:val="en-GB"/>
        </w:rPr>
      </w:pPr>
      <w:r w:rsidRPr="007A19CC">
        <w:rPr>
          <w:lang w:val="en-US"/>
        </w:rPr>
        <w:t>Measurement</w:t>
      </w:r>
      <w:r w:rsidRPr="00F361D6">
        <w:rPr>
          <w:lang w:val="en-GB"/>
        </w:rPr>
        <w:t xml:space="preserve"> concerns related to human exposure to electromagnetic fields</w:t>
      </w:r>
    </w:p>
    <w:p w:rsidR="00061F17" w:rsidRPr="007A19CC" w:rsidRDefault="00061F17" w:rsidP="00FF79CB">
      <w:pPr>
        <w:pStyle w:val="Resref"/>
        <w:rPr>
          <w:lang w:val="en-US"/>
        </w:rPr>
      </w:pPr>
      <w:r w:rsidRPr="007A19CC">
        <w:rPr>
          <w:lang w:val="en-US"/>
        </w:rPr>
        <w:t>(Johannesburg, 2008; Dubai, 2012)</w:t>
      </w:r>
    </w:p>
    <w:p w:rsidR="00FF79CB" w:rsidRDefault="00FF79CB" w:rsidP="00061F17">
      <w:pPr>
        <w:pStyle w:val="Normalaftertitle"/>
        <w:spacing w:before="120" w:after="120"/>
        <w:rPr>
          <w:rFonts w:ascii="Verdana" w:hAnsi="Verdana"/>
          <w:sz w:val="19"/>
          <w:szCs w:val="19"/>
        </w:rPr>
      </w:pPr>
    </w:p>
    <w:p w:rsidR="00061F17" w:rsidRPr="00FF79CB" w:rsidRDefault="00061F17" w:rsidP="00FF79CB">
      <w:pPr>
        <w:pStyle w:val="Normalaftertitle"/>
      </w:pPr>
      <w:r w:rsidRPr="00FF79CB">
        <w:t>The World Telecommunication Standardization Assembly (Dubai, 2012),</w:t>
      </w:r>
    </w:p>
    <w:p w:rsidR="00061F17" w:rsidRPr="00F361D6" w:rsidRDefault="00061F17" w:rsidP="00FF79CB">
      <w:pPr>
        <w:pStyle w:val="Call"/>
      </w:pPr>
      <w:r w:rsidRPr="00FF79CB">
        <w:t>considering</w:t>
      </w:r>
      <w:r w:rsidRPr="00F361D6">
        <w:t xml:space="preserve"> </w:t>
      </w:r>
    </w:p>
    <w:p w:rsidR="00061F17" w:rsidRPr="00F361D6" w:rsidRDefault="00061F17" w:rsidP="00061F17">
      <w:pPr>
        <w:rPr>
          <w:szCs w:val="19"/>
          <w:lang w:val="en-GB"/>
        </w:rPr>
      </w:pPr>
      <w:r w:rsidRPr="00F361D6">
        <w:rPr>
          <w:i/>
          <w:iCs/>
          <w:szCs w:val="19"/>
          <w:lang w:val="en-GB"/>
        </w:rPr>
        <w:t>a)</w:t>
      </w:r>
      <w:r w:rsidRPr="00F361D6">
        <w:rPr>
          <w:szCs w:val="19"/>
          <w:lang w:val="en-GB"/>
        </w:rPr>
        <w:tab/>
        <w:t>the importance of telecommunications and information and communication technologies (ICT) for political, economic, social and cultural progress;</w:t>
      </w:r>
    </w:p>
    <w:p w:rsidR="00061F17" w:rsidRPr="00F361D6" w:rsidRDefault="00061F17" w:rsidP="00061F17">
      <w:pPr>
        <w:rPr>
          <w:szCs w:val="19"/>
          <w:lang w:val="en-GB"/>
        </w:rPr>
      </w:pPr>
      <w:r w:rsidRPr="00F361D6">
        <w:rPr>
          <w:i/>
          <w:iCs/>
          <w:szCs w:val="19"/>
          <w:lang w:val="en-GB"/>
        </w:rPr>
        <w:t>b)</w:t>
      </w:r>
      <w:r w:rsidRPr="00F361D6">
        <w:rPr>
          <w:szCs w:val="19"/>
          <w:lang w:val="en-GB"/>
        </w:rPr>
        <w:tab/>
        <w:t>that a significant part of the infrastructure needed to help bridge the digital divide between developed and developing countries</w:t>
      </w:r>
      <w:r w:rsidR="00FA6CE1" w:rsidRPr="00FA6CE1">
        <w:rPr>
          <w:rStyle w:val="FootnoteReference"/>
          <w:szCs w:val="19"/>
          <w:lang w:val="en-US"/>
        </w:rPr>
        <w:footnoteReference w:customMarkFollows="1" w:id="27"/>
        <w:t>1</w:t>
      </w:r>
      <w:r w:rsidRPr="00F361D6">
        <w:rPr>
          <w:szCs w:val="19"/>
          <w:lang w:val="en-GB"/>
        </w:rPr>
        <w:t xml:space="preserve"> involves various wireless technologies;</w:t>
      </w:r>
    </w:p>
    <w:p w:rsidR="00061F17" w:rsidRPr="00F361D6" w:rsidRDefault="00061F17" w:rsidP="00061F17">
      <w:pPr>
        <w:rPr>
          <w:szCs w:val="19"/>
          <w:lang w:val="en-GB"/>
        </w:rPr>
      </w:pPr>
      <w:r w:rsidRPr="00F361D6">
        <w:rPr>
          <w:i/>
          <w:iCs/>
          <w:szCs w:val="19"/>
          <w:lang w:val="en-GB"/>
        </w:rPr>
        <w:t>c)</w:t>
      </w:r>
      <w:r w:rsidRPr="00F361D6">
        <w:rPr>
          <w:szCs w:val="19"/>
          <w:lang w:val="en-GB"/>
        </w:rPr>
        <w:tab/>
        <w:t>that there is a need to inform the public of the potential effects of exposure to electromagnetic fields (EMF);</w:t>
      </w:r>
    </w:p>
    <w:p w:rsidR="00061F17" w:rsidRPr="00F361D6" w:rsidRDefault="00061F17" w:rsidP="00061F17">
      <w:pPr>
        <w:rPr>
          <w:szCs w:val="19"/>
          <w:lang w:val="en-GB"/>
        </w:rPr>
      </w:pPr>
      <w:r w:rsidRPr="00F361D6">
        <w:rPr>
          <w:i/>
          <w:iCs/>
          <w:szCs w:val="19"/>
          <w:lang w:val="en-GB"/>
        </w:rPr>
        <w:t>d)</w:t>
      </w:r>
      <w:r w:rsidRPr="00F361D6">
        <w:rPr>
          <w:szCs w:val="19"/>
          <w:lang w:val="en-GB"/>
        </w:rPr>
        <w:tab/>
        <w:t>that an enormous amount of research has been carried out regarding wireless systems and health, and many independent expert committees have reviewed this research;</w:t>
      </w:r>
    </w:p>
    <w:p w:rsidR="00061F17" w:rsidRPr="00F361D6" w:rsidRDefault="00061F17" w:rsidP="00061F17">
      <w:pPr>
        <w:rPr>
          <w:szCs w:val="19"/>
          <w:lang w:val="en-GB"/>
        </w:rPr>
      </w:pPr>
      <w:r w:rsidRPr="00F361D6">
        <w:rPr>
          <w:i/>
          <w:iCs/>
          <w:szCs w:val="19"/>
          <w:lang w:val="en-GB"/>
        </w:rPr>
        <w:t>e)</w:t>
      </w:r>
      <w:r w:rsidRPr="00F361D6">
        <w:rPr>
          <w:szCs w:val="19"/>
          <w:lang w:val="en-GB"/>
        </w:rPr>
        <w:tab/>
        <w:t>that the International Commission on Non-Ionizing Radiation Protection (ICNIRP), the International Electrotechnical Commission (IEC) and the Institute of Electrical and Electronics Engineers (IEEE) are three among a number of pre-eminent international bodies in establishing measurement methodologies for assessing human exposure to EMF, and they already cooperate with many standards bodies and industry forums;</w:t>
      </w:r>
    </w:p>
    <w:p w:rsidR="00061F17" w:rsidRPr="00F361D6" w:rsidRDefault="00061F17" w:rsidP="00061F17">
      <w:pPr>
        <w:rPr>
          <w:szCs w:val="19"/>
          <w:lang w:val="en-GB"/>
        </w:rPr>
      </w:pPr>
      <w:r w:rsidRPr="00F361D6">
        <w:rPr>
          <w:i/>
          <w:iCs/>
          <w:szCs w:val="19"/>
          <w:lang w:val="en-GB"/>
        </w:rPr>
        <w:t>f)</w:t>
      </w:r>
      <w:r w:rsidRPr="00F361D6">
        <w:rPr>
          <w:szCs w:val="19"/>
          <w:lang w:val="en-GB"/>
        </w:rPr>
        <w:tab/>
        <w:t>that the World Health Organization (WHO) has issued fact sheets regarding EMF issues, including mobile terminals, base stations and wireless networks, referencing ICNIRP standards;</w:t>
      </w:r>
    </w:p>
    <w:p w:rsidR="00061F17" w:rsidRPr="00F361D6" w:rsidRDefault="00061F17" w:rsidP="00061F17">
      <w:pPr>
        <w:rPr>
          <w:szCs w:val="19"/>
          <w:lang w:val="en-GB"/>
        </w:rPr>
      </w:pPr>
      <w:r w:rsidRPr="00F361D6">
        <w:rPr>
          <w:i/>
          <w:iCs/>
          <w:szCs w:val="19"/>
          <w:lang w:val="en-GB"/>
        </w:rPr>
        <w:t>g)</w:t>
      </w:r>
      <w:r w:rsidRPr="00F361D6">
        <w:rPr>
          <w:szCs w:val="19"/>
          <w:lang w:val="en-GB"/>
        </w:rPr>
        <w:tab/>
        <w:t xml:space="preserve">Resolution 176 (Guadalajara, 2010) of the Plenipotentiary Conference, on human exposure to and measurement of electromagnetic fields; </w:t>
      </w:r>
    </w:p>
    <w:p w:rsidR="00061F17" w:rsidRPr="00F361D6" w:rsidRDefault="00061F17" w:rsidP="00061F17">
      <w:pPr>
        <w:rPr>
          <w:szCs w:val="19"/>
          <w:lang w:val="en-GB"/>
        </w:rPr>
      </w:pPr>
      <w:r w:rsidRPr="00F361D6">
        <w:rPr>
          <w:i/>
          <w:iCs/>
          <w:szCs w:val="19"/>
          <w:lang w:val="en-GB"/>
        </w:rPr>
        <w:t>h)</w:t>
      </w:r>
      <w:r w:rsidRPr="00F361D6">
        <w:rPr>
          <w:szCs w:val="19"/>
          <w:lang w:val="en-GB"/>
        </w:rPr>
        <w:tab/>
        <w:t>Resolution 62 (Hyderabad, 2010) of the World Telecommunication Development Conference, on measurement concerns related to human exposure to electromagnetic fields,</w:t>
      </w:r>
    </w:p>
    <w:p w:rsidR="00061F17" w:rsidRPr="00F361D6" w:rsidRDefault="00061F17" w:rsidP="00FF79CB">
      <w:pPr>
        <w:pStyle w:val="Call"/>
      </w:pPr>
      <w:r w:rsidRPr="00FF79CB">
        <w:t>recognizing</w:t>
      </w:r>
    </w:p>
    <w:p w:rsidR="00061F17" w:rsidRPr="00F361D6" w:rsidRDefault="00061F17" w:rsidP="00061F17">
      <w:pPr>
        <w:rPr>
          <w:szCs w:val="19"/>
          <w:lang w:val="en-GB"/>
        </w:rPr>
      </w:pPr>
      <w:r w:rsidRPr="00F361D6">
        <w:rPr>
          <w:i/>
          <w:iCs/>
          <w:szCs w:val="19"/>
          <w:lang w:val="en-GB"/>
        </w:rPr>
        <w:t>a)</w:t>
      </w:r>
      <w:r w:rsidRPr="00F361D6">
        <w:rPr>
          <w:szCs w:val="19"/>
          <w:lang w:val="en-GB"/>
        </w:rPr>
        <w:tab/>
        <w:t>the work done within ITU Radiocommunication Sector (ITU</w:t>
      </w:r>
      <w:r w:rsidRPr="00F361D6">
        <w:rPr>
          <w:szCs w:val="19"/>
          <w:lang w:val="en-GB"/>
        </w:rPr>
        <w:noBreakHyphen/>
        <w:t>R) study groups on radiowave propagation, electromagnetic compatibility (EMC) and related aspects, including measurement methods;</w:t>
      </w:r>
    </w:p>
    <w:p w:rsidR="00061F17" w:rsidRPr="00F361D6" w:rsidRDefault="00061F17" w:rsidP="00061F17">
      <w:pPr>
        <w:rPr>
          <w:szCs w:val="19"/>
          <w:lang w:val="en-GB"/>
        </w:rPr>
      </w:pPr>
      <w:r w:rsidRPr="00F361D6">
        <w:rPr>
          <w:i/>
          <w:iCs/>
          <w:szCs w:val="19"/>
          <w:lang w:val="en-GB"/>
        </w:rPr>
        <w:t>b)</w:t>
      </w:r>
      <w:r w:rsidRPr="00F361D6">
        <w:rPr>
          <w:szCs w:val="19"/>
          <w:lang w:val="en-GB"/>
        </w:rPr>
        <w:tab/>
        <w:t>the work done within Study Group 5 of the ITU Telecommunication Standardization Sector (ITU</w:t>
      </w:r>
      <w:r w:rsidRPr="00F361D6">
        <w:rPr>
          <w:szCs w:val="19"/>
          <w:lang w:val="en-GB"/>
        </w:rPr>
        <w:noBreakHyphen/>
        <w:t>T) on techniques for taking radio-frequency (RF) measurements;</w:t>
      </w:r>
    </w:p>
    <w:p w:rsidR="00061F17" w:rsidRPr="00F361D6" w:rsidRDefault="00061F17" w:rsidP="00061F17">
      <w:pPr>
        <w:rPr>
          <w:szCs w:val="19"/>
          <w:lang w:val="en-GB"/>
        </w:rPr>
      </w:pPr>
      <w:r w:rsidRPr="00F361D6">
        <w:rPr>
          <w:i/>
          <w:iCs/>
          <w:szCs w:val="19"/>
          <w:lang w:val="en-GB"/>
        </w:rPr>
        <w:lastRenderedPageBreak/>
        <w:t>c)</w:t>
      </w:r>
      <w:r w:rsidRPr="00F361D6">
        <w:rPr>
          <w:szCs w:val="19"/>
          <w:lang w:val="en-GB"/>
        </w:rPr>
        <w:tab/>
        <w:t>that Study Group 5, in establishing measurement methodologies for assessing human exposure to RF energy, already cooperates with many participating standards organizations (PSOs),</w:t>
      </w:r>
    </w:p>
    <w:p w:rsidR="00061F17" w:rsidRPr="00F361D6" w:rsidRDefault="00061F17" w:rsidP="00FF79CB">
      <w:pPr>
        <w:pStyle w:val="Call"/>
      </w:pPr>
      <w:r w:rsidRPr="00FF79CB">
        <w:t>recognizing</w:t>
      </w:r>
      <w:r w:rsidRPr="00F361D6">
        <w:t xml:space="preserve"> further</w:t>
      </w:r>
    </w:p>
    <w:p w:rsidR="00061F17" w:rsidRPr="00F361D6" w:rsidRDefault="00061F17" w:rsidP="00061F17">
      <w:pPr>
        <w:rPr>
          <w:szCs w:val="19"/>
          <w:lang w:val="en-GB"/>
        </w:rPr>
      </w:pPr>
      <w:r w:rsidRPr="00F361D6">
        <w:rPr>
          <w:i/>
          <w:iCs/>
          <w:szCs w:val="19"/>
          <w:lang w:val="en-GB"/>
        </w:rPr>
        <w:t>a)</w:t>
      </w:r>
      <w:r w:rsidRPr="00F361D6">
        <w:rPr>
          <w:szCs w:val="19"/>
          <w:lang w:val="en-GB"/>
        </w:rPr>
        <w:tab/>
        <w:t>that some publications about EMF effects on health create doubt among the population, in particular in developing countries;</w:t>
      </w:r>
    </w:p>
    <w:p w:rsidR="00061F17" w:rsidRPr="00F361D6" w:rsidRDefault="00061F17" w:rsidP="00061F17">
      <w:pPr>
        <w:rPr>
          <w:szCs w:val="19"/>
          <w:lang w:val="en-GB"/>
        </w:rPr>
      </w:pPr>
      <w:r w:rsidRPr="00F361D6">
        <w:rPr>
          <w:i/>
          <w:iCs/>
          <w:szCs w:val="19"/>
          <w:lang w:val="en-GB"/>
        </w:rPr>
        <w:t>b)</w:t>
      </w:r>
      <w:r w:rsidRPr="00F361D6">
        <w:rPr>
          <w:szCs w:val="19"/>
          <w:lang w:val="en-GB"/>
        </w:rPr>
        <w:tab/>
        <w:t>that, in the absence of regulation, people, in particular in developing countries, become more and more doubtful and are increasingly opposing the deployment of radio installations in their neighbourhoods;</w:t>
      </w:r>
    </w:p>
    <w:p w:rsidR="00061F17" w:rsidRPr="00F361D6" w:rsidRDefault="00061F17" w:rsidP="00061F17">
      <w:pPr>
        <w:rPr>
          <w:szCs w:val="19"/>
          <w:lang w:val="en-GB"/>
        </w:rPr>
      </w:pPr>
      <w:r w:rsidRPr="00F361D6">
        <w:rPr>
          <w:i/>
          <w:iCs/>
          <w:szCs w:val="19"/>
          <w:lang w:val="en-GB"/>
        </w:rPr>
        <w:t>c)</w:t>
      </w:r>
      <w:r w:rsidRPr="00F361D6">
        <w:rPr>
          <w:szCs w:val="19"/>
          <w:lang w:val="en-GB"/>
        </w:rPr>
        <w:tab/>
        <w:t>that the cost of the equipment used for assessing human exposure to RF energy is very high, and that the equipment is more likely to be affordable only in developed countries;</w:t>
      </w:r>
    </w:p>
    <w:p w:rsidR="00061F17" w:rsidRPr="00F361D6" w:rsidRDefault="00061F17" w:rsidP="00061F17">
      <w:pPr>
        <w:rPr>
          <w:szCs w:val="19"/>
          <w:lang w:val="en-GB"/>
        </w:rPr>
      </w:pPr>
      <w:r w:rsidRPr="00F361D6">
        <w:rPr>
          <w:i/>
          <w:iCs/>
          <w:szCs w:val="19"/>
          <w:lang w:val="en-GB"/>
        </w:rPr>
        <w:t>d)</w:t>
      </w:r>
      <w:r w:rsidRPr="00F361D6">
        <w:rPr>
          <w:szCs w:val="19"/>
          <w:lang w:val="en-GB"/>
        </w:rPr>
        <w:tab/>
        <w:t>that implementing such measurement is essential for many regulatory authorities, in particular in developing countries, in order to monitor the limits for human exposure to RF energy, and that they are called upon to ensure those limits are met in order to license different services,</w:t>
      </w:r>
    </w:p>
    <w:p w:rsidR="00061F17" w:rsidRPr="00F361D6" w:rsidRDefault="00061F17" w:rsidP="00FF79CB">
      <w:pPr>
        <w:pStyle w:val="Call"/>
      </w:pPr>
      <w:r w:rsidRPr="00FF79CB">
        <w:t>noting</w:t>
      </w:r>
    </w:p>
    <w:p w:rsidR="00061F17" w:rsidRPr="00F361D6" w:rsidRDefault="00061F17" w:rsidP="00061F17">
      <w:pPr>
        <w:rPr>
          <w:szCs w:val="19"/>
          <w:lang w:val="en-GB"/>
        </w:rPr>
      </w:pPr>
      <w:r w:rsidRPr="00F361D6">
        <w:rPr>
          <w:szCs w:val="19"/>
          <w:lang w:val="en-GB"/>
        </w:rPr>
        <w:t>the similar activities carried out by other national, regional and international standards development organizations (SDOs),</w:t>
      </w:r>
    </w:p>
    <w:p w:rsidR="00061F17" w:rsidRPr="00F361D6" w:rsidRDefault="00061F17" w:rsidP="00FF79CB">
      <w:pPr>
        <w:pStyle w:val="Call"/>
      </w:pPr>
      <w:r w:rsidRPr="00F361D6">
        <w:t>resolves</w:t>
      </w:r>
    </w:p>
    <w:p w:rsidR="00061F17" w:rsidRPr="00F361D6" w:rsidRDefault="00061F17" w:rsidP="00061F17">
      <w:pPr>
        <w:rPr>
          <w:szCs w:val="19"/>
          <w:lang w:val="en-GB"/>
        </w:rPr>
      </w:pPr>
      <w:r w:rsidRPr="00F361D6">
        <w:rPr>
          <w:szCs w:val="19"/>
          <w:lang w:val="en-GB"/>
        </w:rPr>
        <w:t>to invite ITU</w:t>
      </w:r>
      <w:r w:rsidRPr="00F361D6">
        <w:rPr>
          <w:szCs w:val="19"/>
          <w:lang w:val="en-GB"/>
        </w:rPr>
        <w:noBreakHyphen/>
        <w:t>T, in particular Study Group 5, to expand and continue its work and support in this domain, including but not limited to:</w:t>
      </w:r>
    </w:p>
    <w:p w:rsidR="00061F17" w:rsidRPr="00F361D6" w:rsidRDefault="00061F17" w:rsidP="00FF79CB">
      <w:pPr>
        <w:pStyle w:val="Enumlevel1"/>
      </w:pPr>
      <w:r w:rsidRPr="00F361D6">
        <w:t>i)</w:t>
      </w:r>
      <w:r w:rsidRPr="00F361D6">
        <w:tab/>
        <w:t>disseminating information related to this topic through organizing workshops and seminars for regulators, operators and any interested stakeholders from developing countries;</w:t>
      </w:r>
    </w:p>
    <w:p w:rsidR="00061F17" w:rsidRPr="00F361D6" w:rsidRDefault="00061F17" w:rsidP="00FF79CB">
      <w:pPr>
        <w:pStyle w:val="Enumlevel1"/>
      </w:pPr>
      <w:r w:rsidRPr="00F361D6">
        <w:t>ii)</w:t>
      </w:r>
      <w:r w:rsidRPr="00F361D6">
        <w:tab/>
        <w:t xml:space="preserve">continuing to cooperate and collaborate with other organizations working on this topic and to leverage their work, in particular with a view to assisting the developing countries in the establishment of standards and in monitoring compliance with these standards, especially on telecommunication terminals; </w:t>
      </w:r>
    </w:p>
    <w:p w:rsidR="00061F17" w:rsidRPr="00F361D6" w:rsidRDefault="00061F17" w:rsidP="00FF79CB">
      <w:pPr>
        <w:pStyle w:val="Enumlevel1"/>
      </w:pPr>
      <w:r w:rsidRPr="00F361D6">
        <w:t>iii)</w:t>
      </w:r>
      <w:r w:rsidRPr="00F361D6">
        <w:tab/>
        <w:t>cooperating on these issues with ITU</w:t>
      </w:r>
      <w:r w:rsidRPr="00F361D6">
        <w:noBreakHyphen/>
        <w:t>R Study Groups 1 and 6, and with Study Group 1 of the ITU Telecommunication Development Sector (ITU</w:t>
      </w:r>
      <w:r w:rsidRPr="00F361D6">
        <w:noBreakHyphen/>
        <w:t>D) in the framework of Question 23/1;</w:t>
      </w:r>
    </w:p>
    <w:p w:rsidR="00061F17" w:rsidRPr="00F361D6" w:rsidRDefault="00061F17" w:rsidP="00FF79CB">
      <w:pPr>
        <w:pStyle w:val="Enumlevel1"/>
      </w:pPr>
      <w:r w:rsidRPr="00F361D6">
        <w:t>iv)</w:t>
      </w:r>
      <w:r w:rsidRPr="00F361D6">
        <w:tab/>
        <w:t>strengthening coordination with WHO so that any fact sheet relating to human exposure to electromagnetic fields is circulated to Member States as soon as it is issued,</w:t>
      </w:r>
    </w:p>
    <w:p w:rsidR="00061F17" w:rsidRPr="00F361D6" w:rsidRDefault="00061F17" w:rsidP="00FF79CB">
      <w:pPr>
        <w:pStyle w:val="Call"/>
      </w:pPr>
      <w:r w:rsidRPr="00FF79CB">
        <w:t>instructs</w:t>
      </w:r>
      <w:r w:rsidRPr="00F361D6">
        <w:t xml:space="preserve"> the Director of the Telecommunication Standardization Bureau, in close collaboration with the Directors of the other two Bureaux, and within the available financial resources</w:t>
      </w:r>
    </w:p>
    <w:p w:rsidR="00061F17" w:rsidRPr="00F361D6" w:rsidRDefault="00061F17" w:rsidP="00061F17">
      <w:pPr>
        <w:rPr>
          <w:szCs w:val="19"/>
          <w:lang w:val="en-GB"/>
        </w:rPr>
      </w:pPr>
      <w:r w:rsidRPr="00F361D6">
        <w:rPr>
          <w:szCs w:val="19"/>
          <w:lang w:val="en-GB"/>
        </w:rPr>
        <w:t>1</w:t>
      </w:r>
      <w:r w:rsidRPr="00F361D6">
        <w:rPr>
          <w:szCs w:val="19"/>
          <w:lang w:val="en-GB"/>
        </w:rPr>
        <w:tab/>
        <w:t xml:space="preserve">to support the development of reports identifying the needs of developing countries on the issue of assessing human exposure to EMF, and submit the reports as soon as possible to ITU-T Study Group 5 for its consideration and action in accordance with its mandate; </w:t>
      </w:r>
    </w:p>
    <w:p w:rsidR="00061F17" w:rsidRPr="00F361D6" w:rsidRDefault="00061F17" w:rsidP="00061F17">
      <w:pPr>
        <w:rPr>
          <w:szCs w:val="19"/>
          <w:lang w:val="en-GB"/>
        </w:rPr>
      </w:pPr>
      <w:r w:rsidRPr="00F361D6">
        <w:rPr>
          <w:szCs w:val="19"/>
          <w:lang w:val="en-GB"/>
        </w:rPr>
        <w:t>2</w:t>
      </w:r>
      <w:r w:rsidRPr="00F361D6">
        <w:rPr>
          <w:szCs w:val="19"/>
          <w:lang w:val="en-GB"/>
        </w:rPr>
        <w:tab/>
        <w:t>to hold workshops in developing countries with presentations and training on the use of equipment employed in assessing human exposure to RF energy;</w:t>
      </w:r>
    </w:p>
    <w:p w:rsidR="00061F17" w:rsidRPr="00F361D6" w:rsidRDefault="00061F17" w:rsidP="00061F17">
      <w:pPr>
        <w:rPr>
          <w:szCs w:val="19"/>
          <w:lang w:val="en-GB"/>
        </w:rPr>
      </w:pPr>
      <w:r w:rsidRPr="00F361D6">
        <w:rPr>
          <w:szCs w:val="19"/>
          <w:lang w:val="en-GB"/>
        </w:rPr>
        <w:t>3</w:t>
      </w:r>
      <w:r w:rsidRPr="00F361D6">
        <w:rPr>
          <w:szCs w:val="19"/>
          <w:lang w:val="en-GB"/>
        </w:rPr>
        <w:tab/>
        <w:t>to support developing countries while they establish their regional centres equipped with test benches for monitoring conformance of telecommunication terminal equipment and human exposure to electromagnetic waves using, among other things, the modalities listed in Resolutions 44 (Rev. Dubai, 2012) and 76 (Rev. Dubai, 2012) of this assembly, in the context of the development of the regional test centres and of Resolution 177 (Guadalajara, 2010) of the Plenipotentiary Conference,</w:t>
      </w:r>
    </w:p>
    <w:p w:rsidR="00E11A6C" w:rsidRDefault="00E11A6C" w:rsidP="00FF79CB">
      <w:pPr>
        <w:pStyle w:val="Call"/>
      </w:pPr>
      <w:r>
        <w:br w:type="page"/>
      </w:r>
    </w:p>
    <w:p w:rsidR="00061F17" w:rsidRPr="00F361D6" w:rsidRDefault="00061F17" w:rsidP="00FF79CB">
      <w:pPr>
        <w:pStyle w:val="Call"/>
      </w:pPr>
      <w:r w:rsidRPr="00FF79CB">
        <w:lastRenderedPageBreak/>
        <w:t>invites</w:t>
      </w:r>
      <w:r w:rsidRPr="00F361D6">
        <w:t xml:space="preserve"> Member States and Sector Members</w:t>
      </w:r>
    </w:p>
    <w:p w:rsidR="00061F17" w:rsidRPr="00F361D6" w:rsidRDefault="00061F17" w:rsidP="00061F17">
      <w:pPr>
        <w:rPr>
          <w:szCs w:val="19"/>
          <w:lang w:val="en-GB"/>
        </w:rPr>
      </w:pPr>
      <w:r w:rsidRPr="00F361D6">
        <w:rPr>
          <w:szCs w:val="19"/>
          <w:lang w:val="en-GB"/>
        </w:rPr>
        <w:t>to contribute actively to the work of Study Group 5 in providing relevant and timely information in order to assist developing countries in providing information and addressing measurement concerns related to RF exposure and electromagnetic fields,</w:t>
      </w:r>
    </w:p>
    <w:p w:rsidR="00061F17" w:rsidRPr="00F361D6" w:rsidRDefault="00061F17" w:rsidP="00FF79CB">
      <w:pPr>
        <w:pStyle w:val="Call"/>
      </w:pPr>
      <w:r w:rsidRPr="00F361D6">
        <w:t>further invites Member States</w:t>
      </w:r>
    </w:p>
    <w:p w:rsidR="00061F17" w:rsidRPr="00F361D6" w:rsidRDefault="00061F17" w:rsidP="00061F17">
      <w:pPr>
        <w:rPr>
          <w:szCs w:val="19"/>
          <w:lang w:val="en-GB"/>
        </w:rPr>
      </w:pPr>
      <w:r w:rsidRPr="00F361D6">
        <w:rPr>
          <w:szCs w:val="19"/>
          <w:lang w:val="en-GB"/>
        </w:rPr>
        <w:t>to adopt suitable measures in order to ensure compliance with relevant international recommendations to protect health against the adverse effect of EMF.</w:t>
      </w:r>
    </w:p>
    <w:p w:rsidR="00061F17" w:rsidRDefault="00061F17" w:rsidP="00061F17">
      <w:pPr>
        <w:spacing w:before="0"/>
        <w:rPr>
          <w:b/>
          <w:szCs w:val="19"/>
          <w:lang w:val="en-GB"/>
        </w:rPr>
      </w:pPr>
      <w:bookmarkStart w:id="232" w:name="_Toc361912447"/>
      <w:r w:rsidRPr="00061F17">
        <w:rPr>
          <w:smallCaps/>
          <w:szCs w:val="19"/>
          <w:lang w:val="en-US"/>
        </w:rPr>
        <w:br w:type="page"/>
      </w:r>
    </w:p>
    <w:p w:rsidR="00061F17" w:rsidRPr="00F361D6" w:rsidRDefault="00061F17" w:rsidP="00534837">
      <w:pPr>
        <w:pStyle w:val="Heading1"/>
        <w:tabs>
          <w:tab w:val="left" w:pos="1418"/>
        </w:tabs>
        <w:ind w:left="1418" w:hanging="1418"/>
        <w:rPr>
          <w:smallCaps/>
        </w:rPr>
      </w:pPr>
      <w:bookmarkStart w:id="233" w:name="_Toc377482133"/>
      <w:r w:rsidRPr="00F361D6">
        <w:lastRenderedPageBreak/>
        <w:t>A</w:t>
      </w:r>
      <w:r>
        <w:t xml:space="preserve">nnex </w:t>
      </w:r>
      <w:r w:rsidRPr="00F361D6">
        <w:t xml:space="preserve">5: </w:t>
      </w:r>
      <w:r w:rsidR="00357951">
        <w:tab/>
      </w:r>
      <w:r w:rsidRPr="00F361D6">
        <w:t>WTDC-10</w:t>
      </w:r>
      <w:r w:rsidR="00BC0DB7" w:rsidRPr="00BC0DB7">
        <w:rPr>
          <w:rStyle w:val="FootnoteReference"/>
          <w:lang w:val="en-US"/>
        </w:rPr>
        <w:footnoteReference w:customMarkFollows="1" w:id="28"/>
        <w:t>*</w:t>
      </w:r>
      <w:r w:rsidRPr="00F361D6">
        <w:t xml:space="preserve"> Resolution 62 on "Measurement concerns related to </w:t>
      </w:r>
      <w:r w:rsidRPr="00FF79CB">
        <w:t>human</w:t>
      </w:r>
      <w:r w:rsidRPr="00F361D6">
        <w:t xml:space="preserve"> exposure to EMF"</w:t>
      </w:r>
      <w:bookmarkEnd w:id="232"/>
      <w:bookmarkEnd w:id="233"/>
    </w:p>
    <w:p w:rsidR="00FF79CB" w:rsidRPr="007A19CC" w:rsidRDefault="00FF79CB" w:rsidP="00FF79CB">
      <w:pPr>
        <w:pStyle w:val="Restitle"/>
        <w:rPr>
          <w:lang w:val="en-US"/>
        </w:rPr>
      </w:pPr>
    </w:p>
    <w:p w:rsidR="00061F17" w:rsidRPr="007A19CC" w:rsidRDefault="00061F17" w:rsidP="00FF79CB">
      <w:pPr>
        <w:pStyle w:val="ResNo"/>
        <w:rPr>
          <w:lang w:val="en-US"/>
        </w:rPr>
      </w:pPr>
      <w:r w:rsidRPr="007A19CC">
        <w:rPr>
          <w:lang w:val="en-US"/>
        </w:rPr>
        <w:t xml:space="preserve">resolution </w:t>
      </w:r>
      <w:r w:rsidRPr="007A19CC">
        <w:rPr>
          <w:rStyle w:val="href"/>
          <w:lang w:val="en-US"/>
        </w:rPr>
        <w:t xml:space="preserve">62 </w:t>
      </w:r>
      <w:r w:rsidRPr="007A19CC">
        <w:rPr>
          <w:lang w:val="en-US"/>
        </w:rPr>
        <w:t>(Hyderabad, 2010)</w:t>
      </w:r>
    </w:p>
    <w:p w:rsidR="00061F17" w:rsidRPr="00061F17" w:rsidRDefault="00061F17" w:rsidP="00A11960">
      <w:pPr>
        <w:pStyle w:val="Restitle"/>
        <w:spacing w:before="480"/>
        <w:rPr>
          <w:lang w:val="en-US"/>
        </w:rPr>
      </w:pPr>
      <w:r w:rsidRPr="00061F17">
        <w:rPr>
          <w:lang w:val="en-US"/>
        </w:rPr>
        <w:t>Measurement concerns related to human exposure to electromagnetic fields</w:t>
      </w:r>
    </w:p>
    <w:p w:rsidR="00A11960" w:rsidRDefault="00A11960" w:rsidP="00C91119">
      <w:pPr>
        <w:pStyle w:val="Normalaftertitle"/>
      </w:pPr>
    </w:p>
    <w:p w:rsidR="00061F17" w:rsidRPr="00C91119" w:rsidRDefault="00061F17" w:rsidP="00C91119">
      <w:pPr>
        <w:pStyle w:val="Normalaftertitle"/>
      </w:pPr>
      <w:r w:rsidRPr="00C91119">
        <w:t>The World Telecommunication Development Conference (Hyderabad, 2010),</w:t>
      </w:r>
    </w:p>
    <w:p w:rsidR="00061F17" w:rsidRPr="00061F17" w:rsidRDefault="00061F17" w:rsidP="00C91119">
      <w:pPr>
        <w:pStyle w:val="Call"/>
      </w:pPr>
      <w:r w:rsidRPr="00061F17">
        <w:t xml:space="preserve">recalling </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 xml:space="preserve">Resolution 72 (Johannesburg, 2008) of the World Telecommunication Standardization Assembly, on measurement concerns related to human exposure to electromagnetic fields (EMF), which calls for close cooperation with the Directors of the other two Bureaux – Telecommunication Development Bureau (BDT) and Radiocommunication Bureau (BR) – to implement the resolution in view of its importance to developing countries, </w:t>
      </w:r>
    </w:p>
    <w:p w:rsidR="00061F17" w:rsidRPr="00061F17" w:rsidRDefault="00061F17" w:rsidP="00C91119">
      <w:pPr>
        <w:pStyle w:val="Call"/>
      </w:pPr>
      <w:r w:rsidRPr="00061F17">
        <w:t xml:space="preserve">considering </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a)</w:t>
      </w:r>
      <w:r w:rsidRPr="00061F17">
        <w:rPr>
          <w:rFonts w:eastAsia="Times New Roman"/>
          <w:szCs w:val="19"/>
          <w:lang w:val="en-US" w:eastAsia="en-ZA"/>
        </w:rPr>
        <w:tab/>
        <w:t xml:space="preserve">that there is a pressing need for information on the potential effects of human exposure to EMF in order to protect humans from such effects; </w:t>
      </w:r>
    </w:p>
    <w:p w:rsidR="00061F17" w:rsidRPr="00061F17" w:rsidRDefault="00061F17" w:rsidP="00BE1873">
      <w:pPr>
        <w:rPr>
          <w:rFonts w:eastAsia="Times New Roman"/>
          <w:szCs w:val="19"/>
          <w:lang w:val="en-US" w:eastAsia="en-ZA"/>
        </w:rPr>
      </w:pPr>
      <w:r w:rsidRPr="00061F17">
        <w:rPr>
          <w:rFonts w:eastAsia="Times New Roman"/>
          <w:szCs w:val="19"/>
          <w:lang w:val="en-US" w:eastAsia="en-ZA"/>
        </w:rPr>
        <w:t>b)</w:t>
      </w:r>
      <w:r w:rsidRPr="00061F17">
        <w:rPr>
          <w:rFonts w:eastAsia="Times New Roman"/>
          <w:szCs w:val="19"/>
          <w:lang w:val="en-US" w:eastAsia="en-ZA"/>
        </w:rPr>
        <w:tab/>
        <w:t>that there are a number of eminent international bodies involved in establishing measurement methodologies for assessing human exposure to EMF, and these already cooperate with many</w:t>
      </w:r>
      <w:r w:rsidR="00BE1873">
        <w:rPr>
          <w:rFonts w:eastAsia="Times New Roman"/>
          <w:szCs w:val="19"/>
          <w:lang w:val="en-US" w:eastAsia="en-ZA"/>
        </w:rPr>
        <w:t> </w:t>
      </w:r>
      <w:r w:rsidRPr="00061F17">
        <w:rPr>
          <w:rFonts w:eastAsia="Times New Roman"/>
          <w:szCs w:val="19"/>
          <w:lang w:val="en-US" w:eastAsia="en-ZA"/>
        </w:rPr>
        <w:t>telecommunication standards bodies, including the ITU Telecommunication Standardization Sector</w:t>
      </w:r>
      <w:r w:rsidR="00BE1873">
        <w:rPr>
          <w:rFonts w:eastAsia="Times New Roman"/>
          <w:szCs w:val="19"/>
          <w:lang w:val="en-US" w:eastAsia="en-ZA"/>
        </w:rPr>
        <w:t> (ITU-T),</w:t>
      </w:r>
    </w:p>
    <w:p w:rsidR="00061F17" w:rsidRPr="00061F17" w:rsidRDefault="00061F17" w:rsidP="00C91119">
      <w:pPr>
        <w:pStyle w:val="Call"/>
      </w:pPr>
      <w:r w:rsidRPr="00061F17">
        <w:t>recognizing</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a)</w:t>
      </w:r>
      <w:r w:rsidRPr="00061F17">
        <w:rPr>
          <w:rFonts w:eastAsia="Times New Roman"/>
          <w:szCs w:val="19"/>
          <w:lang w:val="en-US" w:eastAsia="en-ZA"/>
        </w:rPr>
        <w:tab/>
        <w:t>that some publications and information about EMF effects on health create doubt among the population, in particular in developing countries</w:t>
      </w:r>
      <w:r w:rsidR="00FA6CE1" w:rsidRPr="00FA6CE1">
        <w:rPr>
          <w:rStyle w:val="FootnoteReference"/>
          <w:rFonts w:eastAsia="Times New Roman"/>
          <w:szCs w:val="19"/>
          <w:lang w:val="en-US" w:eastAsia="en-ZA"/>
        </w:rPr>
        <w:footnoteReference w:customMarkFollows="1" w:id="29"/>
        <w:t>1</w:t>
      </w:r>
      <w:r w:rsidRPr="00061F17">
        <w:rPr>
          <w:rFonts w:eastAsia="Times New Roman"/>
          <w:szCs w:val="19"/>
          <w:lang w:val="en-US" w:eastAsia="en-ZA"/>
        </w:rPr>
        <w:t xml:space="preserve">, causing these countries to address questions to ITU-T and, currently, to the ITU Telecommunication Development Sector (ITU-D); </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b)</w:t>
      </w:r>
      <w:r w:rsidRPr="00061F17">
        <w:rPr>
          <w:rFonts w:eastAsia="Times New Roman"/>
          <w:szCs w:val="19"/>
          <w:lang w:val="en-US" w:eastAsia="en-ZA"/>
        </w:rPr>
        <w:tab/>
        <w:t xml:space="preserve">that, in the absence of regulation, people, particularly in developing countries, become more and more doubtful and are increasingly opposing the deployment of radio installations in their neighbourhoods; </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c)</w:t>
      </w:r>
      <w:r w:rsidRPr="00061F17">
        <w:rPr>
          <w:rFonts w:eastAsia="Times New Roman"/>
          <w:szCs w:val="19"/>
          <w:lang w:val="en-US" w:eastAsia="en-ZA"/>
        </w:rPr>
        <w:tab/>
        <w:t xml:space="preserve">that the cost of the equipment used for assessing human exposure to EMF is very high and difficult for many developing countries to afford; </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d)</w:t>
      </w:r>
      <w:r w:rsidRPr="00061F17">
        <w:rPr>
          <w:rFonts w:eastAsia="Times New Roman"/>
          <w:szCs w:val="19"/>
          <w:lang w:val="en-US" w:eastAsia="en-ZA"/>
        </w:rPr>
        <w:tab/>
        <w:t xml:space="preserve">that implementing such measurement is essential for many regulatory authorities in developing countries, in order to monitor the limits for human exposure to radio-frequency energy, and that they are called upon to ensure those limits are met in order to license different services, </w:t>
      </w:r>
    </w:p>
    <w:p w:rsidR="00A11960" w:rsidRDefault="00A11960" w:rsidP="00C91119">
      <w:pPr>
        <w:pStyle w:val="Call"/>
      </w:pPr>
      <w:r>
        <w:br w:type="page"/>
      </w:r>
    </w:p>
    <w:p w:rsidR="00061F17" w:rsidRPr="00061F17" w:rsidRDefault="00061F17" w:rsidP="00C91119">
      <w:pPr>
        <w:pStyle w:val="Call"/>
      </w:pPr>
      <w:r w:rsidRPr="00061F17">
        <w:lastRenderedPageBreak/>
        <w:t xml:space="preserve">resolves to instruct the Director of the Telecommunication Development Bureau </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 xml:space="preserve">in response to the needs of the developing countries and consistent with the substance of Resolution 72 (Johannesburg, 2008), and in close cooperation with the Director of BR and Director of the Telecommunication Standardization Bureau (TSB): </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1</w:t>
      </w:r>
      <w:r w:rsidRPr="00061F17">
        <w:rPr>
          <w:rFonts w:eastAsia="Times New Roman"/>
          <w:szCs w:val="19"/>
          <w:lang w:val="en-US" w:eastAsia="en-ZA"/>
        </w:rPr>
        <w:tab/>
        <w:t xml:space="preserve">to give the necessary priority to this subject and, within the available resources, allocate the necessary funds for expediting execution of this resolution; </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2</w:t>
      </w:r>
      <w:r w:rsidRPr="00061F17">
        <w:rPr>
          <w:rFonts w:eastAsia="Times New Roman"/>
          <w:szCs w:val="19"/>
          <w:lang w:val="en-US" w:eastAsia="en-ZA"/>
        </w:rPr>
        <w:tab/>
        <w:t>to ensure that Programme 1 determines the requirements of developing countries and their regulatory authorities (at regional level) in relation to this resolution, contributes to studies on this subject, takes an active part in the work of the relevant ITU Radiocommunication Sector (ITU-R) and ITU-T study groups, and submits written contributions on the results of its work in this regard, plus any proposals it deems necessary, to ITU-D Study Group 2,</w:t>
      </w:r>
    </w:p>
    <w:p w:rsidR="00061F17" w:rsidRPr="00061F17" w:rsidRDefault="00061F17" w:rsidP="00C91119">
      <w:pPr>
        <w:pStyle w:val="Call"/>
      </w:pPr>
      <w:r w:rsidRPr="00061F17">
        <w:t xml:space="preserve">instructs Study Group 1 </w:t>
      </w:r>
    </w:p>
    <w:p w:rsidR="00061F17" w:rsidRPr="00061F17" w:rsidRDefault="00061F17" w:rsidP="00061F17">
      <w:pPr>
        <w:keepNext/>
        <w:rPr>
          <w:rFonts w:eastAsia="Times New Roman"/>
          <w:szCs w:val="19"/>
          <w:lang w:val="en-US" w:eastAsia="en-ZA"/>
        </w:rPr>
      </w:pPr>
      <w:r w:rsidRPr="00061F17">
        <w:rPr>
          <w:rFonts w:eastAsia="Times New Roman"/>
          <w:szCs w:val="19"/>
          <w:lang w:val="en-US" w:eastAsia="en-ZA"/>
        </w:rPr>
        <w:t xml:space="preserve">within the framework of their Questions, to cooperate with ITU-T Study Group 5 and ITU-R Study Groups 1, 5 and 6, in order to achieve the following goals: </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w:t>
      </w:r>
      <w:r w:rsidRPr="00061F17">
        <w:rPr>
          <w:rFonts w:eastAsia="Times New Roman"/>
          <w:szCs w:val="19"/>
          <w:lang w:val="en-US" w:eastAsia="en-ZA"/>
        </w:rPr>
        <w:tab/>
        <w:t>prepare an annual report on the progress of work in this area in respect of their Questions;</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w:t>
      </w:r>
      <w:r w:rsidRPr="00061F17">
        <w:rPr>
          <w:rFonts w:eastAsia="Times New Roman"/>
          <w:szCs w:val="19"/>
          <w:lang w:val="en-US" w:eastAsia="en-ZA"/>
        </w:rPr>
        <w:tab/>
        <w:t xml:space="preserve">contribute to the organization of any seminars on this subject; </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w:t>
      </w:r>
      <w:r w:rsidRPr="00061F17">
        <w:rPr>
          <w:rFonts w:eastAsia="Times New Roman"/>
          <w:szCs w:val="19"/>
          <w:lang w:val="en-US" w:eastAsia="en-ZA"/>
        </w:rPr>
        <w:tab/>
        <w:t>contribute to preparation of the Guide on the use of ITU-T publications on achieving electromagnetic compatibility and safety, and publications relating to measurement methodologies, the need for measurements to be performed by a "Qualified Radio Engineer" and the criteria for a "Qualified Radio Engineer", and system specifications.</w:t>
      </w:r>
    </w:p>
    <w:p w:rsidR="00061F17" w:rsidRDefault="00061F17" w:rsidP="00061F17">
      <w:pPr>
        <w:spacing w:before="0"/>
        <w:rPr>
          <w:rFonts w:ascii="Verdana Bold" w:hAnsi="Verdana Bold" w:hint="eastAsia"/>
          <w:b/>
          <w:szCs w:val="19"/>
          <w:lang w:val="en-GB"/>
        </w:rPr>
      </w:pPr>
      <w:bookmarkStart w:id="234" w:name="_Toc361912448"/>
      <w:r w:rsidRPr="00061F17">
        <w:rPr>
          <w:rFonts w:ascii="Verdana Bold" w:hAnsi="Verdana Bold" w:hint="eastAsia"/>
          <w:smallCaps/>
          <w:szCs w:val="19"/>
          <w:lang w:val="en-US"/>
        </w:rPr>
        <w:br w:type="page"/>
      </w:r>
    </w:p>
    <w:p w:rsidR="00061F17" w:rsidRPr="00FA2397" w:rsidRDefault="00061F17" w:rsidP="00534837">
      <w:pPr>
        <w:pStyle w:val="Heading1"/>
        <w:tabs>
          <w:tab w:val="left" w:pos="1418"/>
        </w:tabs>
        <w:ind w:left="1418" w:hanging="1418"/>
      </w:pPr>
      <w:bookmarkStart w:id="235" w:name="_Toc377482134"/>
      <w:r w:rsidRPr="00FA2397">
        <w:lastRenderedPageBreak/>
        <w:t xml:space="preserve">Annex 6: </w:t>
      </w:r>
      <w:r w:rsidR="00357951">
        <w:tab/>
      </w:r>
      <w:r w:rsidRPr="00FA2397">
        <w:t>Plenipotentiary Conference (PP-10)</w:t>
      </w:r>
      <w:r w:rsidR="00BC0DB7" w:rsidRPr="00BC0DB7">
        <w:rPr>
          <w:rStyle w:val="FootnoteReference"/>
          <w:lang w:val="en-US"/>
        </w:rPr>
        <w:footnoteReference w:customMarkFollows="1" w:id="30"/>
        <w:t>*</w:t>
      </w:r>
      <w:r w:rsidRPr="00FA2397">
        <w:t xml:space="preserve"> Resolution 176 on "Human exposure to and measurement of electromagnetic fields".</w:t>
      </w:r>
      <w:bookmarkEnd w:id="234"/>
      <w:bookmarkEnd w:id="235"/>
    </w:p>
    <w:p w:rsidR="00FA2397" w:rsidRDefault="00FA2397" w:rsidP="00FA2397">
      <w:pPr>
        <w:rPr>
          <w:lang w:val="en-US"/>
        </w:rPr>
      </w:pPr>
    </w:p>
    <w:p w:rsidR="00A11960" w:rsidRPr="00061F17" w:rsidRDefault="00A11960" w:rsidP="00FA2397">
      <w:pPr>
        <w:rPr>
          <w:lang w:val="en-US"/>
        </w:rPr>
      </w:pPr>
    </w:p>
    <w:p w:rsidR="00061F17" w:rsidRPr="007A19CC" w:rsidRDefault="00061F17" w:rsidP="00FA2397">
      <w:pPr>
        <w:pStyle w:val="ResNo"/>
        <w:rPr>
          <w:lang w:val="en-US"/>
        </w:rPr>
      </w:pPr>
      <w:r w:rsidRPr="007A19CC">
        <w:rPr>
          <w:lang w:val="en-US"/>
        </w:rPr>
        <w:t>RESOLUTION 176 (Guadalajara, 2010)</w:t>
      </w:r>
    </w:p>
    <w:p w:rsidR="00061F17" w:rsidRPr="007A19CC" w:rsidRDefault="00061F17" w:rsidP="00FA2397">
      <w:pPr>
        <w:pStyle w:val="Restitle"/>
        <w:rPr>
          <w:lang w:val="en-US"/>
        </w:rPr>
      </w:pPr>
      <w:r w:rsidRPr="007A19CC">
        <w:rPr>
          <w:lang w:val="en-US"/>
        </w:rPr>
        <w:t>Human exposure to and measurement of electromagnetic fields</w:t>
      </w:r>
    </w:p>
    <w:p w:rsidR="00061F17" w:rsidRPr="00667A32" w:rsidRDefault="00061F17" w:rsidP="00FA2397">
      <w:pPr>
        <w:pStyle w:val="Normalaftertitle"/>
      </w:pPr>
      <w:r w:rsidRPr="00667A32">
        <w:t xml:space="preserve">The Plenipotentiary Conference of the International Telecommunication Union (Guadalajara, 2010), </w:t>
      </w:r>
    </w:p>
    <w:p w:rsidR="00061F17" w:rsidRPr="00667A32" w:rsidRDefault="00061F17" w:rsidP="00FA2397">
      <w:pPr>
        <w:pStyle w:val="Call"/>
        <w:rPr>
          <w:lang w:val="en-US"/>
        </w:rPr>
      </w:pPr>
      <w:r w:rsidRPr="00FA2397">
        <w:t>recalling</w:t>
      </w:r>
    </w:p>
    <w:p w:rsidR="00061F17" w:rsidRPr="00061F17" w:rsidRDefault="00061F17" w:rsidP="00061F17">
      <w:pPr>
        <w:rPr>
          <w:szCs w:val="19"/>
          <w:lang w:val="en-US"/>
        </w:rPr>
      </w:pPr>
      <w:r w:rsidRPr="00061F17">
        <w:rPr>
          <w:i/>
          <w:iCs/>
          <w:szCs w:val="19"/>
          <w:lang w:val="en-US"/>
        </w:rPr>
        <w:t>a)</w:t>
      </w:r>
      <w:r w:rsidRPr="00061F17">
        <w:rPr>
          <w:szCs w:val="19"/>
          <w:lang w:val="en-US"/>
        </w:rPr>
        <w:tab/>
        <w:t>Resolution 72 (Johannesburg, 2008) of the World Telecommunication Standardization Assembly, on measurement concerns related to human exposure to electromagnetic fields (EMF);</w:t>
      </w:r>
    </w:p>
    <w:p w:rsidR="00061F17" w:rsidRPr="00061F17" w:rsidRDefault="00061F17" w:rsidP="00061F17">
      <w:pPr>
        <w:rPr>
          <w:szCs w:val="19"/>
          <w:lang w:val="en-US"/>
        </w:rPr>
      </w:pPr>
      <w:r w:rsidRPr="00061F17">
        <w:rPr>
          <w:i/>
          <w:iCs/>
          <w:szCs w:val="19"/>
          <w:lang w:val="en-US"/>
        </w:rPr>
        <w:t>b)</w:t>
      </w:r>
      <w:r w:rsidRPr="00061F17">
        <w:rPr>
          <w:szCs w:val="19"/>
          <w:lang w:val="en-US"/>
        </w:rPr>
        <w:tab/>
        <w:t>Resolution 62 (Hyderabad, 2010) of the World Telecommunication Development Conference, on measurement concerns related to human exposure to EMF;</w:t>
      </w:r>
    </w:p>
    <w:p w:rsidR="00061F17" w:rsidRPr="00061F17" w:rsidRDefault="00061F17" w:rsidP="00061F17">
      <w:pPr>
        <w:rPr>
          <w:szCs w:val="19"/>
          <w:lang w:val="en-US"/>
        </w:rPr>
      </w:pPr>
      <w:r w:rsidRPr="00061F17">
        <w:rPr>
          <w:i/>
          <w:iCs/>
          <w:szCs w:val="19"/>
          <w:lang w:val="en-US"/>
        </w:rPr>
        <w:t>c)</w:t>
      </w:r>
      <w:r w:rsidRPr="00061F17">
        <w:rPr>
          <w:szCs w:val="19"/>
          <w:lang w:val="en-US"/>
        </w:rPr>
        <w:tab/>
        <w:t>relevant resolutions and recommendations of the ITU Radiocommunication Sector (ITU-R) and ITU Telecommunication Standardization Sector (ITU-T);</w:t>
      </w:r>
    </w:p>
    <w:p w:rsidR="00061F17" w:rsidRPr="00061F17" w:rsidRDefault="00061F17" w:rsidP="00061F17">
      <w:pPr>
        <w:rPr>
          <w:szCs w:val="19"/>
          <w:lang w:val="en-US"/>
        </w:rPr>
      </w:pPr>
      <w:r w:rsidRPr="00061F17">
        <w:rPr>
          <w:i/>
          <w:iCs/>
          <w:szCs w:val="19"/>
          <w:lang w:val="en-US"/>
        </w:rPr>
        <w:t>d)</w:t>
      </w:r>
      <w:r w:rsidRPr="00061F17">
        <w:rPr>
          <w:szCs w:val="19"/>
          <w:lang w:val="en-US"/>
        </w:rPr>
        <w:tab/>
        <w:t>that there is ongoing work in the three Sectors relating to human exposure to electromagnetic fields, and that liaison and collaboration between the Sectors and with other expert organizations are important, in order to avoid duplication of effort,</w:t>
      </w:r>
    </w:p>
    <w:p w:rsidR="00061F17" w:rsidRPr="00667A32" w:rsidRDefault="00061F17" w:rsidP="00FA2397">
      <w:pPr>
        <w:pStyle w:val="Call"/>
      </w:pPr>
      <w:r w:rsidRPr="00667A32">
        <w:t>considering</w:t>
      </w:r>
    </w:p>
    <w:p w:rsidR="00061F17" w:rsidRPr="00061F17" w:rsidRDefault="00061F17" w:rsidP="00061F17">
      <w:pPr>
        <w:rPr>
          <w:szCs w:val="19"/>
          <w:lang w:val="en-US"/>
        </w:rPr>
      </w:pPr>
      <w:r w:rsidRPr="00061F17">
        <w:rPr>
          <w:i/>
          <w:iCs/>
          <w:szCs w:val="19"/>
          <w:lang w:val="en-US"/>
        </w:rPr>
        <w:t>a)</w:t>
      </w:r>
      <w:r w:rsidRPr="00061F17">
        <w:rPr>
          <w:szCs w:val="19"/>
          <w:lang w:val="en-US"/>
        </w:rPr>
        <w:tab/>
        <w:t xml:space="preserve"> that the World Health Organization (WHO) and the International Commission on Non</w:t>
      </w:r>
      <w:r w:rsidRPr="00061F17">
        <w:rPr>
          <w:szCs w:val="19"/>
          <w:lang w:val="en-US"/>
        </w:rPr>
        <w:noBreakHyphen/>
        <w:t>Ionizing Radiation Protection (ICNIRP) have the specialized health expertise and competence to assess the impact of radio waves on the human body;</w:t>
      </w:r>
    </w:p>
    <w:p w:rsidR="00061F17" w:rsidRPr="00061F17" w:rsidRDefault="00061F17" w:rsidP="00061F17">
      <w:pPr>
        <w:rPr>
          <w:szCs w:val="19"/>
          <w:lang w:val="en-US"/>
        </w:rPr>
      </w:pPr>
      <w:r w:rsidRPr="00061F17">
        <w:rPr>
          <w:i/>
          <w:iCs/>
          <w:szCs w:val="19"/>
          <w:lang w:val="en-US"/>
        </w:rPr>
        <w:t>b)</w:t>
      </w:r>
      <w:r w:rsidRPr="00061F17">
        <w:rPr>
          <w:szCs w:val="19"/>
          <w:lang w:val="en-US"/>
        </w:rPr>
        <w:tab/>
        <w:t xml:space="preserve"> that ITU has expertise in calculating and measuring the field strength and power density of radio signals;</w:t>
      </w:r>
    </w:p>
    <w:p w:rsidR="00061F17" w:rsidRPr="00061F17" w:rsidRDefault="00061F17" w:rsidP="00061F17">
      <w:pPr>
        <w:rPr>
          <w:szCs w:val="19"/>
          <w:lang w:val="en-US"/>
        </w:rPr>
      </w:pPr>
      <w:r w:rsidRPr="00061F17">
        <w:rPr>
          <w:i/>
          <w:iCs/>
          <w:szCs w:val="19"/>
          <w:lang w:val="en-US"/>
        </w:rPr>
        <w:t>c)</w:t>
      </w:r>
      <w:r w:rsidRPr="00061F17">
        <w:rPr>
          <w:szCs w:val="19"/>
          <w:lang w:val="en-US"/>
        </w:rPr>
        <w:tab/>
        <w:t>the high cost of equipment used for measuring and assessing human exposure to EMF;</w:t>
      </w:r>
    </w:p>
    <w:p w:rsidR="00061F17" w:rsidRPr="00061F17" w:rsidRDefault="00061F17" w:rsidP="00061F17">
      <w:pPr>
        <w:rPr>
          <w:szCs w:val="19"/>
          <w:lang w:val="en-US"/>
        </w:rPr>
      </w:pPr>
      <w:r w:rsidRPr="00061F17">
        <w:rPr>
          <w:i/>
          <w:iCs/>
          <w:szCs w:val="19"/>
          <w:lang w:val="en-US"/>
        </w:rPr>
        <w:t>d)</w:t>
      </w:r>
      <w:r w:rsidRPr="00061F17">
        <w:rPr>
          <w:szCs w:val="19"/>
          <w:lang w:val="en-US"/>
        </w:rPr>
        <w:tab/>
        <w:t>that the considerable development in radio spectrum use has resulted in multiple sources of EMF emissions within any given geographic area;</w:t>
      </w:r>
    </w:p>
    <w:p w:rsidR="00061F17" w:rsidRPr="00061F17" w:rsidRDefault="00061F17" w:rsidP="00061F17">
      <w:pPr>
        <w:rPr>
          <w:szCs w:val="19"/>
          <w:lang w:val="en-US"/>
        </w:rPr>
      </w:pPr>
      <w:r w:rsidRPr="00061F17">
        <w:rPr>
          <w:i/>
          <w:iCs/>
          <w:szCs w:val="19"/>
          <w:lang w:val="en-US"/>
        </w:rPr>
        <w:t>e)</w:t>
      </w:r>
      <w:r w:rsidRPr="00061F17">
        <w:rPr>
          <w:szCs w:val="19"/>
          <w:lang w:val="en-US"/>
        </w:rPr>
        <w:tab/>
        <w:t>the urgent need for regulatory bodies in many developing countries to obtain information on EMF measurement methodologies in regard to human exposure to radio-frequency energy, in order to establish national regulations to protect their citizens;</w:t>
      </w:r>
    </w:p>
    <w:p w:rsidR="00061F17" w:rsidRPr="00061F17" w:rsidRDefault="00061F17" w:rsidP="00061F17">
      <w:pPr>
        <w:rPr>
          <w:szCs w:val="19"/>
          <w:lang w:val="en-US"/>
        </w:rPr>
      </w:pPr>
      <w:r w:rsidRPr="00061F17">
        <w:rPr>
          <w:i/>
          <w:iCs/>
          <w:szCs w:val="19"/>
          <w:lang w:val="en-US"/>
        </w:rPr>
        <w:t>f)</w:t>
      </w:r>
      <w:r w:rsidRPr="00061F17">
        <w:rPr>
          <w:szCs w:val="19"/>
          <w:lang w:val="en-US"/>
        </w:rPr>
        <w:tab/>
        <w:t>that guidelines on limits of exposure to EMF have been established by ICNIRP</w:t>
      </w:r>
      <w:r w:rsidRPr="00061F17">
        <w:rPr>
          <w:rStyle w:val="FootnoteReference"/>
          <w:szCs w:val="19"/>
          <w:lang w:val="en-US"/>
        </w:rPr>
        <w:footnoteReference w:customMarkFollows="1" w:id="31"/>
        <w:t>1</w:t>
      </w:r>
      <w:r w:rsidRPr="00061F17">
        <w:rPr>
          <w:szCs w:val="19"/>
          <w:lang w:val="en-US"/>
        </w:rPr>
        <w:t>, the Institute of Electrical and Electronics Engineers (IEEE)</w:t>
      </w:r>
      <w:r w:rsidRPr="00061F17">
        <w:rPr>
          <w:rStyle w:val="FootnoteReference"/>
          <w:szCs w:val="19"/>
          <w:lang w:val="en-US"/>
        </w:rPr>
        <w:footnoteReference w:customMarkFollows="1" w:id="32"/>
        <w:t>2</w:t>
      </w:r>
      <w:r w:rsidRPr="00061F17">
        <w:rPr>
          <w:szCs w:val="19"/>
          <w:lang w:val="en-US"/>
        </w:rPr>
        <w:t xml:space="preserve"> and the International Organization for Standardization/International Electrotechnical Commission (ISO/IEC) and that many administrations have adopted national regulations based on these guidelines,</w:t>
      </w:r>
    </w:p>
    <w:p w:rsidR="00061F17" w:rsidRPr="00667A32" w:rsidRDefault="00061F17" w:rsidP="00FA2397">
      <w:pPr>
        <w:pStyle w:val="Call"/>
      </w:pPr>
      <w:r w:rsidRPr="00667A32">
        <w:lastRenderedPageBreak/>
        <w:t>resolves to instruct the Directors of the three Bureaux</w:t>
      </w:r>
    </w:p>
    <w:p w:rsidR="00061F17" w:rsidRPr="00061F17" w:rsidRDefault="00061F17" w:rsidP="00061F17">
      <w:pPr>
        <w:rPr>
          <w:szCs w:val="19"/>
          <w:lang w:val="en-US"/>
        </w:rPr>
      </w:pPr>
      <w:r w:rsidRPr="00061F17">
        <w:rPr>
          <w:szCs w:val="19"/>
          <w:lang w:val="en-US"/>
        </w:rPr>
        <w:t>to collect and disseminate information concerning exposure to EMF, including on EMF measurement methodologies, in order to assist national administrations, particularly in developing countries, to develop appropriate national regulations,</w:t>
      </w:r>
    </w:p>
    <w:p w:rsidR="00061F17" w:rsidRPr="00667A32" w:rsidRDefault="00061F17" w:rsidP="00FA2397">
      <w:pPr>
        <w:pStyle w:val="Call"/>
      </w:pPr>
      <w:r w:rsidRPr="00667A32">
        <w:t>instructs the Director of the Telecommunication Development Bureau, in collaboration with the Director of the Radiocommunication Bureau and the Director of the Telecommunication Standardization Bureau</w:t>
      </w:r>
    </w:p>
    <w:p w:rsidR="00061F17" w:rsidRPr="00061F17" w:rsidRDefault="00061F17" w:rsidP="00061F17">
      <w:pPr>
        <w:rPr>
          <w:szCs w:val="19"/>
          <w:lang w:val="en-US"/>
        </w:rPr>
      </w:pPr>
      <w:r w:rsidRPr="00061F17">
        <w:rPr>
          <w:szCs w:val="19"/>
          <w:lang w:val="en-US"/>
        </w:rPr>
        <w:t>1</w:t>
      </w:r>
      <w:r w:rsidRPr="00061F17">
        <w:rPr>
          <w:szCs w:val="19"/>
          <w:lang w:val="en-US"/>
        </w:rPr>
        <w:tab/>
        <w:t>to ascertain the requirement for, and as appropriate conduct, regional seminars and workshops in order to identify the needs of developing countries and to build human capacity in regard to measurement of EMF related to human exposure to these fields;</w:t>
      </w:r>
    </w:p>
    <w:p w:rsidR="00061F17" w:rsidRPr="00061F17" w:rsidRDefault="00061F17" w:rsidP="00061F17">
      <w:pPr>
        <w:rPr>
          <w:szCs w:val="19"/>
          <w:lang w:val="en-US"/>
        </w:rPr>
      </w:pPr>
      <w:r w:rsidRPr="00061F17">
        <w:rPr>
          <w:szCs w:val="19"/>
          <w:lang w:val="en-US"/>
        </w:rPr>
        <w:t>2</w:t>
      </w:r>
      <w:r w:rsidRPr="00061F17">
        <w:rPr>
          <w:szCs w:val="19"/>
          <w:lang w:val="en-US"/>
        </w:rPr>
        <w:tab/>
        <w:t>to encourage Member States in the various regions to cooperate in sharing expertise and resources and identify a focal point or regional cooperation mechanism, including if required a regional centre, so as to assist all Member States in the region in measurement and training,</w:t>
      </w:r>
    </w:p>
    <w:p w:rsidR="00061F17" w:rsidRPr="00061F17" w:rsidRDefault="00061F17" w:rsidP="00FA2397">
      <w:pPr>
        <w:pStyle w:val="Call"/>
      </w:pPr>
      <w:r w:rsidRPr="00061F17">
        <w:t>instructs the Secretary-General, in consultation with the Directors of the three Bureaux</w:t>
      </w:r>
    </w:p>
    <w:p w:rsidR="00061F17" w:rsidRPr="00061F17" w:rsidRDefault="00061F17" w:rsidP="00061F17">
      <w:pPr>
        <w:rPr>
          <w:szCs w:val="19"/>
          <w:lang w:val="en-US"/>
        </w:rPr>
      </w:pPr>
      <w:r w:rsidRPr="00061F17">
        <w:rPr>
          <w:szCs w:val="19"/>
          <w:lang w:val="en-US"/>
        </w:rPr>
        <w:t>1</w:t>
      </w:r>
      <w:r w:rsidRPr="00061F17">
        <w:rPr>
          <w:szCs w:val="19"/>
          <w:lang w:val="en-US"/>
        </w:rPr>
        <w:tab/>
        <w:t>to prepare a report on the implementation of this resolution for submission to the ITU Council at each annual session;</w:t>
      </w:r>
    </w:p>
    <w:p w:rsidR="00061F17" w:rsidRPr="00061F17" w:rsidRDefault="00061F17" w:rsidP="00061F17">
      <w:pPr>
        <w:rPr>
          <w:szCs w:val="19"/>
          <w:lang w:val="en-US"/>
        </w:rPr>
      </w:pPr>
      <w:r w:rsidRPr="00061F17">
        <w:rPr>
          <w:szCs w:val="19"/>
          <w:lang w:val="en-US"/>
        </w:rPr>
        <w:t>2</w:t>
      </w:r>
      <w:r w:rsidRPr="00061F17">
        <w:rPr>
          <w:szCs w:val="19"/>
          <w:lang w:val="en-US"/>
        </w:rPr>
        <w:tab/>
        <w:t>to provide a report to the next plenipotentiary conference on measures taken to implement this resolution.</w:t>
      </w:r>
    </w:p>
    <w:p w:rsidR="00061F17" w:rsidRPr="00061F17" w:rsidRDefault="00061F17" w:rsidP="00061F17">
      <w:pPr>
        <w:rPr>
          <w:szCs w:val="19"/>
          <w:lang w:val="en-US"/>
        </w:rPr>
      </w:pPr>
    </w:p>
    <w:p w:rsidR="00FA2397" w:rsidRDefault="00FA2397" w:rsidP="00061F17">
      <w:pPr>
        <w:pStyle w:val="Heading1"/>
        <w:spacing w:before="360" w:after="120"/>
        <w:rPr>
          <w:rFonts w:ascii="Verdana Bold" w:hAnsi="Verdana Bold"/>
          <w:szCs w:val="19"/>
        </w:rPr>
      </w:pPr>
      <w:bookmarkStart w:id="236" w:name="_Toc361912449"/>
      <w:r>
        <w:rPr>
          <w:rFonts w:ascii="Verdana Bold" w:hAnsi="Verdana Bold"/>
          <w:szCs w:val="19"/>
        </w:rPr>
        <w:br w:type="page"/>
      </w:r>
    </w:p>
    <w:p w:rsidR="00061F17" w:rsidRPr="00FA2397" w:rsidRDefault="00061F17" w:rsidP="00357951">
      <w:pPr>
        <w:pStyle w:val="Heading1"/>
        <w:tabs>
          <w:tab w:val="left" w:pos="1418"/>
        </w:tabs>
      </w:pPr>
      <w:bookmarkStart w:id="237" w:name="_Toc377482135"/>
      <w:r w:rsidRPr="00FA2397">
        <w:lastRenderedPageBreak/>
        <w:t xml:space="preserve">Annex 7: </w:t>
      </w:r>
      <w:r w:rsidR="00357951">
        <w:tab/>
      </w:r>
      <w:r w:rsidRPr="00FA2397">
        <w:t>ITU Project in Central America Document</w:t>
      </w:r>
      <w:bookmarkEnd w:id="236"/>
      <w:r w:rsidR="008B2D4E" w:rsidRPr="00B03492">
        <w:rPr>
          <w:rStyle w:val="FootnoteReference"/>
          <w:lang w:val="en-US"/>
        </w:rPr>
        <w:footnoteReference w:customMarkFollows="1" w:id="33"/>
        <w:t>*</w:t>
      </w:r>
      <w:bookmarkEnd w:id="237"/>
    </w:p>
    <w:p w:rsidR="00061F17" w:rsidRPr="001970D2" w:rsidRDefault="00061F17" w:rsidP="00FA2397">
      <w:pPr>
        <w:jc w:val="center"/>
        <w:rPr>
          <w:b/>
          <w:bCs/>
          <w:szCs w:val="19"/>
          <w:lang w:val="en-US"/>
        </w:rPr>
      </w:pPr>
    </w:p>
    <w:p w:rsidR="00061F17" w:rsidRDefault="00061F17" w:rsidP="00061F17">
      <w:pPr>
        <w:spacing w:before="0"/>
        <w:rPr>
          <w:rFonts w:ascii="Verdana Bold" w:hAnsi="Verdana Bold" w:hint="eastAsia"/>
          <w:b/>
          <w:szCs w:val="19"/>
          <w:lang w:val="en-GB"/>
        </w:rPr>
      </w:pPr>
      <w:bookmarkStart w:id="238" w:name="_Toc361912450"/>
      <w:r w:rsidRPr="00061F17">
        <w:rPr>
          <w:rFonts w:ascii="Verdana Bold" w:hAnsi="Verdana Bold" w:hint="eastAsia"/>
          <w:smallCaps/>
          <w:szCs w:val="19"/>
          <w:lang w:val="en-US"/>
        </w:rPr>
        <w:br w:type="page"/>
      </w:r>
    </w:p>
    <w:p w:rsidR="00061F17" w:rsidRPr="00BE1873" w:rsidRDefault="00061F17" w:rsidP="00357951">
      <w:pPr>
        <w:pStyle w:val="Heading1"/>
        <w:tabs>
          <w:tab w:val="left" w:pos="1418"/>
        </w:tabs>
      </w:pPr>
      <w:bookmarkStart w:id="239" w:name="_Toc377482136"/>
      <w:r w:rsidRPr="00BE1873">
        <w:lastRenderedPageBreak/>
        <w:t xml:space="preserve">Annex 8: </w:t>
      </w:r>
      <w:r w:rsidR="00357951">
        <w:tab/>
      </w:r>
      <w:r w:rsidRPr="00BE1873">
        <w:t>Q23/1 Work Plan</w:t>
      </w:r>
      <w:bookmarkEnd w:id="238"/>
      <w:bookmarkEnd w:id="239"/>
    </w:p>
    <w:p w:rsidR="00061F17" w:rsidRPr="00CB48E2" w:rsidRDefault="00061F17" w:rsidP="00BE1873">
      <w:pPr>
        <w:pStyle w:val="Tabletitle"/>
      </w:pPr>
      <w:r w:rsidRPr="00CB48E2">
        <w:t>Work Programme 2010-2014</w:t>
      </w:r>
    </w:p>
    <w:tbl>
      <w:tblPr>
        <w:tblStyle w:val="Style1"/>
        <w:tblW w:w="4884" w:type="pct"/>
        <w:tblInd w:w="108" w:type="dxa"/>
        <w:tblLayout w:type="fixed"/>
        <w:tblLook w:val="0020" w:firstRow="1" w:lastRow="0" w:firstColumn="0" w:lastColumn="0" w:noHBand="0" w:noVBand="0"/>
      </w:tblPr>
      <w:tblGrid>
        <w:gridCol w:w="2140"/>
        <w:gridCol w:w="4533"/>
        <w:gridCol w:w="2399"/>
      </w:tblGrid>
      <w:tr w:rsidR="00061F17" w:rsidRPr="00413C13" w:rsidTr="00F22C89">
        <w:trPr>
          <w:cnfStyle w:val="100000000000" w:firstRow="1" w:lastRow="0" w:firstColumn="0" w:lastColumn="0" w:oddVBand="0" w:evenVBand="0" w:oddHBand="0" w:evenHBand="0" w:firstRowFirstColumn="0" w:firstRowLastColumn="0" w:lastRowFirstColumn="0" w:lastRowLastColumn="0"/>
          <w:tblHeader/>
        </w:trPr>
        <w:tc>
          <w:tcPr>
            <w:tcW w:w="2140" w:type="dxa"/>
          </w:tcPr>
          <w:p w:rsidR="00061F17" w:rsidRPr="00413C13" w:rsidRDefault="00061F17" w:rsidP="00BE1873">
            <w:pPr>
              <w:pStyle w:val="Tablehead"/>
            </w:pPr>
            <w:r w:rsidRPr="00413C13">
              <w:t>DATE</w:t>
            </w:r>
          </w:p>
        </w:tc>
        <w:tc>
          <w:tcPr>
            <w:tcW w:w="4533" w:type="dxa"/>
          </w:tcPr>
          <w:p w:rsidR="00061F17" w:rsidRPr="00413C13" w:rsidRDefault="00061F17" w:rsidP="00BE1873">
            <w:pPr>
              <w:pStyle w:val="Tablehead"/>
            </w:pPr>
            <w:r w:rsidRPr="00413C13">
              <w:t>ACTIVITY / EXPECTED RESULTS</w:t>
            </w:r>
          </w:p>
        </w:tc>
        <w:tc>
          <w:tcPr>
            <w:tcW w:w="2399" w:type="dxa"/>
          </w:tcPr>
          <w:p w:rsidR="00061F17" w:rsidRPr="00413C13" w:rsidRDefault="00061F17" w:rsidP="00BE1873">
            <w:pPr>
              <w:pStyle w:val="Tablehead"/>
            </w:pPr>
            <w:r w:rsidRPr="00413C13">
              <w:t>PERSON RESPONSIBLE</w:t>
            </w:r>
          </w:p>
        </w:tc>
      </w:tr>
      <w:tr w:rsidR="00061F17" w:rsidRPr="00BE1873" w:rsidTr="00F22C89">
        <w:trPr>
          <w:cnfStyle w:val="000000100000" w:firstRow="0" w:lastRow="0" w:firstColumn="0" w:lastColumn="0" w:oddVBand="0" w:evenVBand="0" w:oddHBand="1" w:evenHBand="0" w:firstRowFirstColumn="0" w:firstRowLastColumn="0" w:lastRowFirstColumn="0" w:lastRowLastColumn="0"/>
        </w:trPr>
        <w:tc>
          <w:tcPr>
            <w:tcW w:w="2140" w:type="dxa"/>
          </w:tcPr>
          <w:p w:rsidR="00061F17" w:rsidRPr="00413C13" w:rsidRDefault="00061F17" w:rsidP="00BE1873">
            <w:pPr>
              <w:pStyle w:val="Tabletext"/>
            </w:pPr>
            <w:r w:rsidRPr="00413C13">
              <w:t>September 2010</w:t>
            </w:r>
          </w:p>
        </w:tc>
        <w:tc>
          <w:tcPr>
            <w:tcW w:w="4533" w:type="dxa"/>
          </w:tcPr>
          <w:p w:rsidR="00061F17" w:rsidRPr="00061F17" w:rsidRDefault="00BE1873" w:rsidP="00BE1873">
            <w:pPr>
              <w:pStyle w:val="enumlev1"/>
            </w:pPr>
            <w:r>
              <w:t>-</w:t>
            </w:r>
            <w:r>
              <w:tab/>
            </w:r>
            <w:r w:rsidR="00061F17" w:rsidRPr="00061F17">
              <w:t xml:space="preserve">Determination of the working method and of the means to carry out the work </w:t>
            </w:r>
          </w:p>
        </w:tc>
        <w:tc>
          <w:tcPr>
            <w:tcW w:w="2399" w:type="dxa"/>
          </w:tcPr>
          <w:p w:rsidR="00061F17" w:rsidRPr="00BE1873" w:rsidRDefault="00061F17" w:rsidP="00BE1873">
            <w:pPr>
              <w:pStyle w:val="Tabletext"/>
              <w:rPr>
                <w:rFonts w:cs="Arial"/>
                <w:szCs w:val="19"/>
                <w:lang w:val="en-US"/>
              </w:rPr>
            </w:pPr>
            <w:r w:rsidRPr="00BE1873">
              <w:rPr>
                <w:rFonts w:cs="Arial"/>
                <w:szCs w:val="19"/>
                <w:lang w:val="en-US"/>
              </w:rPr>
              <w:t>BDT, Rapporteur’s Group</w:t>
            </w:r>
          </w:p>
        </w:tc>
      </w:tr>
      <w:tr w:rsidR="00061F17" w:rsidRPr="00413C13" w:rsidTr="00F22C89">
        <w:trPr>
          <w:cnfStyle w:val="000000010000" w:firstRow="0" w:lastRow="0" w:firstColumn="0" w:lastColumn="0" w:oddVBand="0" w:evenVBand="0" w:oddHBand="0" w:evenHBand="1" w:firstRowFirstColumn="0" w:firstRowLastColumn="0" w:lastRowFirstColumn="0" w:lastRowLastColumn="0"/>
        </w:trPr>
        <w:tc>
          <w:tcPr>
            <w:tcW w:w="2140" w:type="dxa"/>
          </w:tcPr>
          <w:p w:rsidR="00061F17" w:rsidRPr="00BE1873" w:rsidRDefault="00061F17" w:rsidP="00BE1873">
            <w:pPr>
              <w:pStyle w:val="Tabletext"/>
              <w:rPr>
                <w:lang w:val="en-US"/>
              </w:rPr>
            </w:pPr>
            <w:r w:rsidRPr="00BE1873">
              <w:rPr>
                <w:lang w:val="en-US"/>
              </w:rPr>
              <w:t>October 2010 – February 2011</w:t>
            </w:r>
          </w:p>
        </w:tc>
        <w:tc>
          <w:tcPr>
            <w:tcW w:w="4533" w:type="dxa"/>
          </w:tcPr>
          <w:p w:rsidR="00061F17" w:rsidRPr="00413C13" w:rsidRDefault="00061F17" w:rsidP="00BE1873">
            <w:pPr>
              <w:pStyle w:val="enumlev1"/>
            </w:pPr>
            <w:r w:rsidRPr="00413C13">
              <w:t>-</w:t>
            </w:r>
            <w:r w:rsidRPr="00413C13">
              <w:tab/>
              <w:t xml:space="preserve">Compilation and analysis of envisaged or adopted regulatory policies on human exposure to electromagnetic fields authorizing the installation of </w:t>
            </w:r>
            <w:r w:rsidRPr="00BE1873">
              <w:t>radiocommunication</w:t>
            </w:r>
            <w:r w:rsidRPr="00413C13">
              <w:t xml:space="preserve"> sites and telecommunication systems over electric power lines</w:t>
            </w:r>
          </w:p>
          <w:p w:rsidR="00061F17" w:rsidRPr="00602504" w:rsidRDefault="00061F17" w:rsidP="00BE1873">
            <w:pPr>
              <w:pStyle w:val="enumlev1"/>
            </w:pPr>
            <w:r w:rsidRPr="00413C13">
              <w:t>-</w:t>
            </w:r>
            <w:r w:rsidRPr="00413C13">
              <w:tab/>
              <w:t xml:space="preserve">Description of strategies or methods for raising </w:t>
            </w:r>
            <w:r w:rsidRPr="00BE1873">
              <w:t>awareness</w:t>
            </w:r>
            <w:r w:rsidRPr="00413C13">
              <w:t xml:space="preserve"> and informing people about the effects of electromagnetic fields caused by radio systems</w:t>
            </w:r>
          </w:p>
          <w:p w:rsidR="00061F17" w:rsidRPr="00602504" w:rsidRDefault="00061F17" w:rsidP="00BE1873">
            <w:pPr>
              <w:pStyle w:val="enumlev1"/>
            </w:pPr>
            <w:r w:rsidRPr="00413C13">
              <w:rPr>
                <w:shd w:val="clear" w:color="auto" w:fill="FFFFFF"/>
              </w:rPr>
              <w:t>-</w:t>
            </w:r>
            <w:r w:rsidRPr="00413C13">
              <w:rPr>
                <w:shd w:val="clear" w:color="auto" w:fill="FFFFFF"/>
              </w:rPr>
              <w:tab/>
              <w:t>Guidelines and best practices</w:t>
            </w:r>
          </w:p>
        </w:tc>
        <w:tc>
          <w:tcPr>
            <w:tcW w:w="2399" w:type="dxa"/>
          </w:tcPr>
          <w:p w:rsidR="00061F17" w:rsidRPr="00602504" w:rsidRDefault="00061F17" w:rsidP="00BE1873">
            <w:pPr>
              <w:pStyle w:val="Tabletext"/>
              <w:rPr>
                <w:rFonts w:cs="Arial"/>
                <w:szCs w:val="19"/>
                <w:lang w:val="fr-CH"/>
              </w:rPr>
            </w:pPr>
            <w:r w:rsidRPr="00413C13">
              <w:rPr>
                <w:rFonts w:cs="Arial"/>
                <w:szCs w:val="19"/>
                <w:lang w:val="fr-CH"/>
              </w:rPr>
              <w:t>BDT, Rapporteur’s Group</w:t>
            </w:r>
          </w:p>
        </w:tc>
      </w:tr>
      <w:tr w:rsidR="00061F17" w:rsidRPr="00413C13" w:rsidTr="00F22C89">
        <w:trPr>
          <w:cnfStyle w:val="000000100000" w:firstRow="0" w:lastRow="0" w:firstColumn="0" w:lastColumn="0" w:oddVBand="0" w:evenVBand="0" w:oddHBand="1" w:evenHBand="0" w:firstRowFirstColumn="0" w:firstRowLastColumn="0" w:lastRowFirstColumn="0" w:lastRowLastColumn="0"/>
        </w:trPr>
        <w:tc>
          <w:tcPr>
            <w:tcW w:w="2140" w:type="dxa"/>
          </w:tcPr>
          <w:p w:rsidR="00061F17" w:rsidRPr="00413C13" w:rsidRDefault="00061F17" w:rsidP="00BE1873">
            <w:pPr>
              <w:pStyle w:val="Tabletext"/>
              <w:rPr>
                <w:rFonts w:cs="Arial"/>
                <w:szCs w:val="19"/>
                <w:lang w:val="fr-CH" w:eastAsia="en-US"/>
              </w:rPr>
            </w:pPr>
            <w:r w:rsidRPr="00413C13">
              <w:rPr>
                <w:rFonts w:cs="Arial"/>
                <w:szCs w:val="19"/>
                <w:lang w:val="fr-CH" w:eastAsia="en-US"/>
              </w:rPr>
              <w:t>March/April 2011</w:t>
            </w:r>
          </w:p>
        </w:tc>
        <w:tc>
          <w:tcPr>
            <w:tcW w:w="4533" w:type="dxa"/>
          </w:tcPr>
          <w:p w:rsidR="00061F17" w:rsidRDefault="00061F17" w:rsidP="00BE1873">
            <w:pPr>
              <w:pStyle w:val="Tabletext"/>
              <w:rPr>
                <w:lang w:val="en-US"/>
              </w:rPr>
            </w:pPr>
            <w:r w:rsidRPr="00413C13">
              <w:rPr>
                <w:lang w:val="en-US"/>
              </w:rPr>
              <w:t>Rapporteur’s Group meeting:</w:t>
            </w:r>
          </w:p>
          <w:p w:rsidR="00BE1873" w:rsidRDefault="00BE1873" w:rsidP="00BE1873">
            <w:pPr>
              <w:pStyle w:val="enumlev1"/>
            </w:pPr>
            <w:r>
              <w:t>-</w:t>
            </w:r>
            <w:r>
              <w:tab/>
              <w:t>Consideration of contributions received</w:t>
            </w:r>
          </w:p>
          <w:p w:rsidR="00BE1873" w:rsidRDefault="00BE1873" w:rsidP="00BE1873">
            <w:pPr>
              <w:pStyle w:val="enumlev1"/>
            </w:pPr>
            <w:r>
              <w:t>-</w:t>
            </w:r>
            <w:r>
              <w:tab/>
              <w:t>Consideration of relevant documents of others Sectors (ITU-T, ITU-R)</w:t>
            </w:r>
          </w:p>
          <w:p w:rsidR="00BE1873" w:rsidRPr="00413C13" w:rsidRDefault="00BE1873" w:rsidP="00BE1873">
            <w:pPr>
              <w:pStyle w:val="enumlev1"/>
            </w:pPr>
            <w:r>
              <w:t>-</w:t>
            </w:r>
            <w:r>
              <w:tab/>
              <w:t>Call for contributions from:</w:t>
            </w:r>
          </w:p>
          <w:p w:rsidR="00061F17" w:rsidRPr="00602504" w:rsidRDefault="00BE1873" w:rsidP="00BE1873">
            <w:pPr>
              <w:pStyle w:val="enumlev2"/>
            </w:pPr>
            <w:r>
              <w:sym w:font="Symbol" w:char="F0B7"/>
            </w:r>
            <w:r w:rsidR="00061F17" w:rsidRPr="00413C13">
              <w:tab/>
              <w:t>World Health Organization</w:t>
            </w:r>
          </w:p>
          <w:p w:rsidR="00061F17" w:rsidRDefault="00BE1873" w:rsidP="00BE1873">
            <w:pPr>
              <w:pStyle w:val="enumlev2"/>
            </w:pPr>
            <w:r>
              <w:sym w:font="Symbol" w:char="F0B7"/>
            </w:r>
            <w:r w:rsidRPr="00413C13">
              <w:tab/>
            </w:r>
            <w:r w:rsidR="00061F17" w:rsidRPr="00413C13">
              <w:t>International Commission on Non-Ionizing Radiation Protection (ICNIRP)</w:t>
            </w:r>
          </w:p>
          <w:p w:rsidR="00061F17" w:rsidRPr="00BE1873" w:rsidRDefault="00BE1873" w:rsidP="00BE1873">
            <w:pPr>
              <w:pStyle w:val="enumlev2"/>
              <w:rPr>
                <w:shd w:val="clear" w:color="auto" w:fill="E6ECF9"/>
              </w:rPr>
            </w:pPr>
            <w:r>
              <w:sym w:font="Symbol" w:char="F0B7"/>
            </w:r>
            <w:r w:rsidRPr="00413C13">
              <w:tab/>
            </w:r>
            <w:r>
              <w:t>Institute of Electrical and Electronic Engineers (IEEE)</w:t>
            </w:r>
          </w:p>
        </w:tc>
        <w:tc>
          <w:tcPr>
            <w:tcW w:w="2399" w:type="dxa"/>
          </w:tcPr>
          <w:p w:rsidR="00061F17" w:rsidRPr="00602504" w:rsidRDefault="00061F17" w:rsidP="00BE1873">
            <w:pPr>
              <w:pStyle w:val="Tabletext"/>
              <w:rPr>
                <w:rFonts w:cs="Arial"/>
                <w:szCs w:val="19"/>
                <w:lang w:val="fr-CH"/>
              </w:rPr>
            </w:pPr>
            <w:r w:rsidRPr="00413C13">
              <w:rPr>
                <w:rFonts w:cs="Arial"/>
                <w:szCs w:val="19"/>
                <w:lang w:val="fr-CH"/>
              </w:rPr>
              <w:t>BDT, Rapporteur’s Group</w:t>
            </w:r>
          </w:p>
        </w:tc>
      </w:tr>
      <w:tr w:rsidR="00061F17" w:rsidRPr="00413C13" w:rsidTr="00F22C89">
        <w:trPr>
          <w:cnfStyle w:val="000000010000" w:firstRow="0" w:lastRow="0" w:firstColumn="0" w:lastColumn="0" w:oddVBand="0" w:evenVBand="0" w:oddHBand="0" w:evenHBand="1" w:firstRowFirstColumn="0" w:firstRowLastColumn="0" w:lastRowFirstColumn="0" w:lastRowLastColumn="0"/>
        </w:trPr>
        <w:tc>
          <w:tcPr>
            <w:tcW w:w="2140" w:type="dxa"/>
          </w:tcPr>
          <w:p w:rsidR="00061F17" w:rsidRPr="00413C13" w:rsidRDefault="00061F17" w:rsidP="00BE1873">
            <w:pPr>
              <w:pStyle w:val="Tabletext"/>
              <w:rPr>
                <w:rFonts w:cs="Arial"/>
                <w:szCs w:val="19"/>
                <w:lang w:val="fr-CH" w:eastAsia="en-US"/>
              </w:rPr>
            </w:pPr>
            <w:r w:rsidRPr="00413C13">
              <w:rPr>
                <w:rFonts w:cs="Arial"/>
                <w:szCs w:val="19"/>
                <w:lang w:val="fr-CH" w:eastAsia="en-US"/>
              </w:rPr>
              <w:t>September 2011</w:t>
            </w:r>
          </w:p>
        </w:tc>
        <w:tc>
          <w:tcPr>
            <w:tcW w:w="4533" w:type="dxa"/>
          </w:tcPr>
          <w:p w:rsidR="00061F17" w:rsidRPr="007A19CC" w:rsidRDefault="00061F17" w:rsidP="00A51E5B">
            <w:pPr>
              <w:pStyle w:val="Tabletext"/>
              <w:rPr>
                <w:lang w:val="en-US"/>
              </w:rPr>
            </w:pPr>
            <w:r w:rsidRPr="007A19CC">
              <w:rPr>
                <w:lang w:val="en-US"/>
              </w:rPr>
              <w:t>Rapporteur’s Group meeting:</w:t>
            </w:r>
          </w:p>
          <w:p w:rsidR="00061F17" w:rsidRPr="00413C13" w:rsidRDefault="00061F17" w:rsidP="00BE1873">
            <w:pPr>
              <w:pStyle w:val="enumlev1"/>
              <w:rPr>
                <w:shd w:val="clear" w:color="auto" w:fill="FFFFFF"/>
              </w:rPr>
            </w:pPr>
            <w:r w:rsidRPr="00413C13">
              <w:rPr>
                <w:shd w:val="clear" w:color="auto" w:fill="FFFFFF"/>
              </w:rPr>
              <w:t>-</w:t>
            </w:r>
            <w:r w:rsidRPr="00413C13">
              <w:rPr>
                <w:shd w:val="clear" w:color="auto" w:fill="FFFFFF"/>
              </w:rPr>
              <w:tab/>
              <w:t>Consideration of contributions received</w:t>
            </w:r>
          </w:p>
          <w:p w:rsidR="00061F17" w:rsidRPr="00413C13" w:rsidRDefault="00061F17" w:rsidP="00BE1873">
            <w:pPr>
              <w:pStyle w:val="enumlev1"/>
              <w:rPr>
                <w:shd w:val="clear" w:color="auto" w:fill="FFFFFF"/>
              </w:rPr>
            </w:pPr>
            <w:r w:rsidRPr="00413C13">
              <w:rPr>
                <w:shd w:val="clear" w:color="auto" w:fill="FFFFFF"/>
              </w:rPr>
              <w:t>-</w:t>
            </w:r>
            <w:r w:rsidRPr="00413C13">
              <w:rPr>
                <w:shd w:val="clear" w:color="auto" w:fill="FFFFFF"/>
              </w:rPr>
              <w:tab/>
              <w:t>Consideration</w:t>
            </w:r>
            <w:r>
              <w:rPr>
                <w:shd w:val="clear" w:color="auto" w:fill="FFFFFF"/>
              </w:rPr>
              <w:t xml:space="preserve"> </w:t>
            </w:r>
            <w:r w:rsidRPr="00413C13">
              <w:rPr>
                <w:shd w:val="clear" w:color="auto" w:fill="FFFFFF"/>
              </w:rPr>
              <w:t>of relevant documents of other Sectors and programmes</w:t>
            </w:r>
          </w:p>
          <w:p w:rsidR="00061F17" w:rsidRPr="00602504" w:rsidRDefault="00061F17" w:rsidP="00BE1873">
            <w:pPr>
              <w:pStyle w:val="enumlev1"/>
              <w:rPr>
                <w:shd w:val="clear" w:color="auto" w:fill="FFFFFF"/>
              </w:rPr>
            </w:pPr>
            <w:r w:rsidRPr="00413C13">
              <w:rPr>
                <w:shd w:val="clear" w:color="auto" w:fill="FFFFFF"/>
              </w:rPr>
              <w:t>-</w:t>
            </w:r>
            <w:r w:rsidRPr="00413C13">
              <w:rPr>
                <w:shd w:val="clear" w:color="auto" w:fill="FFFFFF"/>
              </w:rPr>
              <w:tab/>
              <w:t>Call for new contributions</w:t>
            </w:r>
          </w:p>
          <w:p w:rsidR="00061F17" w:rsidRPr="00602504" w:rsidRDefault="00061F17" w:rsidP="00BE1873">
            <w:pPr>
              <w:pStyle w:val="enumlev1"/>
            </w:pPr>
            <w:r w:rsidRPr="00413C13">
              <w:rPr>
                <w:shd w:val="clear" w:color="auto" w:fill="FFFFFF"/>
              </w:rPr>
              <w:t>-</w:t>
            </w:r>
            <w:r w:rsidRPr="00413C13">
              <w:rPr>
                <w:shd w:val="clear" w:color="auto" w:fill="FFFFFF"/>
              </w:rPr>
              <w:tab/>
              <w:t>Draft guidelines for compliance with relevant international recommendations aimed at protecting health against the harmful effects of electromagnetic fields</w:t>
            </w:r>
          </w:p>
        </w:tc>
        <w:tc>
          <w:tcPr>
            <w:tcW w:w="2399" w:type="dxa"/>
          </w:tcPr>
          <w:p w:rsidR="00061F17" w:rsidRPr="00602504" w:rsidRDefault="00061F17" w:rsidP="00BE1873">
            <w:pPr>
              <w:pStyle w:val="Tabletext"/>
              <w:rPr>
                <w:rFonts w:cs="Arial"/>
                <w:szCs w:val="19"/>
                <w:lang w:val="fr-CH"/>
              </w:rPr>
            </w:pPr>
            <w:r w:rsidRPr="00413C13">
              <w:rPr>
                <w:rFonts w:cs="Arial"/>
                <w:szCs w:val="19"/>
                <w:lang w:val="fr-CH"/>
              </w:rPr>
              <w:t>BDT, Rapporteur’s Group</w:t>
            </w:r>
          </w:p>
        </w:tc>
      </w:tr>
      <w:tr w:rsidR="00061F17" w:rsidRPr="00725C15" w:rsidTr="00F22C89">
        <w:trPr>
          <w:cnfStyle w:val="000000100000" w:firstRow="0" w:lastRow="0" w:firstColumn="0" w:lastColumn="0" w:oddVBand="0" w:evenVBand="0" w:oddHBand="1" w:evenHBand="0" w:firstRowFirstColumn="0" w:firstRowLastColumn="0" w:lastRowFirstColumn="0" w:lastRowLastColumn="0"/>
        </w:trPr>
        <w:tc>
          <w:tcPr>
            <w:tcW w:w="2140" w:type="dxa"/>
          </w:tcPr>
          <w:p w:rsidR="00061F17" w:rsidRPr="00602504" w:rsidRDefault="00061F17" w:rsidP="00BE1873">
            <w:pPr>
              <w:pStyle w:val="Tabletext"/>
            </w:pPr>
            <w:r w:rsidRPr="00413C13">
              <w:t>March/April 2012</w:t>
            </w:r>
          </w:p>
        </w:tc>
        <w:tc>
          <w:tcPr>
            <w:tcW w:w="4533" w:type="dxa"/>
          </w:tcPr>
          <w:p w:rsidR="00061F17" w:rsidRPr="007A19CC" w:rsidRDefault="00061F17" w:rsidP="00A51E5B">
            <w:pPr>
              <w:pStyle w:val="Tabletext"/>
              <w:rPr>
                <w:lang w:val="en-US"/>
              </w:rPr>
            </w:pPr>
            <w:r w:rsidRPr="007A19CC">
              <w:rPr>
                <w:lang w:val="en-US"/>
              </w:rPr>
              <w:t>Rapporteur’s Group meeting</w:t>
            </w:r>
          </w:p>
          <w:p w:rsidR="00061F17" w:rsidRPr="00061F17" w:rsidRDefault="00061F17" w:rsidP="00A51E5B">
            <w:pPr>
              <w:pStyle w:val="enumlev1"/>
              <w:rPr>
                <w:bCs/>
              </w:rPr>
            </w:pPr>
            <w:r w:rsidRPr="00061F17">
              <w:t>-</w:t>
            </w:r>
            <w:r w:rsidRPr="00061F17">
              <w:tab/>
              <w:t>Consideration of contributions received</w:t>
            </w:r>
          </w:p>
          <w:p w:rsidR="00061F17" w:rsidRDefault="00061F17" w:rsidP="00A51E5B">
            <w:pPr>
              <w:pStyle w:val="enumlev1"/>
            </w:pPr>
            <w:r w:rsidRPr="00061F17">
              <w:t>-</w:t>
            </w:r>
            <w:r w:rsidRPr="00061F17">
              <w:tab/>
              <w:t>Consideration of relevant documents of other ITU Sectors and international organizations working on this issue</w:t>
            </w:r>
          </w:p>
          <w:p w:rsidR="00A51E5B" w:rsidRDefault="00A51E5B" w:rsidP="00A51E5B">
            <w:pPr>
              <w:pStyle w:val="enumlev1"/>
            </w:pPr>
            <w:r>
              <w:t>-</w:t>
            </w:r>
            <w:r>
              <w:tab/>
              <w:t>Finalization of guidelines</w:t>
            </w:r>
          </w:p>
          <w:p w:rsidR="00A51E5B" w:rsidRDefault="00A51E5B" w:rsidP="00A51E5B">
            <w:pPr>
              <w:pStyle w:val="enumlev1"/>
              <w:rPr>
                <w:bCs/>
              </w:rPr>
            </w:pPr>
            <w:r>
              <w:rPr>
                <w:bCs/>
              </w:rPr>
              <w:t>-</w:t>
            </w:r>
            <w:r>
              <w:rPr>
                <w:bCs/>
              </w:rPr>
              <w:tab/>
              <w:t>Development of plan of the draft report</w:t>
            </w:r>
          </w:p>
          <w:p w:rsidR="00A51E5B" w:rsidRDefault="00A51E5B" w:rsidP="00A51E5B">
            <w:pPr>
              <w:pStyle w:val="enumlev1"/>
              <w:rPr>
                <w:bCs/>
              </w:rPr>
            </w:pPr>
            <w:r>
              <w:rPr>
                <w:bCs/>
              </w:rPr>
              <w:t>-</w:t>
            </w:r>
            <w:r>
              <w:rPr>
                <w:bCs/>
              </w:rPr>
              <w:tab/>
              <w:t>Call for new contributions</w:t>
            </w:r>
          </w:p>
          <w:p w:rsidR="00061F17" w:rsidRPr="00061F17" w:rsidRDefault="00A51E5B" w:rsidP="00A51E5B">
            <w:pPr>
              <w:pStyle w:val="enumlev1"/>
              <w:rPr>
                <w:bCs/>
              </w:rPr>
            </w:pPr>
            <w:r>
              <w:rPr>
                <w:bCs/>
              </w:rPr>
              <w:t>-</w:t>
            </w:r>
            <w:r>
              <w:rPr>
                <w:bCs/>
              </w:rPr>
              <w:tab/>
              <w:t>Dissemination of information on this topic at workshops and seminars organized for regulators, operators and the public</w:t>
            </w:r>
          </w:p>
        </w:tc>
        <w:tc>
          <w:tcPr>
            <w:tcW w:w="2399" w:type="dxa"/>
          </w:tcPr>
          <w:p w:rsidR="00061F17" w:rsidRPr="00602504" w:rsidRDefault="00061F17" w:rsidP="00BE1873">
            <w:pPr>
              <w:pStyle w:val="Tabletext"/>
              <w:rPr>
                <w:rFonts w:cs="Arial"/>
                <w:szCs w:val="19"/>
                <w:lang w:val="fr-CH"/>
              </w:rPr>
            </w:pPr>
            <w:r w:rsidRPr="00413C13">
              <w:rPr>
                <w:rFonts w:cs="Arial"/>
                <w:szCs w:val="19"/>
                <w:lang w:val="fr-CH"/>
              </w:rPr>
              <w:t>BDT, Rapporteur and Vice</w:t>
            </w:r>
            <w:r w:rsidRPr="00413C13">
              <w:rPr>
                <w:rFonts w:cs="Arial"/>
                <w:szCs w:val="19"/>
                <w:lang w:val="fr-CH"/>
              </w:rPr>
              <w:noBreakHyphen/>
              <w:t>Rapporteurs</w:t>
            </w:r>
          </w:p>
        </w:tc>
      </w:tr>
      <w:tr w:rsidR="00061F17" w:rsidRPr="00A51E5B" w:rsidTr="00F22C89">
        <w:trPr>
          <w:cnfStyle w:val="000000010000" w:firstRow="0" w:lastRow="0" w:firstColumn="0" w:lastColumn="0" w:oddVBand="0" w:evenVBand="0" w:oddHBand="0" w:evenHBand="1" w:firstRowFirstColumn="0" w:firstRowLastColumn="0" w:lastRowFirstColumn="0" w:lastRowLastColumn="0"/>
        </w:trPr>
        <w:tc>
          <w:tcPr>
            <w:tcW w:w="2140" w:type="dxa"/>
          </w:tcPr>
          <w:p w:rsidR="00061F17" w:rsidRPr="00602504" w:rsidRDefault="00061F17" w:rsidP="00BE1873">
            <w:pPr>
              <w:pStyle w:val="Tabletext"/>
              <w:rPr>
                <w:lang w:val="en-US"/>
              </w:rPr>
            </w:pPr>
            <w:r w:rsidRPr="00413C13">
              <w:t>September 2012</w:t>
            </w:r>
          </w:p>
        </w:tc>
        <w:tc>
          <w:tcPr>
            <w:tcW w:w="4533" w:type="dxa"/>
          </w:tcPr>
          <w:p w:rsidR="00061F17" w:rsidRPr="00A51E5B" w:rsidRDefault="00061F17" w:rsidP="00A51E5B">
            <w:pPr>
              <w:pStyle w:val="Tabletext"/>
              <w:rPr>
                <w:lang w:val="en-US"/>
              </w:rPr>
            </w:pPr>
            <w:r w:rsidRPr="00A51E5B">
              <w:rPr>
                <w:lang w:val="en-US"/>
              </w:rPr>
              <w:t>Rapporteur’s Group meeting:</w:t>
            </w:r>
          </w:p>
          <w:p w:rsidR="00061F17" w:rsidRPr="00602504" w:rsidRDefault="00A51E5B" w:rsidP="00A51E5B">
            <w:pPr>
              <w:pStyle w:val="enumlev1"/>
            </w:pPr>
            <w:r>
              <w:t>-</w:t>
            </w:r>
            <w:r>
              <w:tab/>
            </w:r>
            <w:r w:rsidR="00061F17" w:rsidRPr="00602504">
              <w:t>Preparation of draft report</w:t>
            </w:r>
          </w:p>
          <w:p w:rsidR="00061F17" w:rsidRPr="00A51E5B" w:rsidRDefault="00A51E5B" w:rsidP="00A51E5B">
            <w:pPr>
              <w:pStyle w:val="enumlev1"/>
            </w:pPr>
            <w:r>
              <w:t>-</w:t>
            </w:r>
            <w:r>
              <w:tab/>
            </w:r>
            <w:r w:rsidR="00061F17" w:rsidRPr="00A51E5B">
              <w:t>Consideration of contributions received</w:t>
            </w:r>
          </w:p>
          <w:p w:rsidR="00061F17" w:rsidRPr="00A51E5B" w:rsidRDefault="00A51E5B" w:rsidP="00A51E5B">
            <w:pPr>
              <w:pStyle w:val="enumlev1"/>
            </w:pPr>
            <w:r>
              <w:rPr>
                <w:shd w:val="clear" w:color="auto" w:fill="FFFFFF"/>
              </w:rPr>
              <w:t>-</w:t>
            </w:r>
            <w:r>
              <w:rPr>
                <w:shd w:val="clear" w:color="auto" w:fill="FFFFFF"/>
              </w:rPr>
              <w:tab/>
            </w:r>
            <w:r w:rsidR="00061F17" w:rsidRPr="00A51E5B">
              <w:rPr>
                <w:shd w:val="clear" w:color="auto" w:fill="FFFFFF"/>
              </w:rPr>
              <w:t>Call for new contributions</w:t>
            </w:r>
          </w:p>
        </w:tc>
        <w:tc>
          <w:tcPr>
            <w:tcW w:w="2399" w:type="dxa"/>
          </w:tcPr>
          <w:p w:rsidR="00061F17" w:rsidRPr="00A51E5B" w:rsidRDefault="00061F17" w:rsidP="00BE1873">
            <w:pPr>
              <w:pStyle w:val="Tabletext"/>
              <w:rPr>
                <w:lang w:val="en-US"/>
              </w:rPr>
            </w:pPr>
            <w:r w:rsidRPr="00A51E5B">
              <w:rPr>
                <w:lang w:val="en-US"/>
              </w:rPr>
              <w:t>BDT, Rapporteur’s Group</w:t>
            </w:r>
          </w:p>
        </w:tc>
      </w:tr>
      <w:tr w:rsidR="00061F17" w:rsidRPr="00413C13" w:rsidTr="00F22C89">
        <w:trPr>
          <w:cnfStyle w:val="000000100000" w:firstRow="0" w:lastRow="0" w:firstColumn="0" w:lastColumn="0" w:oddVBand="0" w:evenVBand="0" w:oddHBand="1" w:evenHBand="0" w:firstRowFirstColumn="0" w:firstRowLastColumn="0" w:lastRowFirstColumn="0" w:lastRowLastColumn="0"/>
        </w:trPr>
        <w:tc>
          <w:tcPr>
            <w:tcW w:w="2140" w:type="dxa"/>
          </w:tcPr>
          <w:p w:rsidR="00061F17" w:rsidRPr="00A51E5B" w:rsidRDefault="00061F17" w:rsidP="00BE1873">
            <w:pPr>
              <w:pStyle w:val="Tabletext"/>
              <w:rPr>
                <w:lang w:val="en-US"/>
              </w:rPr>
            </w:pPr>
            <w:r w:rsidRPr="00A51E5B">
              <w:rPr>
                <w:lang w:val="en-US"/>
              </w:rPr>
              <w:t>March/April 2013</w:t>
            </w:r>
          </w:p>
        </w:tc>
        <w:tc>
          <w:tcPr>
            <w:tcW w:w="4533" w:type="dxa"/>
          </w:tcPr>
          <w:p w:rsidR="00061F17" w:rsidRPr="00A51E5B" w:rsidRDefault="00061F17" w:rsidP="00A51E5B">
            <w:pPr>
              <w:pStyle w:val="Tabletext"/>
              <w:rPr>
                <w:lang w:val="en-US"/>
              </w:rPr>
            </w:pPr>
            <w:r w:rsidRPr="007A19CC">
              <w:rPr>
                <w:lang w:val="en-US"/>
              </w:rPr>
              <w:t>Rapporteur’s</w:t>
            </w:r>
            <w:r w:rsidRPr="00A51E5B">
              <w:rPr>
                <w:lang w:val="en-US"/>
              </w:rPr>
              <w:t xml:space="preserve"> Group meeting:</w:t>
            </w:r>
          </w:p>
          <w:p w:rsidR="00061F17" w:rsidRPr="00A51E5B" w:rsidRDefault="00061F17" w:rsidP="00A51E5B">
            <w:pPr>
              <w:pStyle w:val="enumlev1"/>
            </w:pPr>
            <w:r w:rsidRPr="00A51E5B">
              <w:t>-</w:t>
            </w:r>
            <w:r w:rsidRPr="00A51E5B">
              <w:tab/>
              <w:t>Consideration and adoption of draft report</w:t>
            </w:r>
          </w:p>
          <w:p w:rsidR="00061F17" w:rsidRDefault="00061F17" w:rsidP="00A51E5B">
            <w:pPr>
              <w:pStyle w:val="enumlev1"/>
            </w:pPr>
            <w:r w:rsidRPr="00A51E5B">
              <w:rPr>
                <w:lang w:val="en-US"/>
              </w:rPr>
              <w:t>-</w:t>
            </w:r>
            <w:r w:rsidRPr="00A51E5B">
              <w:rPr>
                <w:lang w:val="en-US"/>
              </w:rPr>
              <w:tab/>
              <w:t>Considerat</w:t>
            </w:r>
            <w:r w:rsidRPr="00602504">
              <w:t>ion of contributions received</w:t>
            </w:r>
          </w:p>
          <w:p w:rsidR="00061F17" w:rsidRPr="00A51E5B" w:rsidRDefault="00A51E5B" w:rsidP="00A51E5B">
            <w:pPr>
              <w:pStyle w:val="enumlev1"/>
              <w:rPr>
                <w:shd w:val="clear" w:color="auto" w:fill="E6ECF9"/>
              </w:rPr>
            </w:pPr>
            <w:r>
              <w:t>-</w:t>
            </w:r>
            <w:r>
              <w:tab/>
              <w:t>Consideration of relevant documents of other Sectors and programmes</w:t>
            </w:r>
          </w:p>
        </w:tc>
        <w:tc>
          <w:tcPr>
            <w:tcW w:w="2399" w:type="dxa"/>
          </w:tcPr>
          <w:p w:rsidR="00061F17" w:rsidRPr="00413C13" w:rsidRDefault="00061F17" w:rsidP="00BE1873">
            <w:pPr>
              <w:pStyle w:val="Tabletext"/>
            </w:pPr>
            <w:r w:rsidRPr="00413C13">
              <w:t>BDT, Rapporteur’s Group</w:t>
            </w:r>
          </w:p>
        </w:tc>
      </w:tr>
      <w:tr w:rsidR="00061F17" w:rsidRPr="00C71B8F" w:rsidTr="00F22C89">
        <w:trPr>
          <w:cnfStyle w:val="000000010000" w:firstRow="0" w:lastRow="0" w:firstColumn="0" w:lastColumn="0" w:oddVBand="0" w:evenVBand="0" w:oddHBand="0" w:evenHBand="1" w:firstRowFirstColumn="0" w:firstRowLastColumn="0" w:lastRowFirstColumn="0" w:lastRowLastColumn="0"/>
        </w:trPr>
        <w:tc>
          <w:tcPr>
            <w:tcW w:w="2140" w:type="dxa"/>
          </w:tcPr>
          <w:p w:rsidR="00061F17" w:rsidRPr="00602504" w:rsidRDefault="00061F17" w:rsidP="00C71B8F">
            <w:pPr>
              <w:pStyle w:val="Tabletext"/>
              <w:pageBreakBefore/>
            </w:pPr>
            <w:r w:rsidRPr="00413C13">
              <w:lastRenderedPageBreak/>
              <w:t>September 2013</w:t>
            </w:r>
          </w:p>
        </w:tc>
        <w:tc>
          <w:tcPr>
            <w:tcW w:w="4533" w:type="dxa"/>
          </w:tcPr>
          <w:p w:rsidR="00061F17" w:rsidRPr="00C71B8F" w:rsidRDefault="00061F17" w:rsidP="00A51E5B">
            <w:pPr>
              <w:pStyle w:val="Tabletext"/>
              <w:rPr>
                <w:lang w:val="en-US"/>
              </w:rPr>
            </w:pPr>
            <w:r w:rsidRPr="00C71B8F">
              <w:rPr>
                <w:lang w:val="en-US"/>
              </w:rPr>
              <w:t>Rapporteur’s Group meeting:</w:t>
            </w:r>
          </w:p>
          <w:p w:rsidR="00061F17" w:rsidRPr="00C71B8F" w:rsidRDefault="00C71B8F" w:rsidP="00C71B8F">
            <w:pPr>
              <w:pStyle w:val="enumlev1"/>
            </w:pPr>
            <w:r w:rsidRPr="00C71B8F">
              <w:rPr>
                <w:shd w:val="clear" w:color="auto" w:fill="FFFFFF"/>
              </w:rPr>
              <w:t>-</w:t>
            </w:r>
            <w:r w:rsidRPr="00C71B8F">
              <w:rPr>
                <w:shd w:val="clear" w:color="auto" w:fill="FFFFFF"/>
              </w:rPr>
              <w:tab/>
            </w:r>
            <w:r w:rsidR="00061F17" w:rsidRPr="00C71B8F">
              <w:rPr>
                <w:shd w:val="clear" w:color="auto" w:fill="FFFFFF"/>
              </w:rPr>
              <w:t>Seminar</w:t>
            </w:r>
          </w:p>
          <w:p w:rsidR="00061F17" w:rsidRPr="00C71B8F" w:rsidRDefault="00C71B8F" w:rsidP="00C71B8F">
            <w:pPr>
              <w:pStyle w:val="enumlev1"/>
            </w:pPr>
            <w:r>
              <w:t>-</w:t>
            </w:r>
            <w:r>
              <w:tab/>
            </w:r>
            <w:r w:rsidR="00061F17" w:rsidRPr="00C71B8F">
              <w:t>Presentation of draft report</w:t>
            </w:r>
          </w:p>
          <w:p w:rsidR="00061F17" w:rsidRPr="00C71B8F" w:rsidRDefault="00C71B8F" w:rsidP="00C71B8F">
            <w:pPr>
              <w:pStyle w:val="enumlev1"/>
            </w:pPr>
            <w:r>
              <w:t>-</w:t>
            </w:r>
            <w:r>
              <w:tab/>
            </w:r>
            <w:r w:rsidR="00061F17" w:rsidRPr="00C71B8F">
              <w:t>Consideration of contributions received</w:t>
            </w:r>
          </w:p>
          <w:p w:rsidR="00061F17" w:rsidRPr="00C71B8F" w:rsidRDefault="00C71B8F" w:rsidP="00C71B8F">
            <w:pPr>
              <w:pStyle w:val="enumlev1"/>
            </w:pPr>
            <w:r>
              <w:rPr>
                <w:rFonts w:eastAsia="Times New Roman"/>
              </w:rPr>
              <w:t>-</w:t>
            </w:r>
            <w:r>
              <w:rPr>
                <w:rFonts w:eastAsia="Times New Roman"/>
              </w:rPr>
              <w:tab/>
            </w:r>
            <w:r w:rsidR="00061F17" w:rsidRPr="00C71B8F">
              <w:rPr>
                <w:rFonts w:eastAsia="Times New Roman"/>
              </w:rPr>
              <w:t xml:space="preserve">Consideration </w:t>
            </w:r>
            <w:r w:rsidR="00061F17" w:rsidRPr="00C71B8F">
              <w:rPr>
                <w:shd w:val="clear" w:color="auto" w:fill="FFFFFF"/>
              </w:rPr>
              <w:t>of relevant documents of other Sectors and programmes</w:t>
            </w:r>
          </w:p>
        </w:tc>
        <w:tc>
          <w:tcPr>
            <w:tcW w:w="2399" w:type="dxa"/>
          </w:tcPr>
          <w:p w:rsidR="00061F17" w:rsidRPr="00C71B8F" w:rsidRDefault="00061F17" w:rsidP="00BE1873">
            <w:pPr>
              <w:pStyle w:val="Tabletext"/>
              <w:rPr>
                <w:lang w:val="en-US"/>
              </w:rPr>
            </w:pPr>
            <w:r w:rsidRPr="00C71B8F">
              <w:rPr>
                <w:lang w:val="en-US"/>
              </w:rPr>
              <w:t>BDT, Rapporteur’s Group</w:t>
            </w:r>
          </w:p>
        </w:tc>
      </w:tr>
    </w:tbl>
    <w:p w:rsidR="00C71B8F" w:rsidRDefault="00C71B8F" w:rsidP="00061F17">
      <w:pPr>
        <w:pStyle w:val="Heading1"/>
        <w:spacing w:before="360" w:after="120"/>
        <w:rPr>
          <w:szCs w:val="19"/>
        </w:rPr>
      </w:pPr>
      <w:bookmarkStart w:id="240" w:name="_Toc361912451"/>
      <w:r>
        <w:rPr>
          <w:szCs w:val="19"/>
        </w:rPr>
        <w:br w:type="page"/>
      </w:r>
    </w:p>
    <w:p w:rsidR="00061F17" w:rsidRPr="00C71B8F" w:rsidRDefault="00061F17" w:rsidP="00357951">
      <w:pPr>
        <w:pStyle w:val="Heading1"/>
        <w:tabs>
          <w:tab w:val="left" w:pos="1418"/>
        </w:tabs>
        <w:spacing w:before="360" w:after="120"/>
        <w:rPr>
          <w:smallCaps/>
          <w:szCs w:val="19"/>
        </w:rPr>
      </w:pPr>
      <w:bookmarkStart w:id="241" w:name="_Toc377482137"/>
      <w:r w:rsidRPr="00C71B8F">
        <w:rPr>
          <w:szCs w:val="19"/>
        </w:rPr>
        <w:lastRenderedPageBreak/>
        <w:t xml:space="preserve">Annex 9: </w:t>
      </w:r>
      <w:r w:rsidR="00357951">
        <w:rPr>
          <w:szCs w:val="19"/>
        </w:rPr>
        <w:tab/>
      </w:r>
      <w:r w:rsidRPr="00C71B8F">
        <w:rPr>
          <w:szCs w:val="19"/>
        </w:rPr>
        <w:t>Documents for Q23/1</w:t>
      </w:r>
      <w:r w:rsidR="008B2D4E">
        <w:rPr>
          <w:rStyle w:val="FootnoteReference"/>
          <w:szCs w:val="19"/>
        </w:rPr>
        <w:footnoteReference w:customMarkFollows="1" w:id="34"/>
        <w:t>*</w:t>
      </w:r>
      <w:bookmarkEnd w:id="241"/>
    </w:p>
    <w:bookmarkEnd w:id="240"/>
    <w:p w:rsidR="00061F17" w:rsidRPr="001970D2" w:rsidRDefault="00061F17" w:rsidP="00C71B8F">
      <w:pPr>
        <w:jc w:val="center"/>
        <w:rPr>
          <w:b/>
          <w:bCs/>
          <w:szCs w:val="19"/>
          <w:lang w:val="en-US"/>
        </w:rPr>
      </w:pPr>
    </w:p>
    <w:p w:rsidR="00061F17" w:rsidRPr="007A19CC" w:rsidRDefault="00061F17" w:rsidP="00061F17">
      <w:pPr>
        <w:spacing w:before="0"/>
        <w:rPr>
          <w:szCs w:val="19"/>
          <w:lang w:val="en-US"/>
        </w:rPr>
      </w:pPr>
      <w:bookmarkStart w:id="242" w:name="_Toc361912452"/>
    </w:p>
    <w:p w:rsidR="00061F17" w:rsidRPr="007A19CC" w:rsidRDefault="00061F17" w:rsidP="00061F17">
      <w:pPr>
        <w:spacing w:before="0"/>
        <w:rPr>
          <w:szCs w:val="19"/>
          <w:lang w:val="en-US"/>
        </w:rPr>
      </w:pPr>
    </w:p>
    <w:p w:rsidR="00C71B8F" w:rsidRDefault="00C71B8F" w:rsidP="00061F17">
      <w:pPr>
        <w:pStyle w:val="CEOcontributionStart"/>
        <w:spacing w:before="120"/>
        <w:rPr>
          <w:b/>
          <w:lang w:val="en-US"/>
        </w:rPr>
      </w:pPr>
      <w:r>
        <w:rPr>
          <w:b/>
          <w:lang w:val="en-US"/>
        </w:rPr>
        <w:br w:type="page"/>
      </w:r>
    </w:p>
    <w:p w:rsidR="00061F17" w:rsidRDefault="00061F17" w:rsidP="00357951">
      <w:pPr>
        <w:pStyle w:val="Heading1"/>
        <w:tabs>
          <w:tab w:val="left" w:pos="1418"/>
        </w:tabs>
      </w:pPr>
      <w:bookmarkStart w:id="243" w:name="_Toc377482138"/>
      <w:r w:rsidRPr="00BA33FF">
        <w:lastRenderedPageBreak/>
        <w:t>A</w:t>
      </w:r>
      <w:r>
        <w:t>nnex</w:t>
      </w:r>
      <w:r w:rsidRPr="00BA33FF">
        <w:t xml:space="preserve"> 10: </w:t>
      </w:r>
      <w:r w:rsidR="00357951">
        <w:tab/>
      </w:r>
      <w:r w:rsidRPr="00C91548">
        <w:t>A case study from India on EMF</w:t>
      </w:r>
      <w:bookmarkEnd w:id="243"/>
    </w:p>
    <w:p w:rsidR="00061F17" w:rsidRPr="00061F17" w:rsidRDefault="00061F17" w:rsidP="00A11960">
      <w:pPr>
        <w:pStyle w:val="Normalaftertitle"/>
      </w:pPr>
      <w:r w:rsidRPr="00061F17">
        <w:t>This contribution is shared among the members for information and also for comments. ITU is also requested to consider and take appropriate action as per the findings of this contribution. Formation of a Focus Group cutting across ITU-T, ITU-R, ITU-D may be necessary to study the various aspects considering the importance of the issue.</w:t>
      </w:r>
    </w:p>
    <w:p w:rsidR="00061F17" w:rsidRPr="00061F17" w:rsidRDefault="00061F17" w:rsidP="00061F17">
      <w:pPr>
        <w:rPr>
          <w:lang w:val="en-US"/>
        </w:rPr>
      </w:pPr>
      <w:r w:rsidRPr="00061F17">
        <w:rPr>
          <w:lang w:val="en-US"/>
        </w:rPr>
        <w:t xml:space="preserve">The deployment of different sources of electromagnetic fields to cater for the telecommunication and ICT needs of urban and rural communities has developed very rapidly over the past decade in India. This has been due to strong competition, presence of multiple operators (10 to 12 in each service area) on-going traffic growth, quality of service requirements, network coverage and introduction of new technologies. Indian Territory has been divided into 22 Licensing Service Areas for provision of mobile services in the country. Growing number of towers nearing more residential premises has produced increasing concern on the possible adverse effects of EMF exposure on people’s health. In India the issue has been raised by the public as well as by media. Accordingly, India adopted a policy on the EMF radiation covering Base Transmitting Station (BTS) and Mobile Handsets standard in the year 2008. </w:t>
      </w:r>
    </w:p>
    <w:p w:rsidR="00061F17" w:rsidRPr="001D6905" w:rsidRDefault="00061F17" w:rsidP="00061F17">
      <w:pPr>
        <w:rPr>
          <w:rFonts w:eastAsia="Times New Roman" w:cs="Arial"/>
          <w:b/>
          <w:bCs/>
          <w:szCs w:val="19"/>
          <w:lang w:val="en-GB" w:bidi="hi-IN"/>
        </w:rPr>
      </w:pPr>
      <w:r w:rsidRPr="001D6905">
        <w:rPr>
          <w:rFonts w:eastAsia="Times New Roman" w:cs="Arial"/>
          <w:b/>
          <w:szCs w:val="19"/>
          <w:lang w:val="en-GB" w:bidi="hi-IN"/>
        </w:rPr>
        <w:t>1.</w:t>
      </w:r>
      <w:r w:rsidRPr="001D6905">
        <w:rPr>
          <w:rFonts w:eastAsia="Times New Roman" w:cs="Arial"/>
          <w:b/>
          <w:szCs w:val="19"/>
          <w:lang w:val="en-GB" w:bidi="hi-IN"/>
        </w:rPr>
        <w:tab/>
        <w:t>Statement of the situation</w:t>
      </w:r>
    </w:p>
    <w:p w:rsidR="00061F17" w:rsidRPr="00061F17" w:rsidRDefault="00061F17" w:rsidP="00061F17">
      <w:pPr>
        <w:tabs>
          <w:tab w:val="left" w:pos="-4962"/>
        </w:tabs>
        <w:rPr>
          <w:rFonts w:eastAsia="MS Mincho" w:cs="Arial"/>
          <w:szCs w:val="19"/>
          <w:lang w:val="en-US"/>
        </w:rPr>
      </w:pPr>
      <w:r w:rsidRPr="00061F17">
        <w:rPr>
          <w:rFonts w:eastAsia="MS Mincho" w:cs="Arial"/>
          <w:szCs w:val="19"/>
          <w:lang w:val="en-US"/>
        </w:rPr>
        <w:t>1.1</w:t>
      </w:r>
      <w:r w:rsidRPr="00061F17">
        <w:rPr>
          <w:rFonts w:eastAsia="MS Mincho" w:cs="Arial"/>
          <w:szCs w:val="19"/>
          <w:lang w:val="en-US"/>
        </w:rPr>
        <w:tab/>
        <w:t xml:space="preserve">The deployment of different sources of electromagnetic fields to cater for the telecommunication and ICT needs of urban and rural communities has developed very rapidly over the past decade in India. This has been due to strong competition, presence of multiple operators (10 to 12 in each Service area) on-going traffic growth, quality of service requirements, network coverage and introduction of new technologies. Indian Territory has been divided into 22 Licensing Service Areas for provision of mobile services in the country. Licensed Service Area wise subscriber base for landline and mobile customer is enclosed as </w:t>
      </w:r>
      <w:r w:rsidRPr="00061F17">
        <w:rPr>
          <w:rFonts w:eastAsia="MS Mincho" w:cs="Arial"/>
          <w:b/>
          <w:szCs w:val="19"/>
          <w:lang w:val="en-US"/>
        </w:rPr>
        <w:t>Annex 10A</w:t>
      </w:r>
      <w:r w:rsidRPr="00061F17">
        <w:rPr>
          <w:rFonts w:eastAsia="MS Mincho" w:cs="Arial"/>
          <w:szCs w:val="19"/>
          <w:lang w:val="en-US"/>
        </w:rPr>
        <w:t>.</w:t>
      </w:r>
    </w:p>
    <w:p w:rsidR="00061F17" w:rsidRPr="00061F17" w:rsidRDefault="00061F17" w:rsidP="00061F17">
      <w:pPr>
        <w:tabs>
          <w:tab w:val="left" w:pos="-4962"/>
        </w:tabs>
        <w:rPr>
          <w:rFonts w:eastAsia="MS Mincho" w:cs="Arial"/>
          <w:szCs w:val="19"/>
          <w:lang w:val="en-US"/>
        </w:rPr>
      </w:pPr>
      <w:r w:rsidRPr="00061F17">
        <w:rPr>
          <w:rFonts w:eastAsia="MS Mincho" w:cs="Arial"/>
          <w:szCs w:val="19"/>
          <w:lang w:val="en-US"/>
        </w:rPr>
        <w:t>1.2</w:t>
      </w:r>
      <w:r w:rsidRPr="00061F17">
        <w:rPr>
          <w:rFonts w:eastAsia="MS Mincho" w:cs="Arial"/>
          <w:szCs w:val="19"/>
          <w:lang w:val="en-US"/>
        </w:rPr>
        <w:tab/>
        <w:t xml:space="preserve">Growing number of towers nearing more residential premises has produced increasing concern on the possible adverse effects of EMF exposure on people’s health. In India the issue has been raised by the public as well as by media. Accordingly, India adopted a policy on the EMF radiation covering Base Transmitting Station (BTS) and Mobile Handsets standard in the year 2008. Licensed Service Area wise details of BTS installed in the country is enclosed as </w:t>
      </w:r>
      <w:r w:rsidRPr="00061F17">
        <w:rPr>
          <w:rFonts w:eastAsia="MS Mincho" w:cs="Arial"/>
          <w:b/>
          <w:szCs w:val="19"/>
          <w:lang w:val="en-US"/>
        </w:rPr>
        <w:t>Annex 10B</w:t>
      </w:r>
      <w:r w:rsidRPr="00061F17">
        <w:rPr>
          <w:rFonts w:eastAsia="MS Mincho" w:cs="Arial"/>
          <w:szCs w:val="19"/>
          <w:lang w:val="en-US"/>
        </w:rPr>
        <w:t>.</w:t>
      </w:r>
    </w:p>
    <w:p w:rsidR="00061F17" w:rsidRPr="00061F17" w:rsidRDefault="00061F17" w:rsidP="00061F17">
      <w:pPr>
        <w:tabs>
          <w:tab w:val="left" w:pos="-4962"/>
        </w:tabs>
        <w:rPr>
          <w:rFonts w:eastAsia="MS Mincho" w:cs="Arial"/>
          <w:b/>
          <w:bCs/>
          <w:szCs w:val="19"/>
          <w:lang w:val="en-US"/>
        </w:rPr>
      </w:pPr>
      <w:r w:rsidRPr="00061F17">
        <w:rPr>
          <w:rFonts w:eastAsia="MS Mincho" w:cs="Arial"/>
          <w:b/>
          <w:szCs w:val="19"/>
          <w:lang w:val="en-US"/>
        </w:rPr>
        <w:t>2.</w:t>
      </w:r>
      <w:r w:rsidRPr="00061F17">
        <w:rPr>
          <w:rFonts w:eastAsia="MS Mincho" w:cs="Arial"/>
          <w:b/>
          <w:szCs w:val="19"/>
          <w:lang w:val="en-US"/>
        </w:rPr>
        <w:tab/>
        <w:t>Steps taken by Government of India</w:t>
      </w:r>
    </w:p>
    <w:p w:rsidR="00061F17" w:rsidRPr="00061F17" w:rsidRDefault="00061F17" w:rsidP="00061F17">
      <w:pPr>
        <w:rPr>
          <w:rFonts w:cs="Arial"/>
          <w:szCs w:val="19"/>
          <w:lang w:val="en-US"/>
        </w:rPr>
      </w:pPr>
      <w:r w:rsidRPr="00061F17">
        <w:rPr>
          <w:rFonts w:cs="Arial"/>
          <w:szCs w:val="19"/>
          <w:lang w:val="en-US"/>
        </w:rPr>
        <w:t>2.1</w:t>
      </w:r>
      <w:r w:rsidRPr="00061F17">
        <w:rPr>
          <w:rFonts w:cs="Arial"/>
          <w:szCs w:val="19"/>
          <w:lang w:val="en-US"/>
        </w:rPr>
        <w:tab/>
        <w:t xml:space="preserve">In its Fact Sheet No. 304 of 2006, WHO recommended that </w:t>
      </w:r>
      <w:r w:rsidRPr="00061F17">
        <w:rPr>
          <w:rFonts w:cs="Arial"/>
          <w:i/>
          <w:szCs w:val="19"/>
          <w:lang w:val="en-US"/>
        </w:rPr>
        <w:t>‘National authorities should adopt international standards to protect their citizens against adverse levels of RF fields. They should restrict access to areas where exposure limits may be exceeded.’</w:t>
      </w:r>
      <w:r w:rsidRPr="00061F17">
        <w:rPr>
          <w:rFonts w:cs="Arial"/>
          <w:szCs w:val="19"/>
          <w:lang w:val="en-US"/>
        </w:rPr>
        <w:t xml:space="preserve">  WHO has referred to the International Exposure Guidelines developed by International Commission on Non-Ionizing Radiation Protection (ICNIRP).</w:t>
      </w:r>
    </w:p>
    <w:p w:rsidR="00061F17" w:rsidRPr="00061F17" w:rsidRDefault="00061F17" w:rsidP="00061F17">
      <w:pPr>
        <w:tabs>
          <w:tab w:val="left" w:pos="-5670"/>
        </w:tabs>
        <w:rPr>
          <w:rFonts w:eastAsia="Times New Roman" w:cs="Arial"/>
          <w:szCs w:val="19"/>
          <w:lang w:val="en-US"/>
        </w:rPr>
      </w:pPr>
      <w:r w:rsidRPr="00061F17">
        <w:rPr>
          <w:rFonts w:eastAsia="Times New Roman" w:cs="Arial"/>
          <w:szCs w:val="19"/>
          <w:lang w:val="en-US"/>
        </w:rPr>
        <w:t>2.2</w:t>
      </w:r>
      <w:r w:rsidRPr="00061F17">
        <w:rPr>
          <w:rFonts w:eastAsia="Times New Roman" w:cs="Arial"/>
          <w:szCs w:val="19"/>
          <w:lang w:val="en-US"/>
        </w:rPr>
        <w:tab/>
        <w:t>Based on the recommendation of WHO, India adopted ICNIRP norms, in the year 2008, for basic restrictions &amp; reference level for limiting electro-magnetic field exposure from Base Stations as well as for mobile handsets and necessary provisions were made in the Unified Access Service Licence (Mobile Telephone Service operators’ license) on 4</w:t>
      </w:r>
      <w:r w:rsidRPr="00061F17">
        <w:rPr>
          <w:rFonts w:eastAsia="Times New Roman" w:cs="Arial"/>
          <w:szCs w:val="19"/>
          <w:vertAlign w:val="superscript"/>
          <w:lang w:val="en-US"/>
        </w:rPr>
        <w:t>th</w:t>
      </w:r>
      <w:r w:rsidRPr="00061F17">
        <w:rPr>
          <w:rFonts w:eastAsia="Times New Roman" w:cs="Arial"/>
          <w:szCs w:val="19"/>
          <w:lang w:val="en-US"/>
        </w:rPr>
        <w:t xml:space="preserve"> November, 2008. As per the provisions, </w:t>
      </w:r>
    </w:p>
    <w:p w:rsidR="00061F17" w:rsidRPr="00061F17" w:rsidRDefault="00061F17" w:rsidP="00061F17">
      <w:pPr>
        <w:tabs>
          <w:tab w:val="left" w:pos="-5670"/>
        </w:tabs>
        <w:rPr>
          <w:rFonts w:eastAsia="Times New Roman" w:cs="Arial"/>
          <w:i/>
          <w:szCs w:val="19"/>
          <w:lang w:val="en-US"/>
        </w:rPr>
      </w:pPr>
      <w:r w:rsidRPr="00061F17">
        <w:rPr>
          <w:rFonts w:eastAsia="Times New Roman" w:cs="Arial"/>
          <w:i/>
          <w:szCs w:val="19"/>
          <w:lang w:val="en-US"/>
        </w:rPr>
        <w:t xml:space="preserve">“Licensee shall conduct audit and provide self certificates annually as per procedure prescribed by Telecommunication Engineering Centre (TEC) / or any other agency authorized by Licensor from time to time for conforming to limits / levels for antennae ( Base Station Emissions) for general public exposure as prescribed by International Commission on Non-Ionizing Radiation Protection (ICNIRP) from time to time”. </w:t>
      </w:r>
    </w:p>
    <w:p w:rsidR="00C71B8F" w:rsidRDefault="00C71B8F" w:rsidP="00061F17">
      <w:pPr>
        <w:tabs>
          <w:tab w:val="left" w:pos="-5670"/>
        </w:tabs>
        <w:rPr>
          <w:rFonts w:cs="Arial"/>
          <w:szCs w:val="19"/>
          <w:lang w:val="en-US"/>
        </w:rPr>
      </w:pPr>
      <w:r>
        <w:rPr>
          <w:rFonts w:cs="Arial"/>
          <w:szCs w:val="19"/>
          <w:lang w:val="en-US"/>
        </w:rPr>
        <w:br w:type="page"/>
      </w:r>
    </w:p>
    <w:p w:rsidR="00061F17" w:rsidRDefault="00061F17" w:rsidP="00061F17">
      <w:pPr>
        <w:tabs>
          <w:tab w:val="left" w:pos="-5670"/>
        </w:tabs>
        <w:rPr>
          <w:rFonts w:cs="Arial"/>
          <w:szCs w:val="19"/>
          <w:lang w:val="en-US"/>
        </w:rPr>
      </w:pPr>
      <w:r w:rsidRPr="00061F17">
        <w:rPr>
          <w:rFonts w:cs="Arial"/>
          <w:szCs w:val="19"/>
          <w:lang w:val="en-US"/>
        </w:rPr>
        <w:lastRenderedPageBreak/>
        <w:t>The ICNIRP limits/levels are reproduced as detailed below:</w:t>
      </w:r>
    </w:p>
    <w:p w:rsidR="00C71B8F" w:rsidRPr="00061F17" w:rsidRDefault="00C71B8F" w:rsidP="00061F17">
      <w:pPr>
        <w:tabs>
          <w:tab w:val="left" w:pos="-5670"/>
        </w:tabs>
        <w:rPr>
          <w:rFonts w:cs="Arial"/>
          <w:szCs w:val="19"/>
          <w:lang w:val="en-US"/>
        </w:rPr>
      </w:pPr>
    </w:p>
    <w:tbl>
      <w:tblPr>
        <w:tblStyle w:val="Style1"/>
        <w:tblW w:w="4898" w:type="pct"/>
        <w:jc w:val="center"/>
        <w:tblInd w:w="135" w:type="dxa"/>
        <w:tblLook w:val="01E0" w:firstRow="1" w:lastRow="1" w:firstColumn="1" w:lastColumn="1" w:noHBand="0" w:noVBand="0"/>
      </w:tblPr>
      <w:tblGrid>
        <w:gridCol w:w="2268"/>
        <w:gridCol w:w="2245"/>
        <w:gridCol w:w="2405"/>
        <w:gridCol w:w="2180"/>
      </w:tblGrid>
      <w:tr w:rsidR="00061F17" w:rsidRPr="00E57763" w:rsidTr="00F22C89">
        <w:trPr>
          <w:cnfStyle w:val="100000000000" w:firstRow="1" w:lastRow="0" w:firstColumn="0" w:lastColumn="0" w:oddVBand="0" w:evenVBand="0" w:oddHBand="0" w:evenHBand="0" w:firstRowFirstColumn="0" w:firstRowLastColumn="0" w:lastRowFirstColumn="0" w:lastRowLastColumn="0"/>
          <w:jc w:val="center"/>
        </w:trPr>
        <w:tc>
          <w:tcPr>
            <w:tcW w:w="2268" w:type="dxa"/>
          </w:tcPr>
          <w:p w:rsidR="00061F17" w:rsidRPr="001D6905" w:rsidRDefault="00061F17" w:rsidP="00C71B8F">
            <w:pPr>
              <w:pStyle w:val="Tablehead"/>
            </w:pPr>
            <w:r w:rsidRPr="001D6905">
              <w:t>Frequency Range</w:t>
            </w:r>
          </w:p>
        </w:tc>
        <w:tc>
          <w:tcPr>
            <w:tcW w:w="2245" w:type="dxa"/>
          </w:tcPr>
          <w:p w:rsidR="00061F17" w:rsidRPr="00061F17" w:rsidRDefault="00061F17" w:rsidP="00C71B8F">
            <w:pPr>
              <w:pStyle w:val="Tablehead"/>
              <w:rPr>
                <w:lang w:val="de-CH"/>
              </w:rPr>
            </w:pPr>
            <w:r w:rsidRPr="00061F17">
              <w:rPr>
                <w:lang w:val="de-CH"/>
              </w:rPr>
              <w:t>E-Field Strength ( Volt/Meter (V/m))</w:t>
            </w:r>
          </w:p>
        </w:tc>
        <w:tc>
          <w:tcPr>
            <w:tcW w:w="2405" w:type="dxa"/>
          </w:tcPr>
          <w:p w:rsidR="00061F17" w:rsidRPr="00061F17" w:rsidRDefault="00061F17" w:rsidP="00C71B8F">
            <w:pPr>
              <w:pStyle w:val="Tablehead"/>
            </w:pPr>
            <w:r w:rsidRPr="00061F17">
              <w:t>H-Field Strength (Amp/Meter (A/m))</w:t>
            </w:r>
          </w:p>
        </w:tc>
        <w:tc>
          <w:tcPr>
            <w:tcW w:w="2180" w:type="dxa"/>
          </w:tcPr>
          <w:p w:rsidR="00061F17" w:rsidRPr="00061F17" w:rsidRDefault="00061F17" w:rsidP="00C71B8F">
            <w:pPr>
              <w:pStyle w:val="Tablehead"/>
            </w:pPr>
            <w:r w:rsidRPr="00061F17">
              <w:t>Power Density (Watt/Sq.Meter (W/Sq.m))</w:t>
            </w:r>
          </w:p>
        </w:tc>
      </w:tr>
      <w:tr w:rsidR="00061F17" w:rsidRPr="001D6905" w:rsidTr="00F22C89">
        <w:trPr>
          <w:cnfStyle w:val="000000100000" w:firstRow="0" w:lastRow="0" w:firstColumn="0" w:lastColumn="0" w:oddVBand="0" w:evenVBand="0" w:oddHBand="1" w:evenHBand="0" w:firstRowFirstColumn="0" w:firstRowLastColumn="0" w:lastRowFirstColumn="0" w:lastRowLastColumn="0"/>
          <w:jc w:val="center"/>
        </w:trPr>
        <w:tc>
          <w:tcPr>
            <w:tcW w:w="2268" w:type="dxa"/>
          </w:tcPr>
          <w:p w:rsidR="00061F17" w:rsidRPr="001D6905" w:rsidRDefault="00061F17" w:rsidP="00C71B8F">
            <w:pPr>
              <w:pStyle w:val="Tabletext"/>
            </w:pPr>
            <w:r w:rsidRPr="001D6905">
              <w:t>400MHz to 2000MHz</w:t>
            </w:r>
          </w:p>
        </w:tc>
        <w:tc>
          <w:tcPr>
            <w:tcW w:w="2245" w:type="dxa"/>
          </w:tcPr>
          <w:p w:rsidR="00061F17" w:rsidRPr="001D6905" w:rsidRDefault="00061F17" w:rsidP="00C71B8F">
            <w:pPr>
              <w:pStyle w:val="Tabletext"/>
            </w:pPr>
            <w:r w:rsidRPr="001D6905">
              <w:t xml:space="preserve">1.375f </w:t>
            </w:r>
            <w:r w:rsidRPr="001D6905">
              <w:rPr>
                <w:vertAlign w:val="superscript"/>
              </w:rPr>
              <w:t>½</w:t>
            </w:r>
          </w:p>
        </w:tc>
        <w:tc>
          <w:tcPr>
            <w:tcW w:w="2405" w:type="dxa"/>
          </w:tcPr>
          <w:p w:rsidR="00061F17" w:rsidRPr="001D6905" w:rsidRDefault="00061F17" w:rsidP="00C71B8F">
            <w:pPr>
              <w:pStyle w:val="Tabletext"/>
            </w:pPr>
            <w:r w:rsidRPr="001D6905">
              <w:t xml:space="preserve">0.0037f </w:t>
            </w:r>
            <w:r w:rsidRPr="001D6905">
              <w:rPr>
                <w:vertAlign w:val="superscript"/>
              </w:rPr>
              <w:t>½</w:t>
            </w:r>
          </w:p>
        </w:tc>
        <w:tc>
          <w:tcPr>
            <w:tcW w:w="2180" w:type="dxa"/>
          </w:tcPr>
          <w:p w:rsidR="00061F17" w:rsidRPr="001D6905" w:rsidRDefault="00061F17" w:rsidP="00C71B8F">
            <w:pPr>
              <w:pStyle w:val="Tabletext"/>
            </w:pPr>
            <w:r w:rsidRPr="001D6905">
              <w:t>f/200</w:t>
            </w:r>
          </w:p>
        </w:tc>
      </w:tr>
      <w:tr w:rsidR="00061F17" w:rsidRPr="001D6905" w:rsidTr="00F22C89">
        <w:trPr>
          <w:cnfStyle w:val="000000010000" w:firstRow="0" w:lastRow="0" w:firstColumn="0" w:lastColumn="0" w:oddVBand="0" w:evenVBand="0" w:oddHBand="0" w:evenHBand="1" w:firstRowFirstColumn="0" w:firstRowLastColumn="0" w:lastRowFirstColumn="0" w:lastRowLastColumn="0"/>
          <w:jc w:val="center"/>
        </w:trPr>
        <w:tc>
          <w:tcPr>
            <w:tcW w:w="2268" w:type="dxa"/>
          </w:tcPr>
          <w:p w:rsidR="00061F17" w:rsidRPr="001D6905" w:rsidRDefault="00061F17" w:rsidP="00C71B8F">
            <w:pPr>
              <w:pStyle w:val="Tabletext"/>
            </w:pPr>
            <w:r w:rsidRPr="001D6905">
              <w:t>2GHz to 300GHz</w:t>
            </w:r>
          </w:p>
        </w:tc>
        <w:tc>
          <w:tcPr>
            <w:tcW w:w="2245" w:type="dxa"/>
          </w:tcPr>
          <w:p w:rsidR="00061F17" w:rsidRPr="001D6905" w:rsidRDefault="00061F17" w:rsidP="00C71B8F">
            <w:pPr>
              <w:pStyle w:val="Tabletext"/>
            </w:pPr>
            <w:r w:rsidRPr="001D6905">
              <w:t>61</w:t>
            </w:r>
          </w:p>
        </w:tc>
        <w:tc>
          <w:tcPr>
            <w:tcW w:w="2405" w:type="dxa"/>
          </w:tcPr>
          <w:p w:rsidR="00061F17" w:rsidRPr="001D6905" w:rsidRDefault="00061F17" w:rsidP="00C71B8F">
            <w:pPr>
              <w:pStyle w:val="Tabletext"/>
            </w:pPr>
            <w:r w:rsidRPr="001D6905">
              <w:t>0.16</w:t>
            </w:r>
          </w:p>
        </w:tc>
        <w:tc>
          <w:tcPr>
            <w:tcW w:w="2180" w:type="dxa"/>
          </w:tcPr>
          <w:p w:rsidR="00061F17" w:rsidRPr="001D6905" w:rsidRDefault="00061F17" w:rsidP="00C71B8F">
            <w:pPr>
              <w:pStyle w:val="Tabletext"/>
            </w:pPr>
            <w:r w:rsidRPr="001D6905">
              <w:t>10</w:t>
            </w:r>
          </w:p>
        </w:tc>
      </w:tr>
    </w:tbl>
    <w:p w:rsidR="00061F17" w:rsidRPr="001D6905" w:rsidRDefault="00061F17" w:rsidP="004D77DC">
      <w:pPr>
        <w:pStyle w:val="Tablesource"/>
      </w:pPr>
      <w:r w:rsidRPr="001D6905">
        <w:t>(f = frequency in MHz)</w:t>
      </w:r>
    </w:p>
    <w:p w:rsidR="00061F17" w:rsidRPr="001D6905" w:rsidRDefault="00061F17" w:rsidP="00061F17">
      <w:pPr>
        <w:tabs>
          <w:tab w:val="left" w:pos="-4962"/>
        </w:tabs>
        <w:rPr>
          <w:rFonts w:eastAsia="Calibri" w:cs="Arial"/>
          <w:szCs w:val="19"/>
        </w:rPr>
      </w:pPr>
      <w:r w:rsidRPr="00061F17">
        <w:rPr>
          <w:rFonts w:cs="Arial"/>
          <w:szCs w:val="19"/>
          <w:lang w:val="en-US"/>
        </w:rPr>
        <w:t>2.3</w:t>
      </w:r>
      <w:r w:rsidRPr="00061F17">
        <w:rPr>
          <w:rFonts w:cs="Arial"/>
          <w:szCs w:val="19"/>
          <w:lang w:val="en-US"/>
        </w:rPr>
        <w:tab/>
      </w:r>
      <w:r w:rsidRPr="00061F17">
        <w:rPr>
          <w:rFonts w:eastAsia="MS Mincho" w:cs="Arial"/>
          <w:szCs w:val="19"/>
          <w:lang w:val="en-US"/>
        </w:rPr>
        <w:t>Department of Telecommunications (DoT), Government of India further issued instructions on 8</w:t>
      </w:r>
      <w:r w:rsidRPr="00061F17">
        <w:rPr>
          <w:rFonts w:eastAsia="MS Mincho" w:cs="Arial"/>
          <w:szCs w:val="19"/>
          <w:vertAlign w:val="superscript"/>
          <w:lang w:val="en-US"/>
        </w:rPr>
        <w:t>th</w:t>
      </w:r>
      <w:r w:rsidRPr="00061F17">
        <w:rPr>
          <w:rFonts w:eastAsia="MS Mincho" w:cs="Arial"/>
          <w:szCs w:val="19"/>
          <w:lang w:val="en-US"/>
        </w:rPr>
        <w:t xml:space="preserve"> April, 2010 to all the mobile operators regarding implementation of radiation norms on Electro Magnetic Field (EMF) exposure by Base Transceiver Stations (BTSs) by submitting the self certification for each and every BTS. </w:t>
      </w:r>
      <w:r w:rsidRPr="001D6905">
        <w:rPr>
          <w:rFonts w:eastAsia="MS Mincho" w:cs="Arial"/>
          <w:szCs w:val="19"/>
        </w:rPr>
        <w:t xml:space="preserve">The instructions, </w:t>
      </w:r>
      <w:r w:rsidRPr="001D6905">
        <w:rPr>
          <w:rFonts w:eastAsia="Calibri" w:cs="Arial"/>
          <w:szCs w:val="19"/>
        </w:rPr>
        <w:t>inter-alia, include the following:</w:t>
      </w:r>
    </w:p>
    <w:p w:rsidR="00061F17" w:rsidRPr="00061F17" w:rsidRDefault="00061F17" w:rsidP="00F00BDA">
      <w:pPr>
        <w:numPr>
          <w:ilvl w:val="0"/>
          <w:numId w:val="15"/>
        </w:numPr>
        <w:spacing w:after="120"/>
        <w:ind w:left="567" w:hanging="567"/>
        <w:jc w:val="left"/>
        <w:rPr>
          <w:rFonts w:eastAsia="Calibri" w:cs="Arial"/>
          <w:szCs w:val="19"/>
          <w:lang w:val="en-US"/>
        </w:rPr>
      </w:pPr>
      <w:r w:rsidRPr="00061F17">
        <w:rPr>
          <w:rFonts w:eastAsia="Calibri" w:cs="Arial"/>
          <w:szCs w:val="19"/>
          <w:lang w:val="en-US"/>
        </w:rPr>
        <w:t>All Base Station Transceivers (BTSs) must be self certified as meeting the radiation norms.  Self certification is submitted to respective Telecom Enforcement Resource &amp; Monitoring (TERM) Cells of DoT by the telecom service providers.</w:t>
      </w:r>
    </w:p>
    <w:p w:rsidR="00061F17" w:rsidRPr="00061F17" w:rsidRDefault="00061F17" w:rsidP="00F00BDA">
      <w:pPr>
        <w:numPr>
          <w:ilvl w:val="0"/>
          <w:numId w:val="15"/>
        </w:numPr>
        <w:tabs>
          <w:tab w:val="left" w:pos="-5103"/>
        </w:tabs>
        <w:spacing w:after="120"/>
        <w:ind w:left="567" w:hanging="567"/>
        <w:jc w:val="left"/>
        <w:rPr>
          <w:rFonts w:eastAsia="Calibri" w:cs="Arial"/>
          <w:szCs w:val="19"/>
          <w:lang w:val="en-US"/>
        </w:rPr>
      </w:pPr>
      <w:r w:rsidRPr="00061F17">
        <w:rPr>
          <w:rFonts w:eastAsia="Calibri" w:cs="Arial"/>
          <w:szCs w:val="19"/>
          <w:lang w:val="en-US"/>
        </w:rPr>
        <w:t>All new BTS sites start radiating only after self certificate has been submitted to relevant TERM Cells.</w:t>
      </w:r>
    </w:p>
    <w:p w:rsidR="00061F17" w:rsidRPr="00061F17" w:rsidRDefault="00061F17" w:rsidP="00F00BDA">
      <w:pPr>
        <w:numPr>
          <w:ilvl w:val="0"/>
          <w:numId w:val="15"/>
        </w:numPr>
        <w:spacing w:after="120"/>
        <w:ind w:left="567" w:hanging="567"/>
        <w:jc w:val="left"/>
        <w:rPr>
          <w:rFonts w:eastAsia="Calibri" w:cs="Arial"/>
          <w:szCs w:val="19"/>
          <w:lang w:val="en-US"/>
        </w:rPr>
      </w:pPr>
      <w:r w:rsidRPr="00061F17">
        <w:rPr>
          <w:rFonts w:eastAsia="Calibri" w:cs="Arial"/>
          <w:szCs w:val="19"/>
          <w:lang w:val="en-US"/>
        </w:rPr>
        <w:t>The TERM Cell tests upto 10 per cent of BTS sites randomly at its discretion.  Additionally, BTS sites against which there are public complaints are also be tested by TERM Cell.</w:t>
      </w:r>
    </w:p>
    <w:p w:rsidR="00061F17" w:rsidRPr="00061F17" w:rsidRDefault="00061F17" w:rsidP="00F00BDA">
      <w:pPr>
        <w:numPr>
          <w:ilvl w:val="0"/>
          <w:numId w:val="15"/>
        </w:numPr>
        <w:spacing w:after="120"/>
        <w:ind w:left="567" w:hanging="567"/>
        <w:jc w:val="left"/>
        <w:rPr>
          <w:rFonts w:eastAsia="Calibri" w:cs="Arial"/>
          <w:szCs w:val="19"/>
          <w:lang w:val="en-US"/>
        </w:rPr>
      </w:pPr>
      <w:r w:rsidRPr="00061F17">
        <w:rPr>
          <w:rFonts w:eastAsia="Calibri" w:cs="Arial"/>
          <w:szCs w:val="19"/>
          <w:lang w:val="en-US"/>
        </w:rPr>
        <w:t>If a site fails to meet the Electro Magnetic Radiation criterion, there is a provision of penalty of Rs.5 lakh (about US$10,000) per BTS per service provider. Service providers must meet the criterion within one month of the report of TERM Cell in such cases, after which site will be shut down.</w:t>
      </w:r>
    </w:p>
    <w:p w:rsidR="00061F17" w:rsidRDefault="00061F17" w:rsidP="00061F17">
      <w:pPr>
        <w:rPr>
          <w:rFonts w:cs="Arial"/>
          <w:szCs w:val="19"/>
          <w:lang w:val="en-US"/>
        </w:rPr>
      </w:pPr>
      <w:r w:rsidRPr="00061F17">
        <w:rPr>
          <w:rFonts w:cs="Arial"/>
          <w:szCs w:val="19"/>
          <w:lang w:val="en-US"/>
        </w:rPr>
        <w:t>2.4</w:t>
      </w:r>
      <w:r w:rsidRPr="00061F17">
        <w:rPr>
          <w:rFonts w:cs="Arial"/>
          <w:szCs w:val="19"/>
          <w:lang w:val="en-US"/>
        </w:rPr>
        <w:tab/>
        <w:t>In year 2008, Department of Telecommunications had adopted International Commission on Non-Ionizing Radiation Protection (ICNIRP) guidelines for mobile handsets also. ICNIRP prescribed the following values for Specific Absorption Rate (SAR) for mobile handset:</w:t>
      </w:r>
    </w:p>
    <w:p w:rsidR="00C71B8F" w:rsidRPr="00061F17" w:rsidRDefault="00C71B8F" w:rsidP="00061F17">
      <w:pPr>
        <w:rPr>
          <w:rFonts w:cs="Arial"/>
          <w:szCs w:val="19"/>
          <w:lang w:val="en-US"/>
        </w:rPr>
      </w:pPr>
    </w:p>
    <w:tbl>
      <w:tblPr>
        <w:tblStyle w:val="Style1"/>
        <w:tblW w:w="4913" w:type="pct"/>
        <w:jc w:val="center"/>
        <w:tblInd w:w="162" w:type="dxa"/>
        <w:tblLook w:val="04A0" w:firstRow="1" w:lastRow="0" w:firstColumn="1" w:lastColumn="0" w:noHBand="0" w:noVBand="1"/>
      </w:tblPr>
      <w:tblGrid>
        <w:gridCol w:w="2156"/>
        <w:gridCol w:w="2269"/>
        <w:gridCol w:w="2350"/>
        <w:gridCol w:w="2350"/>
      </w:tblGrid>
      <w:tr w:rsidR="00061F17" w:rsidRPr="00E57763" w:rsidTr="00F22C89">
        <w:trPr>
          <w:cnfStyle w:val="100000000000" w:firstRow="1" w:lastRow="0" w:firstColumn="0" w:lastColumn="0" w:oddVBand="0" w:evenVBand="0" w:oddHBand="0" w:evenHBand="0" w:firstRowFirstColumn="0" w:firstRowLastColumn="0" w:lastRowFirstColumn="0" w:lastRowLastColumn="0"/>
          <w:jc w:val="center"/>
        </w:trPr>
        <w:tc>
          <w:tcPr>
            <w:tcW w:w="2156" w:type="dxa"/>
          </w:tcPr>
          <w:p w:rsidR="00061F17" w:rsidRPr="00061F17" w:rsidRDefault="00061F17" w:rsidP="00C71B8F">
            <w:pPr>
              <w:pStyle w:val="Tablehead"/>
            </w:pPr>
            <w:r w:rsidRPr="00061F17">
              <w:t xml:space="preserve">For Frequency Range </w:t>
            </w:r>
            <w:r w:rsidR="00F22C89">
              <w:br/>
            </w:r>
            <w:r w:rsidRPr="00061F17">
              <w:t>10 MHz to 10 GHz</w:t>
            </w:r>
          </w:p>
        </w:tc>
        <w:tc>
          <w:tcPr>
            <w:tcW w:w="2269" w:type="dxa"/>
          </w:tcPr>
          <w:p w:rsidR="00061F17" w:rsidRPr="00061F17" w:rsidRDefault="00061F17" w:rsidP="00C71B8F">
            <w:pPr>
              <w:pStyle w:val="Tablehead"/>
            </w:pPr>
            <w:r w:rsidRPr="00061F17">
              <w:t>Whole body average SAR (W/Kg)</w:t>
            </w:r>
          </w:p>
        </w:tc>
        <w:tc>
          <w:tcPr>
            <w:tcW w:w="2350" w:type="dxa"/>
          </w:tcPr>
          <w:p w:rsidR="00061F17" w:rsidRPr="00061F17" w:rsidRDefault="00061F17" w:rsidP="00C71B8F">
            <w:pPr>
              <w:pStyle w:val="Tablehead"/>
            </w:pPr>
            <w:r w:rsidRPr="00061F17">
              <w:t>Localised SAR head &amp; trunk (W/Kg)</w:t>
            </w:r>
          </w:p>
        </w:tc>
        <w:tc>
          <w:tcPr>
            <w:tcW w:w="2350" w:type="dxa"/>
          </w:tcPr>
          <w:p w:rsidR="00061F17" w:rsidRPr="00061F17" w:rsidRDefault="00061F17" w:rsidP="00C71B8F">
            <w:pPr>
              <w:pStyle w:val="Tablehead"/>
            </w:pPr>
            <w:r w:rsidRPr="00061F17">
              <w:t>Localised SAR limbs (W/Kg)</w:t>
            </w:r>
          </w:p>
        </w:tc>
      </w:tr>
      <w:tr w:rsidR="00061F17" w:rsidRPr="001D6905" w:rsidTr="00F22C89">
        <w:trPr>
          <w:cnfStyle w:val="000000100000" w:firstRow="0" w:lastRow="0" w:firstColumn="0" w:lastColumn="0" w:oddVBand="0" w:evenVBand="0" w:oddHBand="1" w:evenHBand="0" w:firstRowFirstColumn="0" w:firstRowLastColumn="0" w:lastRowFirstColumn="0" w:lastRowLastColumn="0"/>
          <w:jc w:val="center"/>
        </w:trPr>
        <w:tc>
          <w:tcPr>
            <w:tcW w:w="2156" w:type="dxa"/>
          </w:tcPr>
          <w:p w:rsidR="00061F17" w:rsidRPr="001D6905" w:rsidRDefault="00061F17" w:rsidP="00C71B8F">
            <w:pPr>
              <w:pStyle w:val="Tabletext"/>
            </w:pPr>
            <w:r w:rsidRPr="001D6905">
              <w:t>General Public Exposure</w:t>
            </w:r>
          </w:p>
        </w:tc>
        <w:tc>
          <w:tcPr>
            <w:tcW w:w="2269" w:type="dxa"/>
          </w:tcPr>
          <w:p w:rsidR="00061F17" w:rsidRPr="001D6905" w:rsidRDefault="00061F17" w:rsidP="00C71B8F">
            <w:pPr>
              <w:pStyle w:val="Tabletext"/>
            </w:pPr>
            <w:r w:rsidRPr="001D6905">
              <w:t>0.08</w:t>
            </w:r>
          </w:p>
        </w:tc>
        <w:tc>
          <w:tcPr>
            <w:tcW w:w="2350" w:type="dxa"/>
          </w:tcPr>
          <w:p w:rsidR="00061F17" w:rsidRPr="001D6905" w:rsidRDefault="00061F17" w:rsidP="00C71B8F">
            <w:pPr>
              <w:pStyle w:val="Tabletext"/>
            </w:pPr>
            <w:r w:rsidRPr="001D6905">
              <w:t>2</w:t>
            </w:r>
          </w:p>
        </w:tc>
        <w:tc>
          <w:tcPr>
            <w:tcW w:w="2350" w:type="dxa"/>
          </w:tcPr>
          <w:p w:rsidR="00061F17" w:rsidRPr="001D6905" w:rsidRDefault="00061F17" w:rsidP="00C71B8F">
            <w:pPr>
              <w:pStyle w:val="Tabletext"/>
            </w:pPr>
            <w:r w:rsidRPr="001D6905">
              <w:t>4</w:t>
            </w:r>
          </w:p>
        </w:tc>
      </w:tr>
    </w:tbl>
    <w:p w:rsidR="00C71B8F" w:rsidRDefault="00C71B8F" w:rsidP="00061F17">
      <w:pPr>
        <w:rPr>
          <w:rFonts w:cs="Arial"/>
          <w:szCs w:val="19"/>
          <w:lang w:val="en-US"/>
        </w:rPr>
      </w:pPr>
    </w:p>
    <w:p w:rsidR="00061F17" w:rsidRPr="00061F17" w:rsidRDefault="00061F17" w:rsidP="00061F17">
      <w:pPr>
        <w:rPr>
          <w:rFonts w:eastAsia="Calibri" w:cs="Arial"/>
          <w:szCs w:val="19"/>
          <w:lang w:val="en-US"/>
        </w:rPr>
      </w:pPr>
      <w:r w:rsidRPr="00061F17">
        <w:rPr>
          <w:rFonts w:cs="Arial"/>
          <w:szCs w:val="19"/>
          <w:lang w:val="en-US"/>
        </w:rPr>
        <w:t>2.5</w:t>
      </w:r>
      <w:r w:rsidRPr="00061F17">
        <w:rPr>
          <w:rFonts w:cs="Arial"/>
          <w:szCs w:val="19"/>
          <w:lang w:val="en-US"/>
        </w:rPr>
        <w:tab/>
      </w:r>
      <w:r w:rsidRPr="00061F17">
        <w:rPr>
          <w:rFonts w:eastAsia="Calibri" w:cs="Arial"/>
          <w:szCs w:val="19"/>
          <w:lang w:val="en-US"/>
        </w:rPr>
        <w:t xml:space="preserve">For the mobile handsets, DoT, in the year 2008, had issued instructions to the indigenous manufacturers to conform to ICNIRP prescribed Specific Absorption Rate (SAR) limit of 2 W/kg (averaged over 10 gm tissue) in the frequency range of 10 MHz to 10 GHz. </w:t>
      </w:r>
    </w:p>
    <w:p w:rsidR="00061F17" w:rsidRPr="00061F17" w:rsidRDefault="00061F17" w:rsidP="00061F17">
      <w:pPr>
        <w:rPr>
          <w:rFonts w:cs="Arial"/>
          <w:b/>
          <w:bCs/>
          <w:szCs w:val="19"/>
          <w:lang w:val="en-US"/>
        </w:rPr>
      </w:pPr>
      <w:r w:rsidRPr="00061F17">
        <w:rPr>
          <w:rFonts w:cs="Arial"/>
          <w:b/>
          <w:szCs w:val="19"/>
          <w:lang w:val="en-US"/>
        </w:rPr>
        <w:t>3.</w:t>
      </w:r>
      <w:r w:rsidRPr="00061F17">
        <w:rPr>
          <w:rFonts w:cs="Arial"/>
          <w:b/>
          <w:szCs w:val="19"/>
          <w:lang w:val="en-US"/>
        </w:rPr>
        <w:tab/>
        <w:t>Inter-Ministerial Committee</w:t>
      </w:r>
    </w:p>
    <w:p w:rsidR="00061F17" w:rsidRPr="00061F17" w:rsidRDefault="00061F17" w:rsidP="00061F17">
      <w:pPr>
        <w:rPr>
          <w:rFonts w:cs="Arial"/>
          <w:bCs/>
          <w:szCs w:val="19"/>
          <w:lang w:val="en-US"/>
        </w:rPr>
      </w:pPr>
      <w:r w:rsidRPr="00061F17">
        <w:rPr>
          <w:rFonts w:cs="Arial"/>
          <w:szCs w:val="19"/>
          <w:lang w:val="en-US"/>
        </w:rPr>
        <w:t>3.1</w:t>
      </w:r>
      <w:r w:rsidRPr="00061F17">
        <w:rPr>
          <w:rFonts w:cs="Arial"/>
          <w:szCs w:val="19"/>
          <w:lang w:val="en-US"/>
        </w:rPr>
        <w:tab/>
        <w:t xml:space="preserve">Subsequently, based on public concern and media reports, Government of India set up an Inter-Ministerial Committee (IMC) on 24.08.2010 consisting of representatives from DoT, Indian Council of Medical Research (Ministry of Health), Department of Biotechnology and Ministry of Environment and Forest to examine the effect of EMF Radiation from mobile base stations and mobile phones. </w:t>
      </w:r>
    </w:p>
    <w:p w:rsidR="00061F17" w:rsidRPr="00061F17" w:rsidRDefault="00061F17" w:rsidP="00061F17">
      <w:pPr>
        <w:autoSpaceDE w:val="0"/>
        <w:autoSpaceDN w:val="0"/>
        <w:rPr>
          <w:rFonts w:cs="Arial"/>
          <w:szCs w:val="19"/>
          <w:lang w:val="en-US"/>
        </w:rPr>
      </w:pPr>
      <w:r w:rsidRPr="00061F17">
        <w:rPr>
          <w:rFonts w:cs="Arial"/>
          <w:szCs w:val="19"/>
          <w:lang w:val="en-US"/>
        </w:rPr>
        <w:t>3.2</w:t>
      </w:r>
      <w:r w:rsidRPr="00061F17">
        <w:rPr>
          <w:rFonts w:cs="Arial"/>
          <w:szCs w:val="19"/>
          <w:lang w:val="en-US"/>
        </w:rPr>
        <w:tab/>
        <w:t>Inter-Ministerial Committee (IMC) in its report submitted in the year 2011 examined the environmental and health related concerns and indicated that most of the laboratory studies were unable to find a direct link between exposure to radio frequency radiation and health; and the scientific studies as yet have not been able to confirm a cause and effect relationship between radio frequency radiation and health. The effect of emission from cell phone towers is not known yet with certainty. The inter-ministerial committee (IMC) examined 90 international and national studies/reference papers, related with the EMF radiation, before finalizing its recommendations.</w:t>
      </w:r>
    </w:p>
    <w:p w:rsidR="00061F17" w:rsidRPr="00061F17" w:rsidRDefault="00061F17" w:rsidP="00061F17">
      <w:pPr>
        <w:rPr>
          <w:rFonts w:cs="Arial"/>
          <w:bCs/>
          <w:szCs w:val="19"/>
          <w:lang w:val="en-US"/>
        </w:rPr>
      </w:pPr>
      <w:r w:rsidRPr="00061F17">
        <w:rPr>
          <w:rFonts w:cs="Arial"/>
          <w:szCs w:val="19"/>
          <w:lang w:val="en-US"/>
        </w:rPr>
        <w:lastRenderedPageBreak/>
        <w:t>3.3</w:t>
      </w:r>
      <w:r w:rsidRPr="00061F17">
        <w:rPr>
          <w:rFonts w:cs="Arial"/>
          <w:szCs w:val="19"/>
          <w:lang w:val="en-US"/>
        </w:rPr>
        <w:tab/>
        <w:t>However, as a precautionary measure, IMC recommended for lowering of the BTS RF exposure limits to 1/10</w:t>
      </w:r>
      <w:r w:rsidRPr="00061F17">
        <w:rPr>
          <w:rFonts w:cs="Arial"/>
          <w:szCs w:val="19"/>
          <w:vertAlign w:val="superscript"/>
          <w:lang w:val="en-US"/>
        </w:rPr>
        <w:t>th</w:t>
      </w:r>
      <w:r w:rsidRPr="00061F17">
        <w:rPr>
          <w:rFonts w:cs="Arial"/>
          <w:szCs w:val="19"/>
          <w:lang w:val="en-US"/>
        </w:rPr>
        <w:t xml:space="preserve"> of the ICNIRP limit and adoption of Specific Absorption Rate (SAR) level for mobile handsets limits to 1.6 Watt/Kg (averaged over 1 gm of tissue) in place 2.0 Watt/Kg in India.</w:t>
      </w:r>
    </w:p>
    <w:p w:rsidR="00061F17" w:rsidRDefault="00061F17" w:rsidP="00061F17">
      <w:pPr>
        <w:rPr>
          <w:rFonts w:cs="Arial"/>
          <w:szCs w:val="19"/>
          <w:lang w:val="en-US"/>
        </w:rPr>
      </w:pPr>
      <w:r w:rsidRPr="00061F17">
        <w:rPr>
          <w:rFonts w:cs="Arial"/>
          <w:szCs w:val="19"/>
          <w:lang w:val="en-US"/>
        </w:rPr>
        <w:t>3.4</w:t>
      </w:r>
      <w:r w:rsidRPr="00061F17">
        <w:rPr>
          <w:rFonts w:cs="Arial"/>
          <w:szCs w:val="19"/>
          <w:lang w:val="en-US"/>
        </w:rPr>
        <w:tab/>
        <w:t>The recommendations of the Inter Ministerial Committee were accepted by the Government of India. Accordingly, in respect of BTS, norms for exposure limit for the Radio Frequency Field (Base Station Emissions) were reduced to 1/10</w:t>
      </w:r>
      <w:r w:rsidRPr="00061F17">
        <w:rPr>
          <w:rFonts w:cs="Arial"/>
          <w:szCs w:val="19"/>
          <w:vertAlign w:val="superscript"/>
          <w:lang w:val="en-US"/>
        </w:rPr>
        <w:t>th</w:t>
      </w:r>
      <w:r w:rsidRPr="00061F17">
        <w:rPr>
          <w:rFonts w:cs="Arial"/>
          <w:szCs w:val="19"/>
          <w:lang w:val="en-US"/>
        </w:rPr>
        <w:t xml:space="preserve"> of the limits prescribed by ICNIRP with effect from 1</w:t>
      </w:r>
      <w:r w:rsidRPr="00061F17">
        <w:rPr>
          <w:rFonts w:cs="Arial"/>
          <w:szCs w:val="19"/>
          <w:vertAlign w:val="superscript"/>
          <w:lang w:val="en-US"/>
        </w:rPr>
        <w:t>st</w:t>
      </w:r>
      <w:r w:rsidRPr="00061F17">
        <w:rPr>
          <w:rFonts w:cs="Arial"/>
          <w:szCs w:val="19"/>
          <w:lang w:val="en-US"/>
        </w:rPr>
        <w:t xml:space="preserve"> September 2012. The revised limits/levels for India for BTS Emission is as below:</w:t>
      </w:r>
    </w:p>
    <w:p w:rsidR="00C71B8F" w:rsidRPr="00061F17" w:rsidRDefault="00C71B8F" w:rsidP="00061F17">
      <w:pPr>
        <w:rPr>
          <w:rFonts w:cs="Arial"/>
          <w:bCs/>
          <w:szCs w:val="19"/>
          <w:lang w:val="en-US"/>
        </w:rPr>
      </w:pPr>
    </w:p>
    <w:tbl>
      <w:tblPr>
        <w:tblStyle w:val="Style1"/>
        <w:tblW w:w="4913" w:type="pct"/>
        <w:jc w:val="center"/>
        <w:tblInd w:w="162" w:type="dxa"/>
        <w:tblLook w:val="01E0" w:firstRow="1" w:lastRow="1" w:firstColumn="1" w:lastColumn="1" w:noHBand="0" w:noVBand="0"/>
      </w:tblPr>
      <w:tblGrid>
        <w:gridCol w:w="2157"/>
        <w:gridCol w:w="2161"/>
        <w:gridCol w:w="2659"/>
        <w:gridCol w:w="2148"/>
      </w:tblGrid>
      <w:tr w:rsidR="00061F17" w:rsidRPr="00E57763" w:rsidTr="00F22C89">
        <w:trPr>
          <w:cnfStyle w:val="100000000000" w:firstRow="1" w:lastRow="0" w:firstColumn="0" w:lastColumn="0" w:oddVBand="0" w:evenVBand="0" w:oddHBand="0" w:evenHBand="0" w:firstRowFirstColumn="0" w:firstRowLastColumn="0" w:lastRowFirstColumn="0" w:lastRowLastColumn="0"/>
          <w:jc w:val="center"/>
        </w:trPr>
        <w:tc>
          <w:tcPr>
            <w:tcW w:w="2157" w:type="dxa"/>
          </w:tcPr>
          <w:p w:rsidR="00061F17" w:rsidRPr="001D6905" w:rsidRDefault="00061F17" w:rsidP="00C71B8F">
            <w:pPr>
              <w:pStyle w:val="Tablehead"/>
            </w:pPr>
            <w:r w:rsidRPr="001D6905">
              <w:t>Frequency Range</w:t>
            </w:r>
          </w:p>
        </w:tc>
        <w:tc>
          <w:tcPr>
            <w:tcW w:w="2161" w:type="dxa"/>
          </w:tcPr>
          <w:p w:rsidR="00061F17" w:rsidRPr="00061F17" w:rsidRDefault="00061F17" w:rsidP="00C71B8F">
            <w:pPr>
              <w:pStyle w:val="Tablehead"/>
              <w:rPr>
                <w:lang w:val="de-CH"/>
              </w:rPr>
            </w:pPr>
            <w:r w:rsidRPr="00061F17">
              <w:rPr>
                <w:lang w:val="de-CH"/>
              </w:rPr>
              <w:t>E-Field Strength ( Volt/Meter (V/m))</w:t>
            </w:r>
          </w:p>
        </w:tc>
        <w:tc>
          <w:tcPr>
            <w:tcW w:w="2659" w:type="dxa"/>
          </w:tcPr>
          <w:p w:rsidR="00061F17" w:rsidRPr="00061F17" w:rsidRDefault="00061F17" w:rsidP="00C71B8F">
            <w:pPr>
              <w:pStyle w:val="Tablehead"/>
            </w:pPr>
            <w:r w:rsidRPr="00061F17">
              <w:t>H-Field Strength (Amp/Meter (A/m))</w:t>
            </w:r>
          </w:p>
        </w:tc>
        <w:tc>
          <w:tcPr>
            <w:tcW w:w="2148" w:type="dxa"/>
          </w:tcPr>
          <w:p w:rsidR="00061F17" w:rsidRPr="00061F17" w:rsidRDefault="00061F17" w:rsidP="00C71B8F">
            <w:pPr>
              <w:pStyle w:val="Tablehead"/>
            </w:pPr>
            <w:r w:rsidRPr="00061F17">
              <w:t>Power Density (Watt/Sq.Meter (W/Sq.m))</w:t>
            </w:r>
          </w:p>
        </w:tc>
      </w:tr>
      <w:tr w:rsidR="00061F17" w:rsidRPr="001D6905" w:rsidTr="00F22C89">
        <w:trPr>
          <w:cnfStyle w:val="000000100000" w:firstRow="0" w:lastRow="0" w:firstColumn="0" w:lastColumn="0" w:oddVBand="0" w:evenVBand="0" w:oddHBand="1" w:evenHBand="0" w:firstRowFirstColumn="0" w:firstRowLastColumn="0" w:lastRowFirstColumn="0" w:lastRowLastColumn="0"/>
          <w:jc w:val="center"/>
        </w:trPr>
        <w:tc>
          <w:tcPr>
            <w:tcW w:w="2157" w:type="dxa"/>
          </w:tcPr>
          <w:p w:rsidR="00061F17" w:rsidRPr="001D6905" w:rsidRDefault="00061F17" w:rsidP="00C71B8F">
            <w:pPr>
              <w:pStyle w:val="Tabletext"/>
            </w:pPr>
            <w:r w:rsidRPr="001D6905">
              <w:t>400MHz to 2000MHz</w:t>
            </w:r>
          </w:p>
        </w:tc>
        <w:tc>
          <w:tcPr>
            <w:tcW w:w="2161" w:type="dxa"/>
          </w:tcPr>
          <w:p w:rsidR="00061F17" w:rsidRPr="001D6905" w:rsidRDefault="00061F17" w:rsidP="00C71B8F">
            <w:pPr>
              <w:pStyle w:val="Tabletext"/>
            </w:pPr>
            <w:r w:rsidRPr="001D6905">
              <w:t xml:space="preserve">0.434f </w:t>
            </w:r>
            <w:r w:rsidRPr="001D6905">
              <w:rPr>
                <w:vertAlign w:val="superscript"/>
              </w:rPr>
              <w:t>½</w:t>
            </w:r>
          </w:p>
        </w:tc>
        <w:tc>
          <w:tcPr>
            <w:tcW w:w="2659" w:type="dxa"/>
          </w:tcPr>
          <w:p w:rsidR="00061F17" w:rsidRPr="001D6905" w:rsidRDefault="00061F17" w:rsidP="00C71B8F">
            <w:pPr>
              <w:pStyle w:val="Tabletext"/>
            </w:pPr>
            <w:r w:rsidRPr="001D6905">
              <w:t xml:space="preserve">0.0011f </w:t>
            </w:r>
            <w:r w:rsidRPr="001D6905">
              <w:rPr>
                <w:vertAlign w:val="superscript"/>
              </w:rPr>
              <w:t>½</w:t>
            </w:r>
          </w:p>
        </w:tc>
        <w:tc>
          <w:tcPr>
            <w:tcW w:w="2148" w:type="dxa"/>
          </w:tcPr>
          <w:p w:rsidR="00061F17" w:rsidRPr="001D6905" w:rsidRDefault="00061F17" w:rsidP="00C71B8F">
            <w:pPr>
              <w:pStyle w:val="Tabletext"/>
            </w:pPr>
            <w:r w:rsidRPr="001D6905">
              <w:t>f/2000</w:t>
            </w:r>
          </w:p>
        </w:tc>
      </w:tr>
      <w:tr w:rsidR="00061F17" w:rsidRPr="001D6905" w:rsidTr="00F22C89">
        <w:trPr>
          <w:cnfStyle w:val="000000010000" w:firstRow="0" w:lastRow="0" w:firstColumn="0" w:lastColumn="0" w:oddVBand="0" w:evenVBand="0" w:oddHBand="0" w:evenHBand="1" w:firstRowFirstColumn="0" w:firstRowLastColumn="0" w:lastRowFirstColumn="0" w:lastRowLastColumn="0"/>
          <w:jc w:val="center"/>
        </w:trPr>
        <w:tc>
          <w:tcPr>
            <w:tcW w:w="2157" w:type="dxa"/>
          </w:tcPr>
          <w:p w:rsidR="00061F17" w:rsidRPr="001D6905" w:rsidRDefault="00061F17" w:rsidP="00C71B8F">
            <w:pPr>
              <w:pStyle w:val="Tabletext"/>
            </w:pPr>
            <w:r w:rsidRPr="001D6905">
              <w:t>2GHz to 300GHz</w:t>
            </w:r>
          </w:p>
        </w:tc>
        <w:tc>
          <w:tcPr>
            <w:tcW w:w="2161" w:type="dxa"/>
          </w:tcPr>
          <w:p w:rsidR="00061F17" w:rsidRPr="001D6905" w:rsidRDefault="00061F17" w:rsidP="00C71B8F">
            <w:pPr>
              <w:pStyle w:val="Tabletext"/>
            </w:pPr>
            <w:r w:rsidRPr="001D6905">
              <w:t>19.29</w:t>
            </w:r>
          </w:p>
        </w:tc>
        <w:tc>
          <w:tcPr>
            <w:tcW w:w="2659" w:type="dxa"/>
          </w:tcPr>
          <w:p w:rsidR="00061F17" w:rsidRPr="001D6905" w:rsidRDefault="00061F17" w:rsidP="00C71B8F">
            <w:pPr>
              <w:pStyle w:val="Tabletext"/>
            </w:pPr>
            <w:r w:rsidRPr="001D6905">
              <w:t>0.05</w:t>
            </w:r>
          </w:p>
        </w:tc>
        <w:tc>
          <w:tcPr>
            <w:tcW w:w="2148" w:type="dxa"/>
          </w:tcPr>
          <w:p w:rsidR="00061F17" w:rsidRPr="001D6905" w:rsidRDefault="00061F17" w:rsidP="00C71B8F">
            <w:pPr>
              <w:pStyle w:val="Tabletext"/>
            </w:pPr>
            <w:r w:rsidRPr="001D6905">
              <w:t>1</w:t>
            </w:r>
          </w:p>
        </w:tc>
      </w:tr>
    </w:tbl>
    <w:p w:rsidR="00061F17" w:rsidRPr="001D6905" w:rsidRDefault="00061F17" w:rsidP="004D77DC">
      <w:pPr>
        <w:pStyle w:val="Tablesource"/>
      </w:pPr>
      <w:r w:rsidRPr="001D6905">
        <w:t>(f = frequency in MHz)</w:t>
      </w:r>
    </w:p>
    <w:p w:rsidR="00061F17" w:rsidRPr="00061F17" w:rsidRDefault="00061F17" w:rsidP="00061F17">
      <w:pPr>
        <w:rPr>
          <w:rFonts w:cs="Arial"/>
          <w:szCs w:val="19"/>
          <w:lang w:val="en-US"/>
        </w:rPr>
      </w:pPr>
      <w:r w:rsidRPr="00061F17">
        <w:rPr>
          <w:rFonts w:cs="Arial"/>
          <w:szCs w:val="19"/>
          <w:lang w:val="en-US"/>
        </w:rPr>
        <w:t>3.5</w:t>
      </w:r>
      <w:r w:rsidRPr="00061F17">
        <w:rPr>
          <w:rFonts w:cs="Arial"/>
          <w:szCs w:val="19"/>
          <w:lang w:val="en-US"/>
        </w:rPr>
        <w:tab/>
        <w:t>In respect of Mobile Handsets, the following directions were issued regarding Specific Absorption Rate (SAR) level:</w:t>
      </w:r>
    </w:p>
    <w:p w:rsidR="00061F17" w:rsidRPr="00E86592" w:rsidRDefault="00061F17" w:rsidP="00C71B8F">
      <w:pPr>
        <w:pStyle w:val="Enumlevel1"/>
      </w:pPr>
      <w:r w:rsidRPr="001D6905">
        <w:t>(i)</w:t>
      </w:r>
      <w:r w:rsidRPr="001D6905">
        <w:tab/>
        <w:t>SAR leve</w:t>
      </w:r>
      <w:r w:rsidRPr="00E86592">
        <w:t>l for mobile handsets shall be limited to 1.6 Watt/Kg, average over a mass of 1 gram of human tissue.</w:t>
      </w:r>
    </w:p>
    <w:p w:rsidR="00061F17" w:rsidRPr="001D6905" w:rsidRDefault="00061F17" w:rsidP="00C71B8F">
      <w:pPr>
        <w:pStyle w:val="Enumlevel1"/>
      </w:pPr>
      <w:r w:rsidRPr="00E86592">
        <w:t>(ii)</w:t>
      </w:r>
      <w:r w:rsidRPr="00E86592">
        <w:tab/>
        <w:t>All the ne</w:t>
      </w:r>
      <w:r w:rsidRPr="001D6905">
        <w:t>w design of mobile handsets shall comply with the SAR level of 1.6 Watt/Kg averaged over a mass of 1 gram tissue with effect from 1</w:t>
      </w:r>
      <w:r w:rsidRPr="001D6905">
        <w:rPr>
          <w:vertAlign w:val="superscript"/>
        </w:rPr>
        <w:t>st</w:t>
      </w:r>
      <w:r w:rsidRPr="001D6905">
        <w:t xml:space="preserve"> September, 2012. However, the mobile handsets with existing designs, which are compliant with 2.0 Watt/Kg averaged over a mass of 10 gram tissue, may continue to co-exist up</w:t>
      </w:r>
      <w:r>
        <w:t xml:space="preserve"> </w:t>
      </w:r>
      <w:r w:rsidRPr="001D6905">
        <w:t>to 31</w:t>
      </w:r>
      <w:r w:rsidRPr="001D6905">
        <w:rPr>
          <w:vertAlign w:val="superscript"/>
        </w:rPr>
        <w:t>st</w:t>
      </w:r>
      <w:r w:rsidRPr="001D6905">
        <w:t xml:space="preserve"> August 2013.</w:t>
      </w:r>
    </w:p>
    <w:p w:rsidR="00061F17" w:rsidRPr="001D6905" w:rsidRDefault="00061F17" w:rsidP="00C71B8F">
      <w:pPr>
        <w:pStyle w:val="Enumlevel1"/>
      </w:pPr>
      <w:r w:rsidRPr="001D6905">
        <w:t>(iii)</w:t>
      </w:r>
      <w:r w:rsidRPr="001D6905">
        <w:tab/>
        <w:t>From 1</w:t>
      </w:r>
      <w:r w:rsidRPr="001D6905">
        <w:rPr>
          <w:vertAlign w:val="superscript"/>
        </w:rPr>
        <w:t>st</w:t>
      </w:r>
      <w:r w:rsidRPr="001D6905">
        <w:t xml:space="preserve"> September 2013, only the mobile handsets with revised SAR value of 1.6 Watt/Kg are permitted to be manufactured or imported in India for domestic market.</w:t>
      </w:r>
    </w:p>
    <w:p w:rsidR="00061F17" w:rsidRPr="007A19CC" w:rsidRDefault="00061F17" w:rsidP="00C71B8F">
      <w:pPr>
        <w:rPr>
          <w:lang w:val="en-US"/>
        </w:rPr>
      </w:pPr>
      <w:r w:rsidRPr="007A19CC">
        <w:rPr>
          <w:lang w:val="en-US"/>
        </w:rPr>
        <w:t>3.6</w:t>
      </w:r>
      <w:r w:rsidRPr="007A19CC">
        <w:rPr>
          <w:lang w:val="en-US"/>
        </w:rPr>
        <w:tab/>
        <w:t>DoT has also set-up a laboratory in the Telecommunication Engineering Centre (TEC), for testing of SAR value of mobile handsets imported/manufactured in India.</w:t>
      </w:r>
    </w:p>
    <w:p w:rsidR="00061F17" w:rsidRPr="00061F17" w:rsidRDefault="00061F17" w:rsidP="00061F17">
      <w:pPr>
        <w:keepNext/>
        <w:autoSpaceDE w:val="0"/>
        <w:autoSpaceDN w:val="0"/>
        <w:rPr>
          <w:rFonts w:eastAsia="Calibri" w:cs="Arial"/>
          <w:szCs w:val="19"/>
          <w:lang w:val="en-US"/>
        </w:rPr>
      </w:pPr>
      <w:r w:rsidRPr="00061F17">
        <w:rPr>
          <w:rFonts w:eastAsia="Calibri" w:cs="Arial"/>
          <w:szCs w:val="19"/>
          <w:lang w:val="en-US"/>
        </w:rPr>
        <w:t>4.</w:t>
      </w:r>
      <w:r w:rsidRPr="00061F17">
        <w:rPr>
          <w:rFonts w:eastAsia="Calibri" w:cs="Arial"/>
          <w:szCs w:val="19"/>
          <w:lang w:val="en-US"/>
        </w:rPr>
        <w:tab/>
        <w:t>Further, following steps have also been taken by Department of Telecommunications for the awareness of the general public in respect of EMF Radiation:</w:t>
      </w:r>
    </w:p>
    <w:p w:rsidR="00061F17" w:rsidRPr="00061F17" w:rsidRDefault="00061F17" w:rsidP="00061F17">
      <w:pPr>
        <w:rPr>
          <w:rFonts w:cs="Arial"/>
          <w:szCs w:val="19"/>
          <w:lang w:val="en-US"/>
        </w:rPr>
      </w:pPr>
      <w:r w:rsidRPr="00061F17">
        <w:rPr>
          <w:rFonts w:cs="Arial"/>
          <w:szCs w:val="19"/>
          <w:lang w:val="en-US"/>
        </w:rPr>
        <w:t>4.1</w:t>
      </w:r>
      <w:r w:rsidRPr="00061F17">
        <w:rPr>
          <w:rFonts w:cs="Arial"/>
          <w:szCs w:val="19"/>
          <w:lang w:val="en-US"/>
        </w:rPr>
        <w:tab/>
        <w:t xml:space="preserve">General awareness programmes / seminars regarding the steps taken for safety of public health from mobile tower radiation are being conducted by the Associations of Mobile Service Providers in various major cities. </w:t>
      </w:r>
    </w:p>
    <w:p w:rsidR="00061F17" w:rsidRPr="00061F17" w:rsidRDefault="00061F17" w:rsidP="00061F17">
      <w:pPr>
        <w:rPr>
          <w:rFonts w:cs="Arial"/>
          <w:szCs w:val="19"/>
          <w:lang w:val="en-US"/>
        </w:rPr>
      </w:pPr>
      <w:r w:rsidRPr="00061F17">
        <w:rPr>
          <w:rFonts w:cs="Arial"/>
          <w:szCs w:val="19"/>
          <w:lang w:val="en-US"/>
        </w:rPr>
        <w:t>4.2</w:t>
      </w:r>
      <w:r w:rsidRPr="00061F17">
        <w:rPr>
          <w:rFonts w:cs="Arial"/>
          <w:szCs w:val="19"/>
          <w:lang w:val="en-US"/>
        </w:rPr>
        <w:tab/>
        <w:t>A ‘Precautionary Guidelines for Mobile User’ advising to take certain precautions while using/purchasing the mobile handsets has been placed on DoT website.</w:t>
      </w:r>
    </w:p>
    <w:p w:rsidR="00061F17" w:rsidRPr="00061F17" w:rsidRDefault="00061F17" w:rsidP="00061F17">
      <w:pPr>
        <w:rPr>
          <w:rFonts w:cs="Arial"/>
          <w:szCs w:val="19"/>
          <w:lang w:val="en-US"/>
        </w:rPr>
      </w:pPr>
      <w:r w:rsidRPr="00061F17">
        <w:rPr>
          <w:rFonts w:cs="Arial"/>
          <w:szCs w:val="19"/>
          <w:lang w:val="en-US"/>
        </w:rPr>
        <w:t>4.3</w:t>
      </w:r>
      <w:r w:rsidRPr="00061F17">
        <w:rPr>
          <w:rFonts w:cs="Arial"/>
          <w:szCs w:val="19"/>
          <w:lang w:val="en-US"/>
        </w:rPr>
        <w:tab/>
        <w:t>An informative guide on ‘Mobile Communications-Radio Waves and Safety’ has been issued and the same is also available on DoT website. The document covers a basic introduction to radio waves, various terminologies, Do’s &amp; Don’ts related to mobile phone usage, clarification of various myths regarding deployment, use of Radio waves / Safety Standards and frequently asked questions relating to Mobile phones &amp; Human health. The document shall help in facilitating the right inputs and creating an environment where everyone can use the radio wave safely.</w:t>
      </w:r>
    </w:p>
    <w:p w:rsidR="00061F17" w:rsidRPr="00061F17" w:rsidRDefault="00061F17" w:rsidP="00061F17">
      <w:pPr>
        <w:rPr>
          <w:rFonts w:cs="Arial"/>
          <w:szCs w:val="19"/>
          <w:lang w:val="en-US"/>
        </w:rPr>
      </w:pPr>
      <w:r w:rsidRPr="00061F17">
        <w:rPr>
          <w:rFonts w:cs="Arial"/>
          <w:szCs w:val="19"/>
          <w:lang w:val="en-US"/>
        </w:rPr>
        <w:t>4.4</w:t>
      </w:r>
      <w:r w:rsidRPr="00061F17">
        <w:rPr>
          <w:rFonts w:cs="Arial"/>
          <w:szCs w:val="19"/>
          <w:lang w:val="en-US"/>
        </w:rPr>
        <w:tab/>
      </w:r>
      <w:hyperlink r:id="rId30" w:history="1">
        <w:r w:rsidRPr="00061F17">
          <w:rPr>
            <w:rStyle w:val="Hyperlink"/>
            <w:rFonts w:cs="Arial"/>
            <w:szCs w:val="19"/>
            <w:lang w:val="en-US"/>
          </w:rPr>
          <w:t>Advertisements</w:t>
        </w:r>
      </w:hyperlink>
      <w:r w:rsidRPr="00061F17">
        <w:rPr>
          <w:rFonts w:cs="Arial"/>
          <w:szCs w:val="19"/>
          <w:lang w:val="en-US"/>
        </w:rPr>
        <w:t xml:space="preserve"> for ensuring safety from radiations of Mobile Towers &amp; handsets has been issued by DoT which has been published in National &amp;</w:t>
      </w:r>
      <w:r w:rsidR="0065590E">
        <w:rPr>
          <w:rFonts w:cs="Arial"/>
          <w:szCs w:val="19"/>
          <w:lang w:val="en-US"/>
        </w:rPr>
        <w:t xml:space="preserve"> </w:t>
      </w:r>
      <w:hyperlink r:id="rId31" w:history="1">
        <w:r w:rsidRPr="00061F17">
          <w:rPr>
            <w:rStyle w:val="Hyperlink"/>
            <w:rFonts w:cs="Arial"/>
            <w:szCs w:val="19"/>
            <w:lang w:val="en-US"/>
          </w:rPr>
          <w:t>Regional</w:t>
        </w:r>
      </w:hyperlink>
      <w:r w:rsidR="0065590E">
        <w:rPr>
          <w:rStyle w:val="Hyperlink"/>
          <w:rFonts w:cs="Arial"/>
          <w:szCs w:val="19"/>
          <w:lang w:val="en-US"/>
        </w:rPr>
        <w:t xml:space="preserve"> </w:t>
      </w:r>
      <w:hyperlink r:id="rId32" w:history="1"/>
      <w:r w:rsidRPr="00061F17">
        <w:rPr>
          <w:rFonts w:cs="Arial"/>
          <w:szCs w:val="19"/>
          <w:lang w:val="en-US"/>
        </w:rPr>
        <w:t>Newspapers.</w:t>
      </w:r>
    </w:p>
    <w:p w:rsidR="00061F17" w:rsidRPr="00061F17" w:rsidRDefault="00061F17" w:rsidP="00061F17">
      <w:pPr>
        <w:autoSpaceDE w:val="0"/>
        <w:autoSpaceDN w:val="0"/>
        <w:rPr>
          <w:rFonts w:cs="Arial"/>
          <w:szCs w:val="19"/>
          <w:lang w:val="en-US"/>
        </w:rPr>
      </w:pPr>
      <w:r w:rsidRPr="00061F17">
        <w:rPr>
          <w:rFonts w:eastAsia="Calibri" w:cs="Arial"/>
          <w:szCs w:val="19"/>
          <w:lang w:val="en-US"/>
        </w:rPr>
        <w:t>4.5</w:t>
      </w:r>
      <w:r w:rsidRPr="00061F17">
        <w:rPr>
          <w:rFonts w:eastAsia="Calibri" w:cs="Arial"/>
          <w:szCs w:val="19"/>
          <w:lang w:val="en-US"/>
        </w:rPr>
        <w:tab/>
        <w:t>A</w:t>
      </w:r>
      <w:r w:rsidRPr="00061F17">
        <w:rPr>
          <w:rFonts w:cs="Arial"/>
          <w:szCs w:val="19"/>
          <w:lang w:val="en-US"/>
        </w:rPr>
        <w:t xml:space="preserve"> Complaint Handling System for Electro Magnetic Field (EMF) Radiation from Mobile Towers has also been launched by DoT in October 2012 in Mumbai. The online facility is available on DoT website </w:t>
      </w:r>
      <w:hyperlink r:id="rId33" w:history="1">
        <w:r w:rsidRPr="00032C7B">
          <w:rPr>
            <w:rStyle w:val="Hyperlink"/>
            <w:rFonts w:cs="Arial"/>
            <w:szCs w:val="19"/>
            <w:lang w:val="en-US"/>
          </w:rPr>
          <w:t>http://www.dot.gov.in/</w:t>
        </w:r>
      </w:hyperlink>
      <w:r w:rsidR="0065590E">
        <w:rPr>
          <w:rStyle w:val="Hyperlink"/>
          <w:rFonts w:cs="Arial"/>
          <w:szCs w:val="19"/>
          <w:lang w:val="en-US"/>
        </w:rPr>
        <w:t xml:space="preserve"> </w:t>
      </w:r>
      <w:r w:rsidRPr="00061F17">
        <w:rPr>
          <w:rFonts w:cs="Arial"/>
          <w:szCs w:val="19"/>
          <w:lang w:val="en-US"/>
        </w:rPr>
        <w:t>through a link “Public Grievance – EMF Radiation”.</w:t>
      </w:r>
    </w:p>
    <w:p w:rsidR="001970D2" w:rsidRDefault="001970D2" w:rsidP="00061F17">
      <w:pPr>
        <w:autoSpaceDE w:val="0"/>
        <w:autoSpaceDN w:val="0"/>
        <w:rPr>
          <w:rFonts w:cs="Arial"/>
          <w:szCs w:val="19"/>
          <w:lang w:val="en-US"/>
        </w:rPr>
      </w:pPr>
      <w:r>
        <w:rPr>
          <w:rFonts w:cs="Arial"/>
          <w:szCs w:val="19"/>
          <w:lang w:val="en-US"/>
        </w:rPr>
        <w:br w:type="page"/>
      </w:r>
    </w:p>
    <w:p w:rsidR="00061F17" w:rsidRPr="00061F17" w:rsidRDefault="00061F17" w:rsidP="00061F17">
      <w:pPr>
        <w:autoSpaceDE w:val="0"/>
        <w:autoSpaceDN w:val="0"/>
        <w:rPr>
          <w:rFonts w:cs="Arial"/>
          <w:szCs w:val="19"/>
          <w:lang w:val="en-US"/>
        </w:rPr>
      </w:pPr>
      <w:r w:rsidRPr="00061F17">
        <w:rPr>
          <w:rFonts w:cs="Arial"/>
          <w:szCs w:val="19"/>
          <w:lang w:val="en-US"/>
        </w:rPr>
        <w:lastRenderedPageBreak/>
        <w:t>4.6</w:t>
      </w:r>
      <w:r w:rsidRPr="00061F17">
        <w:rPr>
          <w:rFonts w:cs="Arial"/>
          <w:szCs w:val="19"/>
          <w:lang w:val="en-US"/>
        </w:rPr>
        <w:tab/>
        <w:t>Guidelines for State Government / Local Bodies for issue of clearance for installation of mobile towers at various locations in the licensed service area are under finalization. Similarly, various parameters to be checked by TERM Cell units to monitor the Radiation levels are also under finalization.</w:t>
      </w:r>
    </w:p>
    <w:p w:rsidR="00061F17" w:rsidRPr="00061F17" w:rsidRDefault="00061F17" w:rsidP="00061F17">
      <w:pPr>
        <w:autoSpaceDE w:val="0"/>
        <w:autoSpaceDN w:val="0"/>
        <w:rPr>
          <w:rFonts w:cs="Arial"/>
          <w:szCs w:val="19"/>
          <w:lang w:val="en-US"/>
        </w:rPr>
      </w:pPr>
      <w:r w:rsidRPr="00061F17">
        <w:rPr>
          <w:rFonts w:cs="Arial"/>
          <w:szCs w:val="19"/>
          <w:lang w:val="en-US"/>
        </w:rPr>
        <w:t>4.7</w:t>
      </w:r>
      <w:r w:rsidRPr="00061F17">
        <w:rPr>
          <w:rFonts w:cs="Arial"/>
          <w:szCs w:val="19"/>
          <w:lang w:val="en-US"/>
        </w:rPr>
        <w:tab/>
        <w:t xml:space="preserve">Various steps being taken by the Government of India regarding EMF related issues are available on DoT website </w:t>
      </w:r>
      <w:hyperlink r:id="rId34" w:history="1">
        <w:r w:rsidRPr="0056394E">
          <w:rPr>
            <w:rStyle w:val="Hyperlink"/>
            <w:rFonts w:cs="Arial"/>
            <w:szCs w:val="19"/>
            <w:lang w:val="en-US"/>
          </w:rPr>
          <w:t>http://</w:t>
        </w:r>
        <w:r w:rsidRPr="00061F17">
          <w:rPr>
            <w:rStyle w:val="Hyperlink"/>
            <w:rFonts w:cs="Arial"/>
            <w:szCs w:val="19"/>
            <w:lang w:val="en-US"/>
          </w:rPr>
          <w:t>www.dot.gov.in</w:t>
        </w:r>
      </w:hyperlink>
      <w:r w:rsidRPr="00061F17">
        <w:rPr>
          <w:rFonts w:cs="Arial"/>
          <w:szCs w:val="19"/>
          <w:lang w:val="en-US"/>
        </w:rPr>
        <w:t xml:space="preserve"> under the caption “Journey to EMF”.</w:t>
      </w:r>
    </w:p>
    <w:p w:rsidR="00061F17" w:rsidRPr="00061F17" w:rsidRDefault="00061F17" w:rsidP="00061F17">
      <w:pPr>
        <w:rPr>
          <w:rFonts w:cs="Arial"/>
          <w:szCs w:val="19"/>
          <w:lang w:val="en-US"/>
        </w:rPr>
      </w:pPr>
      <w:r w:rsidRPr="00061F17">
        <w:rPr>
          <w:rFonts w:cs="Arial"/>
          <w:szCs w:val="19"/>
          <w:lang w:val="en-US"/>
        </w:rPr>
        <w:t>4.8</w:t>
      </w:r>
      <w:r w:rsidRPr="00061F17">
        <w:rPr>
          <w:rFonts w:cs="Arial"/>
          <w:szCs w:val="19"/>
          <w:lang w:val="en-US"/>
        </w:rPr>
        <w:tab/>
        <w:t>Surprise test checks of BTS sites are also carried out by DoT to verify the compliance to revised norms. During surprise check by DoT’s TERM Cell Unit more than 100 BTS sites in many parts of the country including Mumbai were found radiating at much higher level than prescribed between the period September 2012 to March 2013.</w:t>
      </w:r>
    </w:p>
    <w:p w:rsidR="00061F17" w:rsidRPr="00061F17" w:rsidRDefault="00061F17" w:rsidP="00061F17">
      <w:pPr>
        <w:tabs>
          <w:tab w:val="left" w:pos="-5670"/>
          <w:tab w:val="left" w:pos="-4962"/>
        </w:tabs>
        <w:rPr>
          <w:rFonts w:eastAsia="Calibri" w:cs="Arial"/>
          <w:b/>
          <w:szCs w:val="19"/>
          <w:lang w:val="en-US"/>
        </w:rPr>
      </w:pPr>
      <w:r w:rsidRPr="00061F17">
        <w:rPr>
          <w:rFonts w:eastAsia="Calibri" w:cs="Arial"/>
          <w:b/>
          <w:szCs w:val="19"/>
          <w:lang w:val="en-US"/>
        </w:rPr>
        <w:t>5.</w:t>
      </w:r>
      <w:r w:rsidRPr="00061F17">
        <w:rPr>
          <w:rFonts w:eastAsia="Calibri" w:cs="Arial"/>
          <w:b/>
          <w:szCs w:val="19"/>
          <w:lang w:val="en-US"/>
        </w:rPr>
        <w:tab/>
        <w:t>Further Indian Initiatives on Scientific Assessment</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5.1</w:t>
      </w:r>
      <w:r w:rsidRPr="00061F17">
        <w:rPr>
          <w:rFonts w:eastAsia="Calibri" w:cs="Arial"/>
          <w:szCs w:val="19"/>
          <w:lang w:val="en-US"/>
        </w:rPr>
        <w:tab/>
        <w:t xml:space="preserve">Government of India, Department of Science &amp; Technology (DST) has constituted a committee on 01.10.2012 under the Chairmanship of Former Director General of Indian Council for Medical Research (ICMR), having members from Indian Institute of Technology (IIT) Chennai, Indian Institute of Toxicology Research, Lucknow, Department of Telecom, Ministry of Environment &amp; Forest, ICMR and Department of Science &amp; Technology to examine the possible harmful effects from Cell towers on the population living in the vicinity and for developing the frame of reference for calling out Request For Proposals (RFP) for scientific assessment of health hazards and adverse impact on ecology. </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5.2</w:t>
      </w:r>
      <w:r w:rsidRPr="00061F17">
        <w:rPr>
          <w:rFonts w:eastAsia="Calibri" w:cs="Arial"/>
          <w:szCs w:val="19"/>
          <w:lang w:val="en-US"/>
        </w:rPr>
        <w:tab/>
        <w:t>The Committee has invited R&amp;D proposals in June 2013 on the possible impact of EMF radiation exposure from mobile towers and handsets on life (humans, living organism, flora &amp; fauna and environment) and related initiatives. Eligible Scientist / Organizations – public or private, individually or in collaboration have been requested for submission of their proposal on or before 14</w:t>
      </w:r>
      <w:r w:rsidRPr="00061F17">
        <w:rPr>
          <w:rFonts w:eastAsia="Calibri" w:cs="Arial"/>
          <w:szCs w:val="19"/>
          <w:vertAlign w:val="superscript"/>
          <w:lang w:val="en-US"/>
        </w:rPr>
        <w:t>th</w:t>
      </w:r>
      <w:r w:rsidRPr="00061F17">
        <w:rPr>
          <w:rFonts w:eastAsia="Calibri" w:cs="Arial"/>
          <w:szCs w:val="19"/>
          <w:lang w:val="en-US"/>
        </w:rPr>
        <w:t xml:space="preserve"> August 2013.</w:t>
      </w:r>
    </w:p>
    <w:p w:rsidR="00061F17" w:rsidRPr="00061F17" w:rsidRDefault="00061F17" w:rsidP="00061F17">
      <w:pPr>
        <w:tabs>
          <w:tab w:val="left" w:pos="-5670"/>
          <w:tab w:val="left" w:pos="-4962"/>
        </w:tabs>
        <w:rPr>
          <w:rFonts w:eastAsia="Calibri" w:cs="Arial"/>
          <w:b/>
          <w:bCs/>
          <w:szCs w:val="19"/>
          <w:lang w:val="en-US"/>
        </w:rPr>
      </w:pPr>
      <w:r w:rsidRPr="00061F17">
        <w:rPr>
          <w:rFonts w:eastAsia="Calibri" w:cs="Arial"/>
          <w:b/>
          <w:szCs w:val="19"/>
          <w:lang w:val="en-US"/>
        </w:rPr>
        <w:t>6.</w:t>
      </w:r>
      <w:r w:rsidRPr="00061F17">
        <w:rPr>
          <w:rFonts w:eastAsia="Calibri" w:cs="Arial"/>
          <w:b/>
          <w:szCs w:val="19"/>
          <w:lang w:val="en-US"/>
        </w:rPr>
        <w:tab/>
        <w:t>Submissions</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6.1</w:t>
      </w:r>
      <w:r w:rsidRPr="00061F17">
        <w:rPr>
          <w:rFonts w:eastAsia="Calibri" w:cs="Arial"/>
          <w:szCs w:val="19"/>
          <w:lang w:val="en-US"/>
        </w:rPr>
        <w:tab/>
        <w:t>In a latest development, an Indian Delegation from DoT, Government of India had visited Geneva from 19 to 22 Feb. 2013 to discuss EMF Radiation related health issues with WHO Secretariat and Technical standards with ITU.</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6.2</w:t>
      </w:r>
      <w:r w:rsidRPr="00061F17">
        <w:rPr>
          <w:rFonts w:eastAsia="Calibri" w:cs="Arial"/>
          <w:szCs w:val="19"/>
          <w:lang w:val="en-US"/>
        </w:rPr>
        <w:tab/>
        <w:t xml:space="preserve">WHO officials suggested that lowering of the EMF radiation limit alone may not be adequate to achieve the desired results, though a strong regulation on siting of BTS Tower antennae could be more important. Few countries have imposed restrictions specifying the horizontal distance in regards to the installation of base station Antenna from sensitive locations in the urban planning itself. </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6.3</w:t>
      </w:r>
      <w:r w:rsidRPr="00061F17">
        <w:rPr>
          <w:rFonts w:eastAsia="Calibri" w:cs="Arial"/>
          <w:szCs w:val="19"/>
          <w:lang w:val="en-US"/>
        </w:rPr>
        <w:tab/>
        <w:t>Indian scenario with more than 10 mobile operators in each service area along with high population density is quite different from Europe</w:t>
      </w:r>
    </w:p>
    <w:p w:rsidR="00061F17" w:rsidRPr="00061F17" w:rsidRDefault="00061F17" w:rsidP="00061F17">
      <w:pPr>
        <w:tabs>
          <w:tab w:val="left" w:pos="-5670"/>
          <w:tab w:val="left" w:pos="-4962"/>
        </w:tabs>
        <w:rPr>
          <w:rFonts w:eastAsia="Calibri" w:cs="Arial"/>
          <w:bCs/>
          <w:szCs w:val="19"/>
          <w:lang w:val="en-US"/>
        </w:rPr>
      </w:pPr>
      <w:r w:rsidRPr="00061F17">
        <w:rPr>
          <w:rFonts w:eastAsia="Calibri" w:cs="Arial"/>
          <w:szCs w:val="19"/>
          <w:lang w:val="en-US"/>
        </w:rPr>
        <w:t>6.4</w:t>
      </w:r>
      <w:r w:rsidRPr="00061F17">
        <w:rPr>
          <w:rFonts w:eastAsia="Calibri" w:cs="Arial"/>
          <w:szCs w:val="19"/>
          <w:lang w:val="en-US"/>
        </w:rPr>
        <w:tab/>
        <w:t xml:space="preserve">Officials from International Agency on Cancer Research (IARC) at Lyon, France indicated that in Europe Mobile Towers are not considered as a threat as Antennas are at higher levels /heights and fairly distant apart. </w:t>
      </w:r>
    </w:p>
    <w:p w:rsidR="00061F17" w:rsidRPr="00061F17" w:rsidRDefault="00061F17" w:rsidP="00061F17">
      <w:pPr>
        <w:tabs>
          <w:tab w:val="left" w:pos="-5670"/>
          <w:tab w:val="left" w:pos="-4962"/>
        </w:tabs>
        <w:contextualSpacing/>
        <w:rPr>
          <w:rFonts w:eastAsia="Calibri" w:cs="Arial"/>
          <w:bCs/>
          <w:szCs w:val="19"/>
          <w:lang w:val="en-US"/>
        </w:rPr>
      </w:pPr>
      <w:r w:rsidRPr="00061F17">
        <w:rPr>
          <w:rFonts w:eastAsia="Calibri" w:cs="Arial"/>
          <w:szCs w:val="19"/>
          <w:lang w:val="en-US"/>
        </w:rPr>
        <w:t xml:space="preserve">6.5 </w:t>
      </w:r>
      <w:r w:rsidRPr="00061F17">
        <w:rPr>
          <w:rFonts w:eastAsia="Calibri" w:cs="Arial"/>
          <w:szCs w:val="19"/>
          <w:lang w:val="en-US"/>
        </w:rPr>
        <w:tab/>
        <w:t>However, the conditions in India and other developing countries are totally different from those in Europe in terms of:</w:t>
      </w:r>
    </w:p>
    <w:p w:rsidR="00061F17" w:rsidRPr="00061F17" w:rsidRDefault="004D77DC" w:rsidP="00C71B8F">
      <w:pPr>
        <w:pStyle w:val="Enumlevel1"/>
        <w:rPr>
          <w:bCs/>
        </w:rPr>
      </w:pPr>
      <w:r>
        <w:t>‒</w:t>
      </w:r>
      <w:r w:rsidR="00061F17" w:rsidRPr="00061F17">
        <w:tab/>
        <w:t xml:space="preserve">mobile phone usages, </w:t>
      </w:r>
    </w:p>
    <w:p w:rsidR="00061F17" w:rsidRPr="00061F17" w:rsidRDefault="004D77DC" w:rsidP="00C71B8F">
      <w:pPr>
        <w:pStyle w:val="Enumlevel1"/>
        <w:rPr>
          <w:bCs/>
        </w:rPr>
      </w:pPr>
      <w:r>
        <w:t>‒</w:t>
      </w:r>
      <w:r w:rsidR="00061F17" w:rsidRPr="00061F17">
        <w:tab/>
        <w:t xml:space="preserve">number of operators, </w:t>
      </w:r>
    </w:p>
    <w:p w:rsidR="00061F17" w:rsidRPr="00061F17" w:rsidRDefault="004D77DC" w:rsidP="00C71B8F">
      <w:pPr>
        <w:pStyle w:val="Enumlevel1"/>
        <w:rPr>
          <w:bCs/>
        </w:rPr>
      </w:pPr>
      <w:r>
        <w:rPr>
          <w:rFonts w:eastAsia="Calibri"/>
        </w:rPr>
        <w:t>‒</w:t>
      </w:r>
      <w:r w:rsidR="00061F17" w:rsidRPr="00061F17">
        <w:rPr>
          <w:rFonts w:eastAsia="Calibri"/>
        </w:rPr>
        <w:tab/>
      </w:r>
      <w:r w:rsidR="00061F17" w:rsidRPr="00061F17">
        <w:t xml:space="preserve">higher levels of population density, </w:t>
      </w:r>
    </w:p>
    <w:p w:rsidR="00061F17" w:rsidRPr="00061F17" w:rsidRDefault="004D77DC" w:rsidP="00C71B8F">
      <w:pPr>
        <w:pStyle w:val="Enumlevel1"/>
        <w:rPr>
          <w:bCs/>
        </w:rPr>
      </w:pPr>
      <w:r>
        <w:t>‒</w:t>
      </w:r>
      <w:r w:rsidR="00061F17" w:rsidRPr="00061F17">
        <w:tab/>
        <w:t xml:space="preserve">in-organic growth in urban areas, </w:t>
      </w:r>
    </w:p>
    <w:p w:rsidR="00061F17" w:rsidRPr="00061F17" w:rsidRDefault="004D77DC" w:rsidP="00C71B8F">
      <w:pPr>
        <w:pStyle w:val="Enumlevel1"/>
        <w:rPr>
          <w:bCs/>
        </w:rPr>
      </w:pPr>
      <w:r>
        <w:t>‒</w:t>
      </w:r>
      <w:r w:rsidR="00061F17" w:rsidRPr="00061F17">
        <w:tab/>
        <w:t xml:space="preserve">narrow lanes separating buildings, </w:t>
      </w:r>
    </w:p>
    <w:p w:rsidR="00061F17" w:rsidRPr="00061F17" w:rsidRDefault="004D77DC" w:rsidP="00C71B8F">
      <w:pPr>
        <w:pStyle w:val="Enumlevel1"/>
        <w:rPr>
          <w:bCs/>
        </w:rPr>
      </w:pPr>
      <w:r>
        <w:t>‒</w:t>
      </w:r>
      <w:r w:rsidR="00061F17" w:rsidRPr="00061F17">
        <w:tab/>
        <w:t xml:space="preserve">lower body mass index, </w:t>
      </w:r>
    </w:p>
    <w:p w:rsidR="00061F17" w:rsidRPr="00061F17" w:rsidRDefault="004D77DC" w:rsidP="00C71B8F">
      <w:pPr>
        <w:pStyle w:val="Enumlevel1"/>
        <w:rPr>
          <w:bCs/>
        </w:rPr>
      </w:pPr>
      <w:r>
        <w:t>‒</w:t>
      </w:r>
      <w:r w:rsidR="00061F17" w:rsidRPr="00061F17">
        <w:tab/>
        <w:t xml:space="preserve">lower fat content, </w:t>
      </w:r>
    </w:p>
    <w:p w:rsidR="00C407FD" w:rsidRDefault="00C407FD" w:rsidP="00C71B8F">
      <w:pPr>
        <w:pStyle w:val="Enumlevel1"/>
      </w:pPr>
      <w:r>
        <w:br w:type="page"/>
      </w:r>
    </w:p>
    <w:p w:rsidR="00061F17" w:rsidRPr="00061F17" w:rsidRDefault="004D77DC" w:rsidP="00C71B8F">
      <w:pPr>
        <w:pStyle w:val="Enumlevel1"/>
        <w:rPr>
          <w:bCs/>
        </w:rPr>
      </w:pPr>
      <w:r>
        <w:lastRenderedPageBreak/>
        <w:t>‒</w:t>
      </w:r>
      <w:r w:rsidR="00061F17" w:rsidRPr="00061F17">
        <w:tab/>
        <w:t>lesser spectrum per operator,</w:t>
      </w:r>
    </w:p>
    <w:p w:rsidR="00061F17" w:rsidRPr="00061F17" w:rsidRDefault="004D77DC" w:rsidP="00C71B8F">
      <w:pPr>
        <w:pStyle w:val="Enumlevel1"/>
        <w:rPr>
          <w:bCs/>
        </w:rPr>
      </w:pPr>
      <w:r>
        <w:t>‒</w:t>
      </w:r>
      <w:r w:rsidR="00061F17" w:rsidRPr="00061F17">
        <w:tab/>
        <w:t xml:space="preserve">radiated power being 20 Watt per sector, </w:t>
      </w:r>
    </w:p>
    <w:p w:rsidR="00061F17" w:rsidRPr="00061F17" w:rsidRDefault="004D77DC" w:rsidP="00C71B8F">
      <w:pPr>
        <w:pStyle w:val="Enumlevel1"/>
        <w:rPr>
          <w:bCs/>
        </w:rPr>
      </w:pPr>
      <w:r>
        <w:t>‒</w:t>
      </w:r>
      <w:r w:rsidR="00061F17" w:rsidRPr="00061F17">
        <w:tab/>
        <w:t xml:space="preserve">higher levels of RF exposure on account of multiple operators having BTSs on same tower, and </w:t>
      </w:r>
    </w:p>
    <w:p w:rsidR="00061F17" w:rsidRPr="00061F17" w:rsidRDefault="004D77DC" w:rsidP="00C71B8F">
      <w:pPr>
        <w:pStyle w:val="Enumlevel1"/>
        <w:rPr>
          <w:bCs/>
        </w:rPr>
      </w:pPr>
      <w:r>
        <w:t>‒</w:t>
      </w:r>
      <w:r w:rsidR="00061F17" w:rsidRPr="00061F17">
        <w:tab/>
        <w:t>Antennas mounted at lower heights etc.</w:t>
      </w:r>
    </w:p>
    <w:p w:rsidR="00061F17" w:rsidRPr="00061F17" w:rsidRDefault="004D77DC" w:rsidP="00C71B8F">
      <w:pPr>
        <w:pStyle w:val="Enumlevel1"/>
        <w:rPr>
          <w:bCs/>
        </w:rPr>
      </w:pPr>
      <w:r>
        <w:t>‒</w:t>
      </w:r>
      <w:r w:rsidR="00061F17" w:rsidRPr="00061F17">
        <w:tab/>
        <w:t>Poor coverage conditions also lead handsets to operate at higher levels of power</w:t>
      </w:r>
    </w:p>
    <w:p w:rsidR="00061F17" w:rsidRPr="00061F17" w:rsidRDefault="004D77DC" w:rsidP="00C71B8F">
      <w:pPr>
        <w:pStyle w:val="Enumlevel1"/>
        <w:rPr>
          <w:bCs/>
        </w:rPr>
      </w:pPr>
      <w:r>
        <w:t>‒</w:t>
      </w:r>
      <w:r w:rsidR="00061F17" w:rsidRPr="00061F17">
        <w:tab/>
        <w:t>Outsourcing of infrastructure installation &amp; maintenance to third parties by operators</w:t>
      </w:r>
    </w:p>
    <w:p w:rsidR="00061F17" w:rsidRPr="00061F17" w:rsidRDefault="004D77DC" w:rsidP="00C71B8F">
      <w:pPr>
        <w:pStyle w:val="Enumlevel1"/>
      </w:pPr>
      <w:r>
        <w:t>‒</w:t>
      </w:r>
      <w:r w:rsidR="00061F17" w:rsidRPr="00061F17">
        <w:tab/>
        <w:t>Inadequate technical expertise at field level and local authorities to understand exclusion zone calculations based on ITU K series recommendations.  This also needs to be seen in the background of monitoring requirements extending to 0.747 million BTSs as in Annexure II.</w:t>
      </w:r>
    </w:p>
    <w:p w:rsidR="00061F17" w:rsidRPr="00061F17" w:rsidRDefault="00061F17" w:rsidP="00061F17">
      <w:pPr>
        <w:tabs>
          <w:tab w:val="left" w:pos="-5670"/>
          <w:tab w:val="left" w:pos="-4962"/>
        </w:tabs>
        <w:rPr>
          <w:rFonts w:cs="Arial"/>
          <w:b/>
          <w:bCs/>
          <w:szCs w:val="19"/>
          <w:lang w:val="en-US"/>
        </w:rPr>
      </w:pPr>
      <w:r w:rsidRPr="00061F17">
        <w:rPr>
          <w:rFonts w:cs="Arial"/>
          <w:szCs w:val="19"/>
          <w:lang w:val="en-US"/>
        </w:rPr>
        <w:t xml:space="preserve">Some of the typical Wall mounted BTS installation photographs are enclosed in the </w:t>
      </w:r>
      <w:r w:rsidRPr="00061F17">
        <w:rPr>
          <w:rFonts w:cs="Arial"/>
          <w:b/>
          <w:szCs w:val="19"/>
          <w:lang w:val="en-US"/>
        </w:rPr>
        <w:t xml:space="preserve">Annex </w:t>
      </w:r>
      <w:r w:rsidRPr="00061F17">
        <w:rPr>
          <w:rFonts w:cs="Arial"/>
          <w:szCs w:val="19"/>
          <w:lang w:val="en-US"/>
        </w:rPr>
        <w:t>from city of Mumbai, India</w:t>
      </w:r>
      <w:r w:rsidRPr="00061F17">
        <w:rPr>
          <w:rFonts w:cs="Arial"/>
          <w:b/>
          <w:szCs w:val="19"/>
          <w:lang w:val="en-US"/>
        </w:rPr>
        <w:t>.</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6.6</w:t>
      </w:r>
      <w:r w:rsidRPr="00061F17">
        <w:rPr>
          <w:rFonts w:eastAsia="Calibri" w:cs="Arial"/>
          <w:szCs w:val="19"/>
          <w:lang w:val="en-US"/>
        </w:rPr>
        <w:tab/>
        <w:t xml:space="preserve">During discussions on Indian scenario, IARC felt that their present research that is addressing only Mobile Handsets may have to be reassessed to include Mobile Towers also.  </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6.7</w:t>
      </w:r>
      <w:r w:rsidRPr="00061F17">
        <w:rPr>
          <w:rFonts w:eastAsia="Calibri" w:cs="Arial"/>
          <w:szCs w:val="19"/>
          <w:lang w:val="en-US"/>
        </w:rPr>
        <w:tab/>
        <w:t>A research project focusing on measurements of exposure levels from base stations in densely populated areas and areas covered by many base stations, level of usage, and measurements of emissions from regular and counterfeit mobile phones, was considered to be of great scientific interest by IARC. Based on the suggestions from IARC, Mobile Handset usage study was taken up by licensor in India.</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6.8</w:t>
      </w:r>
      <w:r w:rsidRPr="00061F17">
        <w:rPr>
          <w:rFonts w:eastAsia="Calibri" w:cs="Arial"/>
          <w:szCs w:val="19"/>
          <w:lang w:val="en-US"/>
        </w:rPr>
        <w:tab/>
        <w:t>DoT obtained the latest version of ITU’s EMF estimator Software and organized an ITU Workshop on 21</w:t>
      </w:r>
      <w:r w:rsidRPr="00061F17">
        <w:rPr>
          <w:rFonts w:eastAsia="Calibri" w:cs="Arial"/>
          <w:szCs w:val="19"/>
          <w:vertAlign w:val="superscript"/>
          <w:lang w:val="en-US"/>
        </w:rPr>
        <w:t xml:space="preserve">st </w:t>
      </w:r>
      <w:r w:rsidRPr="00061F17">
        <w:rPr>
          <w:rFonts w:eastAsia="Calibri" w:cs="Arial"/>
          <w:szCs w:val="19"/>
          <w:lang w:val="en-US"/>
        </w:rPr>
        <w:t>&amp; 22</w:t>
      </w:r>
      <w:r w:rsidRPr="00061F17">
        <w:rPr>
          <w:rFonts w:eastAsia="Calibri" w:cs="Arial"/>
          <w:szCs w:val="19"/>
          <w:vertAlign w:val="superscript"/>
          <w:lang w:val="en-US"/>
        </w:rPr>
        <w:t>nd</w:t>
      </w:r>
      <w:r w:rsidRPr="00061F17">
        <w:rPr>
          <w:rFonts w:eastAsia="Calibri" w:cs="Arial"/>
          <w:szCs w:val="19"/>
          <w:lang w:val="en-US"/>
        </w:rPr>
        <w:t xml:space="preserve"> May 2013 at Delhi. The Workshop has facilitated Indian Telecom Service Providers for better evaluation on the human exposure to electromagnetic field from multiple sources of communication installation, and for taking steps to reduce the radiation levels in the areas around transmitting stations. </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6.9</w:t>
      </w:r>
      <w:r w:rsidRPr="00061F17">
        <w:rPr>
          <w:rFonts w:eastAsia="Calibri" w:cs="Arial"/>
          <w:szCs w:val="19"/>
          <w:lang w:val="en-US"/>
        </w:rPr>
        <w:tab/>
        <w:t xml:space="preserve">Minutes of Usage/ Hours of Mobile Hand Usage by Indian Service Providers has been collected from Indian Mobile Operators across various Licensing Service Areas, based on IARC suggestion as in Para 6.7 above. The detailed data is enclosed as </w:t>
      </w:r>
      <w:r w:rsidRPr="00061F17">
        <w:rPr>
          <w:rFonts w:eastAsia="Calibri" w:cs="Arial"/>
          <w:b/>
          <w:szCs w:val="19"/>
          <w:lang w:val="en-US"/>
        </w:rPr>
        <w:t>Annex 10C</w:t>
      </w:r>
      <w:r w:rsidRPr="00061F17">
        <w:rPr>
          <w:rFonts w:eastAsia="Calibri" w:cs="Arial"/>
          <w:szCs w:val="19"/>
          <w:lang w:val="en-US"/>
        </w:rPr>
        <w:t xml:space="preserve">. There are 22 Licensed Service Areas and on an average, there are 10 Mobile Operators in each Licensed Area. </w:t>
      </w:r>
    </w:p>
    <w:p w:rsidR="00061F17" w:rsidRPr="00061F17" w:rsidRDefault="00061F17" w:rsidP="00061F17">
      <w:pPr>
        <w:tabs>
          <w:tab w:val="left" w:pos="-5670"/>
          <w:tab w:val="left" w:pos="-4962"/>
        </w:tabs>
        <w:rPr>
          <w:rFonts w:eastAsia="Calibri" w:cs="Arial"/>
          <w:bCs/>
          <w:szCs w:val="19"/>
          <w:lang w:val="en-US"/>
        </w:rPr>
      </w:pPr>
      <w:r w:rsidRPr="00061F17">
        <w:rPr>
          <w:rFonts w:eastAsia="Calibri" w:cs="Arial"/>
          <w:szCs w:val="19"/>
          <w:lang w:val="en-US"/>
        </w:rPr>
        <w:t>6.10</w:t>
      </w:r>
      <w:r w:rsidRPr="00061F17">
        <w:rPr>
          <w:rFonts w:eastAsia="Calibri" w:cs="Arial"/>
          <w:szCs w:val="19"/>
          <w:lang w:val="en-US"/>
        </w:rPr>
        <w:tab/>
        <w:t xml:space="preserve">Typical Results show that on an average more than 100,000 Mobile users of one operator in one licensed service area have about 2 hours of mobile usage per day. Taking on an average 10 operators in all the 22 service area in India, at least 20 million mobile users have mobile usage of 2 or more hours per day. </w:t>
      </w:r>
    </w:p>
    <w:p w:rsidR="00061F17" w:rsidRPr="00061F17" w:rsidRDefault="00061F17" w:rsidP="00061F17">
      <w:pPr>
        <w:tabs>
          <w:tab w:val="left" w:pos="-5670"/>
          <w:tab w:val="left" w:pos="-4962"/>
        </w:tabs>
        <w:rPr>
          <w:rFonts w:eastAsia="Calibri" w:cs="Arial"/>
          <w:bCs/>
          <w:szCs w:val="19"/>
          <w:lang w:val="en-US"/>
        </w:rPr>
      </w:pPr>
      <w:r w:rsidRPr="00061F17">
        <w:rPr>
          <w:rFonts w:eastAsia="Calibri" w:cs="Arial"/>
          <w:szCs w:val="19"/>
          <w:lang w:val="en-US"/>
        </w:rPr>
        <w:t>6.11</w:t>
      </w:r>
      <w:r w:rsidRPr="00061F17">
        <w:rPr>
          <w:rFonts w:eastAsia="Calibri" w:cs="Arial"/>
          <w:szCs w:val="19"/>
          <w:lang w:val="en-US"/>
        </w:rPr>
        <w:tab/>
        <w:t>In Europe, the tariff for mobile service is higher than fixed telephone service and the Tele-density for both Mobile &amp; Fixed Lines phones is comparable to the level of 100+ in Europe and that explains lower levels of usage of mobile.</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6.12</w:t>
      </w:r>
      <w:r w:rsidRPr="00061F17">
        <w:rPr>
          <w:rFonts w:eastAsia="Calibri" w:cs="Arial"/>
          <w:szCs w:val="19"/>
          <w:lang w:val="en-US"/>
        </w:rPr>
        <w:tab/>
        <w:t xml:space="preserve">Whereas, in developing countries the tariff for Mobile &amp; Fixed telephone is almost same and tele-density for mobile telephones are generally above 90% whereas it is less than 10% for Fixed telephones. </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6.13</w:t>
      </w:r>
      <w:r w:rsidRPr="00061F17">
        <w:rPr>
          <w:rFonts w:eastAsia="Calibri" w:cs="Arial"/>
          <w:szCs w:val="19"/>
          <w:lang w:val="en-US"/>
        </w:rPr>
        <w:tab/>
        <w:t xml:space="preserve">The usage in Indian study is many folds higher than Inter Phone Study inputs that are referenced in IARC’s Monograph 102 on EMF published on 24/4/2013 which on Page 421 (Chapter 6 on Conclusions) states “Radiofrequency Electromagnetic fields are possibly carcinogenic to humans (Group 2B).” </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6.14</w:t>
      </w:r>
      <w:r w:rsidRPr="00061F17">
        <w:rPr>
          <w:rFonts w:eastAsia="Calibri" w:cs="Arial"/>
          <w:szCs w:val="19"/>
          <w:lang w:val="en-US"/>
        </w:rPr>
        <w:tab/>
        <w:t xml:space="preserve">IARC and WHO need to go further from IARC Monographs’ 102 findings with focus on latest available inputs from developing world outside Europe. Inputs from Indian Case Study as above, is an example. </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6.15</w:t>
      </w:r>
      <w:r w:rsidRPr="00061F17">
        <w:rPr>
          <w:rFonts w:eastAsia="Calibri" w:cs="Arial"/>
          <w:szCs w:val="19"/>
          <w:lang w:val="en-US"/>
        </w:rPr>
        <w:tab/>
        <w:t>ITU needs to have a relook at all EMF related initiatives through Study Groups. Possibly a new ITU Focus Group on ‘EMF Radiation &amp; Health Issues’ cutting across ITU-T, ITU-R and ITU-D needs to be constituted.</w:t>
      </w:r>
    </w:p>
    <w:p w:rsidR="00061F17" w:rsidRPr="00061F17" w:rsidRDefault="00061F17" w:rsidP="00061F17">
      <w:pPr>
        <w:keepNext/>
        <w:keepLines/>
        <w:tabs>
          <w:tab w:val="left" w:pos="-5670"/>
          <w:tab w:val="left" w:pos="-4962"/>
        </w:tabs>
        <w:rPr>
          <w:rFonts w:eastAsia="Calibri" w:cs="Arial"/>
          <w:bCs/>
          <w:szCs w:val="19"/>
          <w:lang w:val="en-US"/>
        </w:rPr>
      </w:pPr>
      <w:r w:rsidRPr="00061F17">
        <w:rPr>
          <w:rFonts w:eastAsia="Calibri" w:cs="Arial"/>
          <w:szCs w:val="19"/>
          <w:lang w:val="en-US"/>
        </w:rPr>
        <w:lastRenderedPageBreak/>
        <w:t>6.16</w:t>
      </w:r>
      <w:r w:rsidRPr="00061F17">
        <w:rPr>
          <w:rFonts w:eastAsia="Calibri" w:cs="Arial"/>
          <w:szCs w:val="19"/>
          <w:lang w:val="en-US"/>
        </w:rPr>
        <w:tab/>
        <w:t>Though ITU Recommendations on EMF calculations including exclusion zone distance calculations and EMF Estimator Software are available, but further up-gradation of the software is required.  India has already written to Secretary General (ITU) &amp; Director TSB (ITU) with a request to make it more user friendly and a special feature incorporating acceptance of Excel data based BTS data inputs by EMF Estimator software and avoiding manual keying of all the data. Further, linkages with 3D maps have also been requested.</w:t>
      </w:r>
    </w:p>
    <w:p w:rsidR="00061F17" w:rsidRPr="00061F17" w:rsidRDefault="00061F17" w:rsidP="00061F17">
      <w:pPr>
        <w:rPr>
          <w:rFonts w:cs="Arial"/>
          <w:szCs w:val="19"/>
          <w:lang w:val="en-US"/>
        </w:rPr>
      </w:pPr>
      <w:r w:rsidRPr="00061F17">
        <w:rPr>
          <w:rFonts w:eastAsia="Calibri" w:cs="Arial"/>
          <w:szCs w:val="19"/>
          <w:lang w:val="en-US"/>
        </w:rPr>
        <w:t>6.17</w:t>
      </w:r>
      <w:r w:rsidRPr="00061F17">
        <w:rPr>
          <w:rFonts w:eastAsia="Calibri" w:cs="Arial"/>
          <w:szCs w:val="19"/>
          <w:lang w:val="en-US"/>
        </w:rPr>
        <w:tab/>
        <w:t xml:space="preserve">An ITU Handbook on EMF Radiation should also be taken up by ITU-D under Q 23/1 or proposed Focus Group. It can include ITU’s generic guidelines on EMF including safe distances to be maintained for populated location directly falling within the main radiated lobe coverage based on typical shared sites radiating at say 20 Watts/ sector along with other safe usage instructions. The Handbook should also include “How to minimize exposures to EMF Radiations from Mobile Towers and handsets”, Do’s&amp; Don’t related to mobile phone usage, clarifications on various myths regarding </w:t>
      </w:r>
      <w:r w:rsidRPr="00061F17">
        <w:rPr>
          <w:rFonts w:cs="Arial"/>
          <w:szCs w:val="19"/>
          <w:lang w:val="en-US"/>
        </w:rPr>
        <w:t>deployment, use of Radio waves / Safety Standards and frequently asked questions relating to Mobile phones &amp; Human health. The Handbook shall help in facilitating the right inputs for world telecom community and create an environment where everyone can use the radio wave safely.</w:t>
      </w:r>
    </w:p>
    <w:p w:rsidR="00061F17" w:rsidRPr="00061F17" w:rsidRDefault="00061F17" w:rsidP="00061F17">
      <w:pPr>
        <w:spacing w:before="0"/>
        <w:rPr>
          <w:rFonts w:eastAsia="Calibri" w:cs="Arial"/>
          <w:b/>
          <w:szCs w:val="19"/>
          <w:lang w:val="en-US"/>
        </w:rPr>
      </w:pPr>
      <w:r w:rsidRPr="00061F17">
        <w:rPr>
          <w:rFonts w:eastAsia="Calibri" w:cs="Arial"/>
          <w:b/>
          <w:szCs w:val="19"/>
          <w:lang w:val="en-US"/>
        </w:rPr>
        <w:br w:type="page"/>
      </w:r>
    </w:p>
    <w:p w:rsidR="00061F17" w:rsidRDefault="00061F17" w:rsidP="00534837">
      <w:pPr>
        <w:pStyle w:val="Heading1"/>
        <w:tabs>
          <w:tab w:val="left" w:pos="1418"/>
        </w:tabs>
        <w:ind w:left="1418" w:hanging="1418"/>
        <w:rPr>
          <w:rFonts w:eastAsia="Calibri"/>
        </w:rPr>
      </w:pPr>
      <w:bookmarkStart w:id="244" w:name="_Toc374691852"/>
      <w:bookmarkStart w:id="245" w:name="_Toc377482139"/>
      <w:r w:rsidRPr="00061F17">
        <w:rPr>
          <w:rFonts w:eastAsia="Calibri"/>
        </w:rPr>
        <w:lastRenderedPageBreak/>
        <w:t xml:space="preserve">Annex 10A: </w:t>
      </w:r>
      <w:r w:rsidR="00A051DF">
        <w:rPr>
          <w:rFonts w:eastAsia="Calibri"/>
        </w:rPr>
        <w:tab/>
      </w:r>
      <w:r w:rsidRPr="00061F17">
        <w:rPr>
          <w:rFonts w:eastAsia="Calibri"/>
        </w:rPr>
        <w:t>Wireless</w:t>
      </w:r>
      <w:r w:rsidR="00A051DF">
        <w:rPr>
          <w:rFonts w:eastAsia="Calibri"/>
        </w:rPr>
        <w:t> </w:t>
      </w:r>
      <w:r w:rsidRPr="00061F17">
        <w:rPr>
          <w:rFonts w:eastAsia="Calibri"/>
        </w:rPr>
        <w:t>/</w:t>
      </w:r>
      <w:r w:rsidR="00A051DF">
        <w:rPr>
          <w:rFonts w:eastAsia="Calibri"/>
        </w:rPr>
        <w:t> </w:t>
      </w:r>
      <w:r w:rsidRPr="00061F17">
        <w:rPr>
          <w:rFonts w:eastAsia="Calibri"/>
        </w:rPr>
        <w:t>Landline subscribers as on 31</w:t>
      </w:r>
      <w:r w:rsidRPr="00061F17">
        <w:rPr>
          <w:rFonts w:eastAsia="Calibri"/>
          <w:vertAlign w:val="superscript"/>
        </w:rPr>
        <w:t>st</w:t>
      </w:r>
      <w:r w:rsidRPr="00061F17">
        <w:rPr>
          <w:rFonts w:eastAsia="Calibri"/>
        </w:rPr>
        <w:t xml:space="preserve"> March 2013 service area wise in India</w:t>
      </w:r>
      <w:bookmarkEnd w:id="244"/>
      <w:bookmarkEnd w:id="245"/>
    </w:p>
    <w:p w:rsidR="00C71B8F" w:rsidRPr="00C71B8F" w:rsidRDefault="00C71B8F" w:rsidP="00C71B8F">
      <w:pPr>
        <w:rPr>
          <w:lang w:val="en-US"/>
        </w:rPr>
      </w:pPr>
    </w:p>
    <w:tbl>
      <w:tblPr>
        <w:tblStyle w:val="Style1"/>
        <w:tblW w:w="0" w:type="auto"/>
        <w:tblInd w:w="108" w:type="dxa"/>
        <w:tblLook w:val="04A0" w:firstRow="1" w:lastRow="0" w:firstColumn="1" w:lastColumn="0" w:noHBand="0" w:noVBand="1"/>
      </w:tblPr>
      <w:tblGrid>
        <w:gridCol w:w="720"/>
        <w:gridCol w:w="3060"/>
        <w:gridCol w:w="2610"/>
        <w:gridCol w:w="2682"/>
      </w:tblGrid>
      <w:tr w:rsidR="00061F17" w:rsidRPr="001D6905" w:rsidTr="00A11960">
        <w:trPr>
          <w:cnfStyle w:val="100000000000" w:firstRow="1" w:lastRow="0" w:firstColumn="0" w:lastColumn="0" w:oddVBand="0" w:evenVBand="0" w:oddHBand="0" w:evenHBand="0" w:firstRowFirstColumn="0" w:firstRowLastColumn="0" w:lastRowFirstColumn="0" w:lastRowLastColumn="0"/>
        </w:trPr>
        <w:tc>
          <w:tcPr>
            <w:tcW w:w="720" w:type="dxa"/>
          </w:tcPr>
          <w:p w:rsidR="00061F17" w:rsidRPr="00BD3B9A" w:rsidRDefault="00061F17" w:rsidP="00C71B8F">
            <w:pPr>
              <w:pStyle w:val="Tablehead"/>
            </w:pPr>
            <w:r w:rsidRPr="00BD3B9A">
              <w:t>Sl No.</w:t>
            </w:r>
          </w:p>
        </w:tc>
        <w:tc>
          <w:tcPr>
            <w:tcW w:w="3060" w:type="dxa"/>
          </w:tcPr>
          <w:p w:rsidR="00061F17" w:rsidRPr="00BD3B9A" w:rsidRDefault="00061F17" w:rsidP="00C71B8F">
            <w:pPr>
              <w:pStyle w:val="Tablehead"/>
            </w:pPr>
            <w:r w:rsidRPr="00BD3B9A">
              <w:t>License Service Area</w:t>
            </w:r>
          </w:p>
        </w:tc>
        <w:tc>
          <w:tcPr>
            <w:tcW w:w="2610" w:type="dxa"/>
          </w:tcPr>
          <w:p w:rsidR="00061F17" w:rsidRPr="00BD3B9A" w:rsidRDefault="00061F17" w:rsidP="00C71B8F">
            <w:pPr>
              <w:pStyle w:val="Tablehead"/>
            </w:pPr>
            <w:r w:rsidRPr="00BD3B9A">
              <w:t>Number of Wireless Subscriber</w:t>
            </w:r>
          </w:p>
        </w:tc>
        <w:tc>
          <w:tcPr>
            <w:tcW w:w="2682" w:type="dxa"/>
          </w:tcPr>
          <w:p w:rsidR="00061F17" w:rsidRPr="00BD3B9A" w:rsidRDefault="00061F17" w:rsidP="00C71B8F">
            <w:pPr>
              <w:pStyle w:val="Tablehead"/>
            </w:pPr>
            <w:r w:rsidRPr="00BD3B9A">
              <w:t>Number of Landline Subscriber</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pPr>
            <w:r w:rsidRPr="001D6905">
              <w:t>1</w:t>
            </w:r>
          </w:p>
        </w:tc>
        <w:tc>
          <w:tcPr>
            <w:tcW w:w="3060" w:type="dxa"/>
          </w:tcPr>
          <w:p w:rsidR="00061F17" w:rsidRPr="001D6905" w:rsidRDefault="00061F17" w:rsidP="00C71B8F">
            <w:pPr>
              <w:pStyle w:val="Tabletext"/>
              <w:rPr>
                <w:rFonts w:eastAsia="Calibri"/>
              </w:rPr>
            </w:pPr>
            <w:r w:rsidRPr="001D6905">
              <w:t>Andhra Pradesh</w:t>
            </w:r>
          </w:p>
        </w:tc>
        <w:tc>
          <w:tcPr>
            <w:tcW w:w="2610" w:type="dxa"/>
          </w:tcPr>
          <w:p w:rsidR="00061F17" w:rsidRPr="001D6905" w:rsidRDefault="00061F17" w:rsidP="00C71B8F">
            <w:pPr>
              <w:pStyle w:val="Tabletext"/>
              <w:rPr>
                <w:rFonts w:eastAsia="Calibri"/>
              </w:rPr>
            </w:pPr>
            <w:r w:rsidRPr="001D6905">
              <w:t>64363622</w:t>
            </w:r>
          </w:p>
        </w:tc>
        <w:tc>
          <w:tcPr>
            <w:tcW w:w="2682" w:type="dxa"/>
          </w:tcPr>
          <w:p w:rsidR="00061F17" w:rsidRPr="001D6905" w:rsidRDefault="00061F17" w:rsidP="00C71B8F">
            <w:pPr>
              <w:pStyle w:val="Tabletext"/>
              <w:rPr>
                <w:rFonts w:eastAsia="Calibri"/>
                <w:lang w:val="en-GB" w:eastAsia="ar-SA"/>
              </w:rPr>
            </w:pPr>
            <w:r w:rsidRPr="001D6905">
              <w:t>2239363</w:t>
            </w:r>
          </w:p>
        </w:tc>
      </w:tr>
      <w:tr w:rsidR="00061F17" w:rsidRPr="001D6905" w:rsidTr="00A11960">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061F17" w:rsidRPr="001D6905" w:rsidRDefault="00061F17" w:rsidP="00C71B8F">
            <w:pPr>
              <w:pStyle w:val="Tabletext"/>
            </w:pPr>
            <w:r w:rsidRPr="001D6905">
              <w:t>2</w:t>
            </w:r>
          </w:p>
        </w:tc>
        <w:tc>
          <w:tcPr>
            <w:tcW w:w="3060" w:type="dxa"/>
          </w:tcPr>
          <w:p w:rsidR="00061F17" w:rsidRPr="001D6905" w:rsidRDefault="00061F17" w:rsidP="00C71B8F">
            <w:pPr>
              <w:pStyle w:val="Tabletext"/>
              <w:rPr>
                <w:rFonts w:eastAsia="Calibri"/>
              </w:rPr>
            </w:pPr>
            <w:r w:rsidRPr="001D6905">
              <w:t>Assam</w:t>
            </w:r>
          </w:p>
        </w:tc>
        <w:tc>
          <w:tcPr>
            <w:tcW w:w="2610" w:type="dxa"/>
          </w:tcPr>
          <w:p w:rsidR="00061F17" w:rsidRPr="001D6905" w:rsidRDefault="00061F17" w:rsidP="00C71B8F">
            <w:pPr>
              <w:pStyle w:val="Tabletext"/>
              <w:rPr>
                <w:rFonts w:eastAsia="Calibri"/>
              </w:rPr>
            </w:pPr>
            <w:r w:rsidRPr="001D6905">
              <w:t>14387664</w:t>
            </w:r>
          </w:p>
        </w:tc>
        <w:tc>
          <w:tcPr>
            <w:tcW w:w="2682" w:type="dxa"/>
          </w:tcPr>
          <w:p w:rsidR="00061F17" w:rsidRPr="001D6905" w:rsidRDefault="00061F17" w:rsidP="00C71B8F">
            <w:pPr>
              <w:pStyle w:val="Tabletext"/>
              <w:rPr>
                <w:rFonts w:eastAsia="Calibri"/>
                <w:lang w:val="en-GB" w:eastAsia="ar-SA"/>
              </w:rPr>
            </w:pPr>
            <w:r w:rsidRPr="001D6905">
              <w:t>194395</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pPr>
            <w:r w:rsidRPr="001D6905">
              <w:t>3</w:t>
            </w:r>
          </w:p>
        </w:tc>
        <w:tc>
          <w:tcPr>
            <w:tcW w:w="3060" w:type="dxa"/>
          </w:tcPr>
          <w:p w:rsidR="00061F17" w:rsidRPr="001D6905" w:rsidRDefault="00061F17" w:rsidP="00C71B8F">
            <w:pPr>
              <w:pStyle w:val="Tabletext"/>
              <w:rPr>
                <w:rFonts w:eastAsia="Calibri"/>
              </w:rPr>
            </w:pPr>
            <w:r w:rsidRPr="001D6905">
              <w:t>Bihar</w:t>
            </w:r>
          </w:p>
        </w:tc>
        <w:tc>
          <w:tcPr>
            <w:tcW w:w="2610" w:type="dxa"/>
          </w:tcPr>
          <w:p w:rsidR="00061F17" w:rsidRPr="001D6905" w:rsidRDefault="00061F17" w:rsidP="00C71B8F">
            <w:pPr>
              <w:pStyle w:val="Tabletext"/>
              <w:rPr>
                <w:rFonts w:eastAsia="Calibri"/>
              </w:rPr>
            </w:pPr>
            <w:r w:rsidRPr="001D6905">
              <w:t>60301859</w:t>
            </w:r>
          </w:p>
        </w:tc>
        <w:tc>
          <w:tcPr>
            <w:tcW w:w="2682" w:type="dxa"/>
          </w:tcPr>
          <w:p w:rsidR="00061F17" w:rsidRPr="001D6905" w:rsidRDefault="00061F17" w:rsidP="00C71B8F">
            <w:pPr>
              <w:pStyle w:val="Tabletext"/>
              <w:rPr>
                <w:rFonts w:eastAsia="Calibri"/>
                <w:lang w:val="en-GB" w:eastAsia="ar-SA"/>
              </w:rPr>
            </w:pPr>
            <w:r w:rsidRPr="001D6905">
              <w:t>394129</w:t>
            </w:r>
          </w:p>
        </w:tc>
      </w:tr>
      <w:tr w:rsidR="00061F17" w:rsidRPr="001D6905" w:rsidTr="00A11960">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061F17" w:rsidRPr="001D6905" w:rsidRDefault="00061F17" w:rsidP="00C71B8F">
            <w:pPr>
              <w:pStyle w:val="Tabletext"/>
            </w:pPr>
            <w:r w:rsidRPr="001D6905">
              <w:t>4</w:t>
            </w:r>
          </w:p>
        </w:tc>
        <w:tc>
          <w:tcPr>
            <w:tcW w:w="3060" w:type="dxa"/>
          </w:tcPr>
          <w:p w:rsidR="00061F17" w:rsidRPr="001D6905" w:rsidRDefault="00061F17" w:rsidP="00C71B8F">
            <w:pPr>
              <w:pStyle w:val="Tabletext"/>
              <w:rPr>
                <w:rFonts w:eastAsia="Calibri"/>
              </w:rPr>
            </w:pPr>
            <w:r w:rsidRPr="001D6905">
              <w:t>Delhi</w:t>
            </w:r>
          </w:p>
        </w:tc>
        <w:tc>
          <w:tcPr>
            <w:tcW w:w="2610" w:type="dxa"/>
          </w:tcPr>
          <w:p w:rsidR="00061F17" w:rsidRPr="001D6905" w:rsidRDefault="00061F17" w:rsidP="00C71B8F">
            <w:pPr>
              <w:pStyle w:val="Tabletext"/>
              <w:rPr>
                <w:rFonts w:eastAsia="Calibri"/>
              </w:rPr>
            </w:pPr>
            <w:r w:rsidRPr="001D6905">
              <w:t>40426200</w:t>
            </w:r>
          </w:p>
        </w:tc>
        <w:tc>
          <w:tcPr>
            <w:tcW w:w="2682" w:type="dxa"/>
          </w:tcPr>
          <w:p w:rsidR="00061F17" w:rsidRPr="001D6905" w:rsidRDefault="00061F17" w:rsidP="00C71B8F">
            <w:pPr>
              <w:pStyle w:val="Tabletext"/>
              <w:rPr>
                <w:rFonts w:eastAsia="Calibri"/>
                <w:lang w:val="en-GB" w:eastAsia="ar-SA"/>
              </w:rPr>
            </w:pPr>
            <w:r w:rsidRPr="001D6905">
              <w:t>2962600</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pPr>
            <w:r w:rsidRPr="001D6905">
              <w:t>5</w:t>
            </w:r>
          </w:p>
        </w:tc>
        <w:tc>
          <w:tcPr>
            <w:tcW w:w="3060" w:type="dxa"/>
          </w:tcPr>
          <w:p w:rsidR="00061F17" w:rsidRPr="001D6905" w:rsidRDefault="00061F17" w:rsidP="00C71B8F">
            <w:pPr>
              <w:pStyle w:val="Tabletext"/>
              <w:rPr>
                <w:rFonts w:eastAsia="Calibri"/>
              </w:rPr>
            </w:pPr>
            <w:r w:rsidRPr="001D6905">
              <w:t>Gujarat</w:t>
            </w:r>
          </w:p>
        </w:tc>
        <w:tc>
          <w:tcPr>
            <w:tcW w:w="2610" w:type="dxa"/>
          </w:tcPr>
          <w:p w:rsidR="00061F17" w:rsidRPr="001D6905" w:rsidRDefault="00061F17" w:rsidP="00C71B8F">
            <w:pPr>
              <w:pStyle w:val="Tabletext"/>
              <w:rPr>
                <w:rFonts w:eastAsia="Calibri"/>
              </w:rPr>
            </w:pPr>
            <w:r w:rsidRPr="001D6905">
              <w:t>51693364</w:t>
            </w:r>
          </w:p>
        </w:tc>
        <w:tc>
          <w:tcPr>
            <w:tcW w:w="2682" w:type="dxa"/>
          </w:tcPr>
          <w:p w:rsidR="00061F17" w:rsidRPr="001D6905" w:rsidRDefault="00061F17" w:rsidP="00C71B8F">
            <w:pPr>
              <w:pStyle w:val="Tabletext"/>
              <w:rPr>
                <w:rFonts w:eastAsia="Calibri"/>
                <w:lang w:val="en-GB" w:eastAsia="ar-SA"/>
              </w:rPr>
            </w:pPr>
            <w:r w:rsidRPr="001D6905">
              <w:t>1792030</w:t>
            </w:r>
          </w:p>
        </w:tc>
      </w:tr>
      <w:tr w:rsidR="00061F17" w:rsidRPr="001D6905" w:rsidTr="00A11960">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061F17" w:rsidRPr="001D6905" w:rsidRDefault="00061F17" w:rsidP="00C71B8F">
            <w:pPr>
              <w:pStyle w:val="Tabletext"/>
            </w:pPr>
            <w:r w:rsidRPr="001D6905">
              <w:t>6</w:t>
            </w:r>
          </w:p>
        </w:tc>
        <w:tc>
          <w:tcPr>
            <w:tcW w:w="3060" w:type="dxa"/>
          </w:tcPr>
          <w:p w:rsidR="00061F17" w:rsidRPr="001D6905" w:rsidRDefault="00061F17" w:rsidP="00C71B8F">
            <w:pPr>
              <w:pStyle w:val="Tabletext"/>
              <w:rPr>
                <w:rFonts w:eastAsia="Calibri"/>
              </w:rPr>
            </w:pPr>
            <w:r w:rsidRPr="001D6905">
              <w:t>Haryana</w:t>
            </w:r>
          </w:p>
        </w:tc>
        <w:tc>
          <w:tcPr>
            <w:tcW w:w="2610" w:type="dxa"/>
          </w:tcPr>
          <w:p w:rsidR="00061F17" w:rsidRPr="001D6905" w:rsidRDefault="00061F17" w:rsidP="00C71B8F">
            <w:pPr>
              <w:pStyle w:val="Tabletext"/>
              <w:rPr>
                <w:rFonts w:eastAsia="Calibri"/>
              </w:rPr>
            </w:pPr>
            <w:r w:rsidRPr="001D6905">
              <w:t>19543589</w:t>
            </w:r>
          </w:p>
        </w:tc>
        <w:tc>
          <w:tcPr>
            <w:tcW w:w="2682" w:type="dxa"/>
          </w:tcPr>
          <w:p w:rsidR="00061F17" w:rsidRPr="001D6905" w:rsidRDefault="00061F17" w:rsidP="00C71B8F">
            <w:pPr>
              <w:pStyle w:val="Tabletext"/>
              <w:rPr>
                <w:rFonts w:eastAsia="Calibri"/>
                <w:lang w:val="en-GB" w:eastAsia="ar-SA"/>
              </w:rPr>
            </w:pPr>
            <w:r w:rsidRPr="001D6905">
              <w:t>560474</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pPr>
            <w:r w:rsidRPr="001D6905">
              <w:t>7</w:t>
            </w:r>
          </w:p>
        </w:tc>
        <w:tc>
          <w:tcPr>
            <w:tcW w:w="3060" w:type="dxa"/>
          </w:tcPr>
          <w:p w:rsidR="00061F17" w:rsidRPr="001D6905" w:rsidRDefault="00061F17" w:rsidP="00C71B8F">
            <w:pPr>
              <w:pStyle w:val="Tabletext"/>
              <w:rPr>
                <w:rFonts w:eastAsia="Calibri"/>
              </w:rPr>
            </w:pPr>
            <w:r w:rsidRPr="001D6905">
              <w:t>Himachal Pradesh</w:t>
            </w:r>
          </w:p>
        </w:tc>
        <w:tc>
          <w:tcPr>
            <w:tcW w:w="2610" w:type="dxa"/>
          </w:tcPr>
          <w:p w:rsidR="00061F17" w:rsidRPr="001D6905" w:rsidRDefault="00061F17" w:rsidP="00C71B8F">
            <w:pPr>
              <w:pStyle w:val="Tabletext"/>
              <w:rPr>
                <w:rFonts w:eastAsia="Calibri"/>
              </w:rPr>
            </w:pPr>
            <w:r w:rsidRPr="001D6905">
              <w:t>7015343</w:t>
            </w:r>
          </w:p>
        </w:tc>
        <w:tc>
          <w:tcPr>
            <w:tcW w:w="2682" w:type="dxa"/>
          </w:tcPr>
          <w:p w:rsidR="00061F17" w:rsidRPr="001D6905" w:rsidRDefault="00061F17" w:rsidP="00C71B8F">
            <w:pPr>
              <w:pStyle w:val="Tabletext"/>
              <w:rPr>
                <w:rFonts w:eastAsia="Calibri"/>
                <w:lang w:val="en-GB" w:eastAsia="ar-SA"/>
              </w:rPr>
            </w:pPr>
            <w:r w:rsidRPr="001D6905">
              <w:t>280669</w:t>
            </w:r>
          </w:p>
        </w:tc>
      </w:tr>
      <w:tr w:rsidR="00061F17" w:rsidRPr="001D6905" w:rsidTr="00A11960">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061F17" w:rsidRPr="001D6905" w:rsidRDefault="00061F17" w:rsidP="00C71B8F">
            <w:pPr>
              <w:pStyle w:val="Tabletext"/>
            </w:pPr>
            <w:r w:rsidRPr="001D6905">
              <w:t>8</w:t>
            </w:r>
          </w:p>
        </w:tc>
        <w:tc>
          <w:tcPr>
            <w:tcW w:w="3060" w:type="dxa"/>
          </w:tcPr>
          <w:p w:rsidR="00061F17" w:rsidRPr="001D6905" w:rsidRDefault="00061F17" w:rsidP="00C71B8F">
            <w:pPr>
              <w:pStyle w:val="Tabletext"/>
              <w:rPr>
                <w:rFonts w:eastAsia="Calibri"/>
              </w:rPr>
            </w:pPr>
            <w:r w:rsidRPr="001D6905">
              <w:t>Jammu &amp; Kashmir</w:t>
            </w:r>
          </w:p>
        </w:tc>
        <w:tc>
          <w:tcPr>
            <w:tcW w:w="2610" w:type="dxa"/>
          </w:tcPr>
          <w:p w:rsidR="00061F17" w:rsidRPr="001D6905" w:rsidRDefault="00061F17" w:rsidP="00C71B8F">
            <w:pPr>
              <w:pStyle w:val="Tabletext"/>
              <w:rPr>
                <w:rFonts w:eastAsia="Calibri"/>
              </w:rPr>
            </w:pPr>
            <w:r w:rsidRPr="001D6905">
              <w:t>6844607</w:t>
            </w:r>
          </w:p>
        </w:tc>
        <w:tc>
          <w:tcPr>
            <w:tcW w:w="2682" w:type="dxa"/>
          </w:tcPr>
          <w:p w:rsidR="00061F17" w:rsidRPr="001D6905" w:rsidRDefault="00061F17" w:rsidP="00C71B8F">
            <w:pPr>
              <w:pStyle w:val="Tabletext"/>
              <w:rPr>
                <w:rFonts w:eastAsia="Calibri"/>
                <w:lang w:val="en-GB" w:eastAsia="ar-SA"/>
              </w:rPr>
            </w:pPr>
            <w:r w:rsidRPr="001D6905">
              <w:t>196811</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pPr>
            <w:r w:rsidRPr="001D6905">
              <w:t>9</w:t>
            </w:r>
          </w:p>
        </w:tc>
        <w:tc>
          <w:tcPr>
            <w:tcW w:w="3060" w:type="dxa"/>
          </w:tcPr>
          <w:p w:rsidR="00061F17" w:rsidRPr="001D6905" w:rsidRDefault="00061F17" w:rsidP="00C71B8F">
            <w:pPr>
              <w:pStyle w:val="Tabletext"/>
              <w:rPr>
                <w:rFonts w:eastAsia="Calibri"/>
              </w:rPr>
            </w:pPr>
            <w:r w:rsidRPr="001D6905">
              <w:t>Karnataka</w:t>
            </w:r>
          </w:p>
        </w:tc>
        <w:tc>
          <w:tcPr>
            <w:tcW w:w="2610" w:type="dxa"/>
          </w:tcPr>
          <w:p w:rsidR="00061F17" w:rsidRPr="001D6905" w:rsidRDefault="00061F17" w:rsidP="00C71B8F">
            <w:pPr>
              <w:pStyle w:val="Tabletext"/>
              <w:rPr>
                <w:rFonts w:eastAsia="Calibri"/>
              </w:rPr>
            </w:pPr>
            <w:r w:rsidRPr="001D6905">
              <w:t>52914789</w:t>
            </w:r>
          </w:p>
        </w:tc>
        <w:tc>
          <w:tcPr>
            <w:tcW w:w="2682" w:type="dxa"/>
          </w:tcPr>
          <w:p w:rsidR="00061F17" w:rsidRPr="001D6905" w:rsidRDefault="00061F17" w:rsidP="00C71B8F">
            <w:pPr>
              <w:pStyle w:val="Tabletext"/>
              <w:rPr>
                <w:rFonts w:eastAsia="Calibri"/>
                <w:lang w:val="en-GB" w:eastAsia="ar-SA"/>
              </w:rPr>
            </w:pPr>
            <w:r w:rsidRPr="001D6905">
              <w:t>2443394</w:t>
            </w:r>
          </w:p>
        </w:tc>
      </w:tr>
      <w:tr w:rsidR="00061F17" w:rsidRPr="001D6905" w:rsidTr="00A11960">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061F17" w:rsidRPr="001D6905" w:rsidRDefault="00061F17" w:rsidP="00C71B8F">
            <w:pPr>
              <w:pStyle w:val="Tabletext"/>
            </w:pPr>
            <w:r w:rsidRPr="001D6905">
              <w:t>10</w:t>
            </w:r>
          </w:p>
        </w:tc>
        <w:tc>
          <w:tcPr>
            <w:tcW w:w="3060" w:type="dxa"/>
          </w:tcPr>
          <w:p w:rsidR="00061F17" w:rsidRPr="001D6905" w:rsidRDefault="00061F17" w:rsidP="00C71B8F">
            <w:pPr>
              <w:pStyle w:val="Tabletext"/>
              <w:rPr>
                <w:rFonts w:eastAsia="Calibri"/>
              </w:rPr>
            </w:pPr>
            <w:r w:rsidRPr="001D6905">
              <w:t>Kerala</w:t>
            </w:r>
          </w:p>
        </w:tc>
        <w:tc>
          <w:tcPr>
            <w:tcW w:w="2610" w:type="dxa"/>
          </w:tcPr>
          <w:p w:rsidR="00061F17" w:rsidRPr="001D6905" w:rsidRDefault="00061F17" w:rsidP="00C71B8F">
            <w:pPr>
              <w:pStyle w:val="Tabletext"/>
              <w:rPr>
                <w:rFonts w:eastAsia="Calibri"/>
              </w:rPr>
            </w:pPr>
            <w:r w:rsidRPr="001D6905">
              <w:t>30692668</w:t>
            </w:r>
          </w:p>
        </w:tc>
        <w:tc>
          <w:tcPr>
            <w:tcW w:w="2682" w:type="dxa"/>
          </w:tcPr>
          <w:p w:rsidR="00061F17" w:rsidRPr="001D6905" w:rsidRDefault="00061F17" w:rsidP="00C71B8F">
            <w:pPr>
              <w:pStyle w:val="Tabletext"/>
              <w:rPr>
                <w:rFonts w:eastAsia="Calibri"/>
                <w:lang w:val="en-GB" w:eastAsia="ar-SA"/>
              </w:rPr>
            </w:pPr>
            <w:r w:rsidRPr="001D6905">
              <w:t>3064818</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pPr>
            <w:r w:rsidRPr="001D6905">
              <w:t>11</w:t>
            </w:r>
          </w:p>
        </w:tc>
        <w:tc>
          <w:tcPr>
            <w:tcW w:w="3060" w:type="dxa"/>
          </w:tcPr>
          <w:p w:rsidR="00061F17" w:rsidRPr="001D6905" w:rsidRDefault="00061F17" w:rsidP="00C71B8F">
            <w:pPr>
              <w:pStyle w:val="Tabletext"/>
              <w:rPr>
                <w:rFonts w:eastAsia="Calibri"/>
              </w:rPr>
            </w:pPr>
            <w:r w:rsidRPr="001D6905">
              <w:t>Kolkata</w:t>
            </w:r>
          </w:p>
        </w:tc>
        <w:tc>
          <w:tcPr>
            <w:tcW w:w="2610" w:type="dxa"/>
          </w:tcPr>
          <w:p w:rsidR="00061F17" w:rsidRPr="001D6905" w:rsidRDefault="00061F17" w:rsidP="00C71B8F">
            <w:pPr>
              <w:pStyle w:val="Tabletext"/>
              <w:rPr>
                <w:rFonts w:eastAsia="Calibri"/>
              </w:rPr>
            </w:pPr>
            <w:r w:rsidRPr="001D6905">
              <w:t>21260064</w:t>
            </w:r>
          </w:p>
        </w:tc>
        <w:tc>
          <w:tcPr>
            <w:tcW w:w="2682" w:type="dxa"/>
          </w:tcPr>
          <w:p w:rsidR="00061F17" w:rsidRPr="001D6905" w:rsidRDefault="00061F17" w:rsidP="00C71B8F">
            <w:pPr>
              <w:pStyle w:val="Tabletext"/>
              <w:rPr>
                <w:rFonts w:eastAsia="Calibri"/>
                <w:lang w:val="en-GB" w:eastAsia="ar-SA"/>
              </w:rPr>
            </w:pPr>
            <w:r w:rsidRPr="001D6905">
              <w:t>1144255</w:t>
            </w:r>
          </w:p>
        </w:tc>
      </w:tr>
      <w:tr w:rsidR="00061F17" w:rsidRPr="001D6905" w:rsidTr="00A11960">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061F17" w:rsidRPr="001D6905" w:rsidRDefault="00061F17" w:rsidP="00C71B8F">
            <w:pPr>
              <w:pStyle w:val="Tabletext"/>
            </w:pPr>
            <w:r w:rsidRPr="001D6905">
              <w:t>12</w:t>
            </w:r>
          </w:p>
        </w:tc>
        <w:tc>
          <w:tcPr>
            <w:tcW w:w="3060" w:type="dxa"/>
          </w:tcPr>
          <w:p w:rsidR="00061F17" w:rsidRPr="001D6905" w:rsidRDefault="00061F17" w:rsidP="00C71B8F">
            <w:pPr>
              <w:pStyle w:val="Tabletext"/>
              <w:rPr>
                <w:rFonts w:eastAsia="Calibri"/>
              </w:rPr>
            </w:pPr>
            <w:r w:rsidRPr="001D6905">
              <w:t>Madhya Pradesh</w:t>
            </w:r>
          </w:p>
        </w:tc>
        <w:tc>
          <w:tcPr>
            <w:tcW w:w="2610" w:type="dxa"/>
          </w:tcPr>
          <w:p w:rsidR="00061F17" w:rsidRPr="001D6905" w:rsidRDefault="00061F17" w:rsidP="00C71B8F">
            <w:pPr>
              <w:pStyle w:val="Tabletext"/>
              <w:rPr>
                <w:rFonts w:eastAsia="Calibri"/>
              </w:rPr>
            </w:pPr>
            <w:r w:rsidRPr="001D6905">
              <w:t>52164292</w:t>
            </w:r>
          </w:p>
        </w:tc>
        <w:tc>
          <w:tcPr>
            <w:tcW w:w="2682" w:type="dxa"/>
          </w:tcPr>
          <w:p w:rsidR="00061F17" w:rsidRPr="001D6905" w:rsidRDefault="00061F17" w:rsidP="00C71B8F">
            <w:pPr>
              <w:pStyle w:val="Tabletext"/>
              <w:rPr>
                <w:rFonts w:eastAsia="Calibri"/>
                <w:lang w:val="en-GB" w:eastAsia="ar-SA"/>
              </w:rPr>
            </w:pPr>
            <w:r w:rsidRPr="001D6905">
              <w:t>1120350</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pPr>
            <w:r w:rsidRPr="001D6905">
              <w:t>13</w:t>
            </w:r>
          </w:p>
        </w:tc>
        <w:tc>
          <w:tcPr>
            <w:tcW w:w="3060" w:type="dxa"/>
          </w:tcPr>
          <w:p w:rsidR="00061F17" w:rsidRPr="001D6905" w:rsidRDefault="00061F17" w:rsidP="00C71B8F">
            <w:pPr>
              <w:pStyle w:val="Tabletext"/>
              <w:rPr>
                <w:rFonts w:eastAsia="Calibri"/>
              </w:rPr>
            </w:pPr>
            <w:r w:rsidRPr="001D6905">
              <w:t>Maharashtra</w:t>
            </w:r>
          </w:p>
        </w:tc>
        <w:tc>
          <w:tcPr>
            <w:tcW w:w="2610" w:type="dxa"/>
          </w:tcPr>
          <w:p w:rsidR="00061F17" w:rsidRPr="001D6905" w:rsidRDefault="00061F17" w:rsidP="00C71B8F">
            <w:pPr>
              <w:pStyle w:val="Tabletext"/>
              <w:rPr>
                <w:rFonts w:eastAsia="Calibri"/>
              </w:rPr>
            </w:pPr>
            <w:r w:rsidRPr="001D6905">
              <w:t>68400365</w:t>
            </w:r>
          </w:p>
        </w:tc>
        <w:tc>
          <w:tcPr>
            <w:tcW w:w="2682" w:type="dxa"/>
          </w:tcPr>
          <w:p w:rsidR="00061F17" w:rsidRPr="001D6905" w:rsidRDefault="00061F17" w:rsidP="00C71B8F">
            <w:pPr>
              <w:pStyle w:val="Tabletext"/>
              <w:rPr>
                <w:rFonts w:eastAsia="Calibri"/>
                <w:lang w:val="en-GB" w:eastAsia="ar-SA"/>
              </w:rPr>
            </w:pPr>
            <w:r w:rsidRPr="001D6905">
              <w:t>2466496</w:t>
            </w:r>
          </w:p>
        </w:tc>
      </w:tr>
      <w:tr w:rsidR="00061F17" w:rsidRPr="001D6905" w:rsidTr="00A11960">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061F17" w:rsidRPr="001D6905" w:rsidRDefault="00061F17" w:rsidP="00C71B8F">
            <w:pPr>
              <w:pStyle w:val="Tabletext"/>
            </w:pPr>
            <w:r w:rsidRPr="001D6905">
              <w:t>14</w:t>
            </w:r>
          </w:p>
        </w:tc>
        <w:tc>
          <w:tcPr>
            <w:tcW w:w="3060" w:type="dxa"/>
          </w:tcPr>
          <w:p w:rsidR="00061F17" w:rsidRPr="001D6905" w:rsidRDefault="00061F17" w:rsidP="00C71B8F">
            <w:pPr>
              <w:pStyle w:val="Tabletext"/>
              <w:rPr>
                <w:rFonts w:eastAsia="Calibri"/>
              </w:rPr>
            </w:pPr>
            <w:r w:rsidRPr="001D6905">
              <w:t>Mumbai</w:t>
            </w:r>
          </w:p>
        </w:tc>
        <w:tc>
          <w:tcPr>
            <w:tcW w:w="2610" w:type="dxa"/>
          </w:tcPr>
          <w:p w:rsidR="00061F17" w:rsidRPr="001D6905" w:rsidRDefault="00061F17" w:rsidP="00C71B8F">
            <w:pPr>
              <w:pStyle w:val="Tabletext"/>
              <w:rPr>
                <w:rFonts w:eastAsia="Calibri"/>
              </w:rPr>
            </w:pPr>
            <w:r w:rsidRPr="001D6905">
              <w:t>30372793</w:t>
            </w:r>
          </w:p>
        </w:tc>
        <w:tc>
          <w:tcPr>
            <w:tcW w:w="2682" w:type="dxa"/>
          </w:tcPr>
          <w:p w:rsidR="00061F17" w:rsidRPr="001D6905" w:rsidRDefault="00061F17" w:rsidP="00C71B8F">
            <w:pPr>
              <w:pStyle w:val="Tabletext"/>
              <w:rPr>
                <w:rFonts w:eastAsia="Calibri"/>
                <w:lang w:val="en-GB" w:eastAsia="ar-SA"/>
              </w:rPr>
            </w:pPr>
            <w:r w:rsidRPr="001D6905">
              <w:t>2985057</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pPr>
            <w:r w:rsidRPr="001D6905">
              <w:t>15</w:t>
            </w:r>
          </w:p>
        </w:tc>
        <w:tc>
          <w:tcPr>
            <w:tcW w:w="3060" w:type="dxa"/>
          </w:tcPr>
          <w:p w:rsidR="00061F17" w:rsidRPr="001D6905" w:rsidRDefault="00061F17" w:rsidP="00C71B8F">
            <w:pPr>
              <w:pStyle w:val="Tabletext"/>
              <w:rPr>
                <w:rFonts w:eastAsia="Calibri"/>
              </w:rPr>
            </w:pPr>
            <w:r w:rsidRPr="001D6905">
              <w:t>North East</w:t>
            </w:r>
          </w:p>
        </w:tc>
        <w:tc>
          <w:tcPr>
            <w:tcW w:w="2610" w:type="dxa"/>
          </w:tcPr>
          <w:p w:rsidR="00061F17" w:rsidRPr="001D6905" w:rsidRDefault="00061F17" w:rsidP="00C71B8F">
            <w:pPr>
              <w:pStyle w:val="Tabletext"/>
              <w:rPr>
                <w:rFonts w:eastAsia="Calibri"/>
              </w:rPr>
            </w:pPr>
            <w:r w:rsidRPr="001D6905">
              <w:t>8960542</w:t>
            </w:r>
          </w:p>
        </w:tc>
        <w:tc>
          <w:tcPr>
            <w:tcW w:w="2682" w:type="dxa"/>
          </w:tcPr>
          <w:p w:rsidR="00061F17" w:rsidRPr="001D6905" w:rsidRDefault="00061F17" w:rsidP="00C71B8F">
            <w:pPr>
              <w:pStyle w:val="Tabletext"/>
              <w:rPr>
                <w:rFonts w:eastAsia="Calibri"/>
                <w:lang w:val="en-GB" w:eastAsia="ar-SA"/>
              </w:rPr>
            </w:pPr>
            <w:r w:rsidRPr="001D6905">
              <w:t>189884</w:t>
            </w:r>
          </w:p>
        </w:tc>
      </w:tr>
      <w:tr w:rsidR="00061F17" w:rsidRPr="001D6905" w:rsidTr="00A11960">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061F17" w:rsidRPr="001D6905" w:rsidRDefault="00061F17" w:rsidP="00C71B8F">
            <w:pPr>
              <w:pStyle w:val="Tabletext"/>
            </w:pPr>
            <w:r w:rsidRPr="001D6905">
              <w:t>16</w:t>
            </w:r>
          </w:p>
        </w:tc>
        <w:tc>
          <w:tcPr>
            <w:tcW w:w="3060" w:type="dxa"/>
          </w:tcPr>
          <w:p w:rsidR="00061F17" w:rsidRPr="001D6905" w:rsidRDefault="00061F17" w:rsidP="00C71B8F">
            <w:pPr>
              <w:pStyle w:val="Tabletext"/>
              <w:rPr>
                <w:rFonts w:eastAsia="Calibri"/>
              </w:rPr>
            </w:pPr>
            <w:r w:rsidRPr="001D6905">
              <w:t>Orissa</w:t>
            </w:r>
          </w:p>
        </w:tc>
        <w:tc>
          <w:tcPr>
            <w:tcW w:w="2610" w:type="dxa"/>
          </w:tcPr>
          <w:p w:rsidR="00061F17" w:rsidRPr="001D6905" w:rsidRDefault="00061F17" w:rsidP="00C71B8F">
            <w:pPr>
              <w:pStyle w:val="Tabletext"/>
              <w:rPr>
                <w:rFonts w:eastAsia="Calibri"/>
              </w:rPr>
            </w:pPr>
            <w:r w:rsidRPr="001D6905">
              <w:t>24601935</w:t>
            </w:r>
          </w:p>
        </w:tc>
        <w:tc>
          <w:tcPr>
            <w:tcW w:w="2682" w:type="dxa"/>
          </w:tcPr>
          <w:p w:rsidR="00061F17" w:rsidRPr="001D6905" w:rsidRDefault="00061F17" w:rsidP="00C71B8F">
            <w:pPr>
              <w:pStyle w:val="Tabletext"/>
              <w:rPr>
                <w:rFonts w:eastAsia="Calibri"/>
                <w:lang w:val="en-GB" w:eastAsia="ar-SA"/>
              </w:rPr>
            </w:pPr>
            <w:r w:rsidRPr="001D6905">
              <w:t>374427</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pPr>
            <w:r w:rsidRPr="001D6905">
              <w:t>17</w:t>
            </w:r>
          </w:p>
        </w:tc>
        <w:tc>
          <w:tcPr>
            <w:tcW w:w="3060" w:type="dxa"/>
          </w:tcPr>
          <w:p w:rsidR="00061F17" w:rsidRPr="001D6905" w:rsidRDefault="00061F17" w:rsidP="00C71B8F">
            <w:pPr>
              <w:pStyle w:val="Tabletext"/>
              <w:rPr>
                <w:rFonts w:eastAsia="Calibri"/>
              </w:rPr>
            </w:pPr>
            <w:r w:rsidRPr="001D6905">
              <w:t>Punjab</w:t>
            </w:r>
          </w:p>
        </w:tc>
        <w:tc>
          <w:tcPr>
            <w:tcW w:w="2610" w:type="dxa"/>
          </w:tcPr>
          <w:p w:rsidR="00061F17" w:rsidRPr="001D6905" w:rsidRDefault="00061F17" w:rsidP="00C71B8F">
            <w:pPr>
              <w:pStyle w:val="Tabletext"/>
              <w:rPr>
                <w:rFonts w:eastAsia="Calibri"/>
              </w:rPr>
            </w:pPr>
            <w:r w:rsidRPr="001D6905">
              <w:t>29462871</w:t>
            </w:r>
          </w:p>
        </w:tc>
        <w:tc>
          <w:tcPr>
            <w:tcW w:w="2682" w:type="dxa"/>
          </w:tcPr>
          <w:p w:rsidR="00061F17" w:rsidRPr="001D6905" w:rsidRDefault="00061F17" w:rsidP="00C71B8F">
            <w:pPr>
              <w:pStyle w:val="Tabletext"/>
              <w:rPr>
                <w:rFonts w:eastAsia="Calibri"/>
                <w:lang w:val="en-GB" w:eastAsia="ar-SA"/>
              </w:rPr>
            </w:pPr>
            <w:r w:rsidRPr="001D6905">
              <w:t>1320185</w:t>
            </w:r>
          </w:p>
        </w:tc>
      </w:tr>
      <w:tr w:rsidR="00061F17" w:rsidRPr="001D6905" w:rsidTr="00A11960">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061F17" w:rsidRPr="001D6905" w:rsidRDefault="00061F17" w:rsidP="00C71B8F">
            <w:pPr>
              <w:pStyle w:val="Tabletext"/>
            </w:pPr>
            <w:r w:rsidRPr="001D6905">
              <w:t>18</w:t>
            </w:r>
          </w:p>
        </w:tc>
        <w:tc>
          <w:tcPr>
            <w:tcW w:w="3060" w:type="dxa"/>
          </w:tcPr>
          <w:p w:rsidR="00061F17" w:rsidRPr="001D6905" w:rsidRDefault="00061F17" w:rsidP="00C71B8F">
            <w:pPr>
              <w:pStyle w:val="Tabletext"/>
              <w:rPr>
                <w:rFonts w:eastAsia="Calibri"/>
              </w:rPr>
            </w:pPr>
            <w:r w:rsidRPr="001D6905">
              <w:t>Rajasthan</w:t>
            </w:r>
          </w:p>
        </w:tc>
        <w:tc>
          <w:tcPr>
            <w:tcW w:w="2610" w:type="dxa"/>
          </w:tcPr>
          <w:p w:rsidR="00061F17" w:rsidRPr="001D6905" w:rsidRDefault="00061F17" w:rsidP="00C71B8F">
            <w:pPr>
              <w:pStyle w:val="Tabletext"/>
              <w:rPr>
                <w:rFonts w:eastAsia="Calibri"/>
              </w:rPr>
            </w:pPr>
            <w:r w:rsidRPr="001D6905">
              <w:t>48601130</w:t>
            </w:r>
          </w:p>
        </w:tc>
        <w:tc>
          <w:tcPr>
            <w:tcW w:w="2682" w:type="dxa"/>
          </w:tcPr>
          <w:p w:rsidR="00061F17" w:rsidRPr="001D6905" w:rsidRDefault="00061F17" w:rsidP="00C71B8F">
            <w:pPr>
              <w:pStyle w:val="Tabletext"/>
              <w:rPr>
                <w:rFonts w:eastAsia="Calibri"/>
                <w:lang w:val="en-GB" w:eastAsia="ar-SA"/>
              </w:rPr>
            </w:pPr>
            <w:r w:rsidRPr="001D6905">
              <w:t>1011041</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pPr>
            <w:r w:rsidRPr="001D6905">
              <w:t>19</w:t>
            </w:r>
          </w:p>
        </w:tc>
        <w:tc>
          <w:tcPr>
            <w:tcW w:w="3060" w:type="dxa"/>
          </w:tcPr>
          <w:p w:rsidR="00061F17" w:rsidRPr="001D6905" w:rsidRDefault="00061F17" w:rsidP="00C71B8F">
            <w:pPr>
              <w:pStyle w:val="Tabletext"/>
              <w:rPr>
                <w:rFonts w:eastAsia="Calibri"/>
              </w:rPr>
            </w:pPr>
            <w:r w:rsidRPr="001D6905">
              <w:t>Tamil Nadu (incl. Chennai)</w:t>
            </w:r>
          </w:p>
        </w:tc>
        <w:tc>
          <w:tcPr>
            <w:tcW w:w="2610" w:type="dxa"/>
          </w:tcPr>
          <w:p w:rsidR="00061F17" w:rsidRPr="001D6905" w:rsidRDefault="00061F17" w:rsidP="00C71B8F">
            <w:pPr>
              <w:pStyle w:val="Tabletext"/>
              <w:rPr>
                <w:rFonts w:eastAsia="Calibri"/>
              </w:rPr>
            </w:pPr>
            <w:r w:rsidRPr="001D6905">
              <w:t>72412392</w:t>
            </w:r>
          </w:p>
        </w:tc>
        <w:tc>
          <w:tcPr>
            <w:tcW w:w="2682" w:type="dxa"/>
          </w:tcPr>
          <w:p w:rsidR="00061F17" w:rsidRPr="001D6905" w:rsidRDefault="00061F17" w:rsidP="00C71B8F">
            <w:pPr>
              <w:pStyle w:val="Tabletext"/>
              <w:rPr>
                <w:rFonts w:eastAsia="Calibri"/>
                <w:lang w:val="en-GB" w:eastAsia="ar-SA"/>
              </w:rPr>
            </w:pPr>
            <w:r w:rsidRPr="001D6905">
              <w:t>3109695</w:t>
            </w:r>
          </w:p>
        </w:tc>
      </w:tr>
      <w:tr w:rsidR="00061F17" w:rsidRPr="001D6905" w:rsidTr="00A11960">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061F17" w:rsidRPr="001D6905" w:rsidRDefault="00061F17" w:rsidP="00C71B8F">
            <w:pPr>
              <w:pStyle w:val="Tabletext"/>
            </w:pPr>
            <w:r w:rsidRPr="001D6905">
              <w:t>20</w:t>
            </w:r>
          </w:p>
        </w:tc>
        <w:tc>
          <w:tcPr>
            <w:tcW w:w="3060" w:type="dxa"/>
          </w:tcPr>
          <w:p w:rsidR="00061F17" w:rsidRPr="001D6905" w:rsidRDefault="00061F17" w:rsidP="00C71B8F">
            <w:pPr>
              <w:pStyle w:val="Tabletext"/>
              <w:rPr>
                <w:rFonts w:eastAsia="Calibri"/>
              </w:rPr>
            </w:pPr>
            <w:r w:rsidRPr="001D6905">
              <w:rPr>
                <w:color w:val="000000"/>
              </w:rPr>
              <w:t>Uttar Pradesh (East)</w:t>
            </w:r>
          </w:p>
        </w:tc>
        <w:tc>
          <w:tcPr>
            <w:tcW w:w="2610" w:type="dxa"/>
          </w:tcPr>
          <w:p w:rsidR="00061F17" w:rsidRPr="001D6905" w:rsidRDefault="00061F17" w:rsidP="00C71B8F">
            <w:pPr>
              <w:pStyle w:val="Tabletext"/>
              <w:rPr>
                <w:rFonts w:eastAsia="Calibri"/>
              </w:rPr>
            </w:pPr>
            <w:r w:rsidRPr="001D6905">
              <w:t>73824150</w:t>
            </w:r>
          </w:p>
        </w:tc>
        <w:tc>
          <w:tcPr>
            <w:tcW w:w="2682" w:type="dxa"/>
          </w:tcPr>
          <w:p w:rsidR="00061F17" w:rsidRPr="001D6905" w:rsidRDefault="00061F17" w:rsidP="00C71B8F">
            <w:pPr>
              <w:pStyle w:val="Tabletext"/>
              <w:rPr>
                <w:rFonts w:eastAsia="Calibri"/>
                <w:lang w:val="en-GB" w:eastAsia="ar-SA"/>
              </w:rPr>
            </w:pPr>
            <w:r w:rsidRPr="001D6905">
              <w:t>1048303</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pPr>
            <w:r w:rsidRPr="001D6905">
              <w:t>21</w:t>
            </w:r>
          </w:p>
        </w:tc>
        <w:tc>
          <w:tcPr>
            <w:tcW w:w="3060" w:type="dxa"/>
          </w:tcPr>
          <w:p w:rsidR="00061F17" w:rsidRPr="001D6905" w:rsidRDefault="00061F17" w:rsidP="00C71B8F">
            <w:pPr>
              <w:pStyle w:val="Tabletext"/>
              <w:rPr>
                <w:rFonts w:eastAsia="Calibri"/>
              </w:rPr>
            </w:pPr>
            <w:r w:rsidRPr="001D6905">
              <w:rPr>
                <w:color w:val="000000"/>
              </w:rPr>
              <w:t>Uttar Pradesh (West)</w:t>
            </w:r>
          </w:p>
        </w:tc>
        <w:tc>
          <w:tcPr>
            <w:tcW w:w="2610" w:type="dxa"/>
          </w:tcPr>
          <w:p w:rsidR="00061F17" w:rsidRPr="001D6905" w:rsidRDefault="00061F17" w:rsidP="00C71B8F">
            <w:pPr>
              <w:pStyle w:val="Tabletext"/>
              <w:rPr>
                <w:rFonts w:eastAsia="Calibri"/>
              </w:rPr>
            </w:pPr>
            <w:r w:rsidRPr="001D6905">
              <w:t>48399485</w:t>
            </w:r>
          </w:p>
        </w:tc>
        <w:tc>
          <w:tcPr>
            <w:tcW w:w="2682" w:type="dxa"/>
          </w:tcPr>
          <w:p w:rsidR="00061F17" w:rsidRPr="001D6905" w:rsidRDefault="00061F17" w:rsidP="00C71B8F">
            <w:pPr>
              <w:pStyle w:val="Tabletext"/>
              <w:rPr>
                <w:rFonts w:eastAsia="Calibri"/>
                <w:lang w:val="en-GB" w:eastAsia="ar-SA"/>
              </w:rPr>
            </w:pPr>
            <w:r w:rsidRPr="001D6905">
              <w:t>767118</w:t>
            </w:r>
          </w:p>
        </w:tc>
      </w:tr>
      <w:tr w:rsidR="00061F17" w:rsidRPr="001D6905" w:rsidTr="00A11960">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061F17" w:rsidRPr="001D6905" w:rsidRDefault="00061F17" w:rsidP="00C71B8F">
            <w:pPr>
              <w:pStyle w:val="Tabletext"/>
            </w:pPr>
            <w:r w:rsidRPr="001D6905">
              <w:t>22</w:t>
            </w:r>
          </w:p>
        </w:tc>
        <w:tc>
          <w:tcPr>
            <w:tcW w:w="3060" w:type="dxa"/>
          </w:tcPr>
          <w:p w:rsidR="00061F17" w:rsidRPr="001D6905" w:rsidRDefault="00061F17" w:rsidP="00C71B8F">
            <w:pPr>
              <w:pStyle w:val="Tabletext"/>
              <w:rPr>
                <w:rFonts w:eastAsia="Calibri"/>
              </w:rPr>
            </w:pPr>
            <w:r w:rsidRPr="001D6905">
              <w:t>West Bengal</w:t>
            </w:r>
          </w:p>
        </w:tc>
        <w:tc>
          <w:tcPr>
            <w:tcW w:w="2610" w:type="dxa"/>
          </w:tcPr>
          <w:p w:rsidR="00061F17" w:rsidRPr="001D6905" w:rsidRDefault="00061F17" w:rsidP="00C71B8F">
            <w:pPr>
              <w:pStyle w:val="Tabletext"/>
              <w:rPr>
                <w:rFonts w:eastAsia="Calibri"/>
              </w:rPr>
            </w:pPr>
            <w:r w:rsidRPr="001D6905">
              <w:t>41159859</w:t>
            </w:r>
          </w:p>
        </w:tc>
        <w:tc>
          <w:tcPr>
            <w:tcW w:w="2682" w:type="dxa"/>
          </w:tcPr>
          <w:p w:rsidR="00061F17" w:rsidRPr="001D6905" w:rsidRDefault="00061F17" w:rsidP="00C71B8F">
            <w:pPr>
              <w:pStyle w:val="Tabletext"/>
              <w:rPr>
                <w:rFonts w:eastAsia="Calibri"/>
                <w:lang w:val="en-GB" w:eastAsia="ar-SA"/>
              </w:rPr>
            </w:pPr>
            <w:r w:rsidRPr="001D6905">
              <w:t>548248</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rPr>
                <w:rFonts w:eastAsia="Calibri"/>
              </w:rPr>
            </w:pPr>
          </w:p>
        </w:tc>
        <w:tc>
          <w:tcPr>
            <w:tcW w:w="3060" w:type="dxa"/>
          </w:tcPr>
          <w:p w:rsidR="00061F17" w:rsidRPr="001D6905" w:rsidRDefault="00061F17" w:rsidP="00C71B8F">
            <w:pPr>
              <w:pStyle w:val="Tabletext"/>
              <w:rPr>
                <w:rFonts w:eastAsia="Calibri"/>
                <w:b/>
              </w:rPr>
            </w:pPr>
            <w:r w:rsidRPr="001D6905">
              <w:rPr>
                <w:rFonts w:eastAsia="Calibri"/>
                <w:b/>
              </w:rPr>
              <w:t>Total</w:t>
            </w:r>
          </w:p>
        </w:tc>
        <w:tc>
          <w:tcPr>
            <w:tcW w:w="2610" w:type="dxa"/>
          </w:tcPr>
          <w:p w:rsidR="00061F17" w:rsidRPr="001D6905" w:rsidRDefault="00061F17" w:rsidP="00C71B8F">
            <w:pPr>
              <w:pStyle w:val="Tabletext"/>
              <w:rPr>
                <w:rFonts w:eastAsia="Calibri"/>
                <w:b/>
              </w:rPr>
            </w:pPr>
            <w:r w:rsidRPr="001D6905">
              <w:rPr>
                <w:b/>
              </w:rPr>
              <w:t>867803583</w:t>
            </w:r>
          </w:p>
        </w:tc>
        <w:tc>
          <w:tcPr>
            <w:tcW w:w="2682" w:type="dxa"/>
          </w:tcPr>
          <w:p w:rsidR="00061F17" w:rsidRPr="001D6905" w:rsidRDefault="00061F17" w:rsidP="00C71B8F">
            <w:pPr>
              <w:pStyle w:val="Tabletext"/>
              <w:rPr>
                <w:rFonts w:eastAsia="Calibri"/>
                <w:b/>
                <w:lang w:val="en-GB" w:eastAsia="ar-SA"/>
              </w:rPr>
            </w:pPr>
            <w:r w:rsidRPr="001D6905">
              <w:rPr>
                <w:b/>
              </w:rPr>
              <w:t>30213742</w:t>
            </w:r>
          </w:p>
        </w:tc>
      </w:tr>
    </w:tbl>
    <w:p w:rsidR="00061F17" w:rsidRPr="001D6905" w:rsidRDefault="00C71B8F" w:rsidP="00061F17">
      <w:pPr>
        <w:spacing w:before="240"/>
        <w:rPr>
          <w:rFonts w:eastAsia="Calibri" w:cs="Arial"/>
          <w:szCs w:val="19"/>
        </w:rPr>
      </w:pPr>
      <w:r>
        <w:rPr>
          <w:rFonts w:eastAsia="Calibri" w:cs="Arial"/>
          <w:szCs w:val="19"/>
        </w:rPr>
        <w:t>Total number of subscriber</w:t>
      </w:r>
      <w:r>
        <w:rPr>
          <w:rFonts w:eastAsia="Calibri" w:cs="Arial"/>
          <w:szCs w:val="19"/>
        </w:rPr>
        <w:tab/>
      </w:r>
      <w:r>
        <w:rPr>
          <w:rFonts w:eastAsia="Calibri" w:cs="Arial"/>
          <w:szCs w:val="19"/>
        </w:rPr>
        <w:tab/>
      </w:r>
      <w:r>
        <w:rPr>
          <w:rFonts w:eastAsia="Calibri" w:cs="Arial"/>
          <w:szCs w:val="19"/>
        </w:rPr>
        <w:tab/>
      </w:r>
      <w:r w:rsidR="00061F17" w:rsidRPr="001D6905">
        <w:rPr>
          <w:rFonts w:eastAsia="Calibri" w:cs="Arial"/>
          <w:szCs w:val="19"/>
        </w:rPr>
        <w:t>:</w:t>
      </w:r>
      <w:r w:rsidR="00061F17" w:rsidRPr="001D6905">
        <w:rPr>
          <w:rFonts w:eastAsia="Calibri" w:cs="Arial"/>
          <w:szCs w:val="19"/>
        </w:rPr>
        <w:tab/>
        <w:t>898,017,325</w:t>
      </w:r>
      <w:r w:rsidR="00061F17" w:rsidRPr="001D6905">
        <w:rPr>
          <w:rFonts w:eastAsia="Calibri" w:cs="Arial"/>
          <w:szCs w:val="19"/>
        </w:rPr>
        <w:tab/>
      </w:r>
    </w:p>
    <w:p w:rsidR="00061F17" w:rsidRPr="00061F17" w:rsidRDefault="00061F17" w:rsidP="00061F17">
      <w:pPr>
        <w:rPr>
          <w:rFonts w:eastAsia="Calibri" w:cs="Arial"/>
          <w:szCs w:val="19"/>
          <w:lang w:val="en-US"/>
        </w:rPr>
      </w:pPr>
      <w:r w:rsidRPr="00061F17">
        <w:rPr>
          <w:rFonts w:eastAsia="Calibri" w:cs="Arial"/>
          <w:szCs w:val="19"/>
          <w:lang w:val="en-US"/>
        </w:rPr>
        <w:t>Percentage of Mobile (Wireless) subscriber</w:t>
      </w:r>
      <w:r w:rsidRPr="00061F17">
        <w:rPr>
          <w:rFonts w:eastAsia="Calibri" w:cs="Arial"/>
          <w:szCs w:val="19"/>
          <w:lang w:val="en-US"/>
        </w:rPr>
        <w:tab/>
        <w:t>:</w:t>
      </w:r>
      <w:r w:rsidRPr="00061F17">
        <w:rPr>
          <w:rFonts w:eastAsia="Calibri" w:cs="Arial"/>
          <w:szCs w:val="19"/>
          <w:lang w:val="en-US"/>
        </w:rPr>
        <w:tab/>
        <w:t>96.6 %</w:t>
      </w:r>
    </w:p>
    <w:p w:rsidR="00061F17" w:rsidRPr="00061F17" w:rsidRDefault="00061F17" w:rsidP="00061F17">
      <w:pPr>
        <w:rPr>
          <w:rFonts w:eastAsia="Calibri" w:cs="Arial"/>
          <w:szCs w:val="19"/>
          <w:lang w:val="en-US"/>
        </w:rPr>
      </w:pPr>
      <w:r w:rsidRPr="00061F17">
        <w:rPr>
          <w:rFonts w:eastAsia="Calibri" w:cs="Arial"/>
          <w:szCs w:val="19"/>
          <w:lang w:val="en-US"/>
        </w:rPr>
        <w:t>Percentage of Landline (Wire-line) subscriber</w:t>
      </w:r>
      <w:r w:rsidRPr="00061F17">
        <w:rPr>
          <w:rFonts w:eastAsia="Calibri" w:cs="Arial"/>
          <w:szCs w:val="19"/>
          <w:lang w:val="en-US"/>
        </w:rPr>
        <w:tab/>
        <w:t>:</w:t>
      </w:r>
      <w:r w:rsidRPr="00061F17">
        <w:rPr>
          <w:rFonts w:eastAsia="Calibri" w:cs="Arial"/>
          <w:szCs w:val="19"/>
          <w:lang w:val="en-US"/>
        </w:rPr>
        <w:tab/>
        <w:t>3.4 %</w:t>
      </w:r>
    </w:p>
    <w:p w:rsidR="00061F17" w:rsidRPr="00061F17" w:rsidRDefault="00061F17" w:rsidP="00061F17">
      <w:pPr>
        <w:rPr>
          <w:rFonts w:eastAsia="Calibri" w:cs="Arial"/>
          <w:szCs w:val="19"/>
          <w:lang w:val="en-US"/>
        </w:rPr>
      </w:pPr>
      <w:r w:rsidRPr="00061F17">
        <w:rPr>
          <w:rFonts w:eastAsia="Calibri" w:cs="Arial"/>
          <w:szCs w:val="19"/>
          <w:lang w:val="en-US"/>
        </w:rPr>
        <w:br w:type="page"/>
      </w:r>
    </w:p>
    <w:p w:rsidR="00061F17" w:rsidRDefault="00061F17" w:rsidP="00534837">
      <w:pPr>
        <w:pStyle w:val="Heading1"/>
        <w:tabs>
          <w:tab w:val="left" w:pos="1418"/>
        </w:tabs>
        <w:ind w:left="1418" w:hanging="1418"/>
        <w:rPr>
          <w:rFonts w:eastAsia="Calibri"/>
        </w:rPr>
      </w:pPr>
      <w:bookmarkStart w:id="246" w:name="_Toc374691853"/>
      <w:bookmarkStart w:id="247" w:name="_Toc377482140"/>
      <w:r w:rsidRPr="00061F17">
        <w:rPr>
          <w:rFonts w:eastAsia="Calibri"/>
        </w:rPr>
        <w:lastRenderedPageBreak/>
        <w:t xml:space="preserve">Annex 10B: </w:t>
      </w:r>
      <w:r w:rsidR="00A051DF">
        <w:rPr>
          <w:rFonts w:eastAsia="Calibri"/>
        </w:rPr>
        <w:tab/>
      </w:r>
      <w:r w:rsidRPr="00061F17">
        <w:rPr>
          <w:rFonts w:eastAsia="Calibri"/>
        </w:rPr>
        <w:t>Number of base stations (service area wise) in India as on 31</w:t>
      </w:r>
      <w:r w:rsidRPr="00061F17">
        <w:rPr>
          <w:rFonts w:eastAsia="Calibri"/>
          <w:vertAlign w:val="superscript"/>
        </w:rPr>
        <w:t>st</w:t>
      </w:r>
      <w:r w:rsidRPr="00061F17">
        <w:rPr>
          <w:rFonts w:eastAsia="Calibri"/>
        </w:rPr>
        <w:t xml:space="preserve"> May 2013</w:t>
      </w:r>
      <w:bookmarkEnd w:id="246"/>
      <w:bookmarkEnd w:id="247"/>
    </w:p>
    <w:p w:rsidR="00C71B8F" w:rsidRPr="00C71B8F" w:rsidRDefault="00C71B8F" w:rsidP="00C71B8F">
      <w:pPr>
        <w:rPr>
          <w:lang w:val="en-US"/>
        </w:rPr>
      </w:pPr>
    </w:p>
    <w:tbl>
      <w:tblPr>
        <w:tblStyle w:val="Style1"/>
        <w:tblW w:w="7920" w:type="dxa"/>
        <w:jc w:val="center"/>
        <w:tblLook w:val="04A0" w:firstRow="1" w:lastRow="0" w:firstColumn="1" w:lastColumn="0" w:noHBand="0" w:noVBand="1"/>
      </w:tblPr>
      <w:tblGrid>
        <w:gridCol w:w="1080"/>
        <w:gridCol w:w="3330"/>
        <w:gridCol w:w="3510"/>
      </w:tblGrid>
      <w:tr w:rsidR="00061F17" w:rsidRPr="001D6905" w:rsidTr="00C71B8F">
        <w:trPr>
          <w:cnfStyle w:val="100000000000" w:firstRow="1" w:lastRow="0" w:firstColumn="0" w:lastColumn="0" w:oddVBand="0" w:evenVBand="0" w:oddHBand="0" w:evenHBand="0" w:firstRowFirstColumn="0" w:firstRowLastColumn="0" w:lastRowFirstColumn="0" w:lastRowLastColumn="0"/>
          <w:trHeight w:val="255"/>
          <w:jc w:val="center"/>
        </w:trPr>
        <w:tc>
          <w:tcPr>
            <w:tcW w:w="1080" w:type="dxa"/>
            <w:hideMark/>
          </w:tcPr>
          <w:p w:rsidR="00061F17" w:rsidRPr="001D6905" w:rsidRDefault="00061F17" w:rsidP="00EB559A">
            <w:pPr>
              <w:pStyle w:val="Tablehead"/>
              <w:rPr>
                <w:lang w:eastAsia="en-US"/>
              </w:rPr>
            </w:pPr>
            <w:r w:rsidRPr="001D6905">
              <w:rPr>
                <w:lang w:eastAsia="en-US"/>
              </w:rPr>
              <w:t>Sl No.</w:t>
            </w:r>
          </w:p>
        </w:tc>
        <w:tc>
          <w:tcPr>
            <w:tcW w:w="3330" w:type="dxa"/>
            <w:hideMark/>
          </w:tcPr>
          <w:p w:rsidR="00061F17" w:rsidRPr="001D6905" w:rsidRDefault="00061F17" w:rsidP="00EB559A">
            <w:pPr>
              <w:pStyle w:val="Tablehead"/>
              <w:rPr>
                <w:lang w:eastAsia="en-US"/>
              </w:rPr>
            </w:pPr>
            <w:r w:rsidRPr="001D6905">
              <w:rPr>
                <w:lang w:eastAsia="en-US"/>
              </w:rPr>
              <w:t>Service Area</w:t>
            </w:r>
          </w:p>
        </w:tc>
        <w:tc>
          <w:tcPr>
            <w:tcW w:w="3510" w:type="dxa"/>
            <w:hideMark/>
          </w:tcPr>
          <w:p w:rsidR="00061F17" w:rsidRPr="001D6905" w:rsidRDefault="00061F17" w:rsidP="00EB559A">
            <w:pPr>
              <w:pStyle w:val="Tablehead"/>
              <w:rPr>
                <w:lang w:eastAsia="en-US"/>
              </w:rPr>
            </w:pPr>
            <w:r w:rsidRPr="001D6905">
              <w:rPr>
                <w:lang w:eastAsia="en-US"/>
              </w:rPr>
              <w:t>Number of BTS</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w:t>
            </w:r>
          </w:p>
        </w:tc>
        <w:tc>
          <w:tcPr>
            <w:tcW w:w="3330" w:type="dxa"/>
            <w:hideMark/>
          </w:tcPr>
          <w:p w:rsidR="00061F17" w:rsidRPr="001D6905" w:rsidRDefault="00061F17" w:rsidP="00C6698D">
            <w:pPr>
              <w:pStyle w:val="Tabletext"/>
              <w:rPr>
                <w:lang w:eastAsia="en-US"/>
              </w:rPr>
            </w:pPr>
            <w:r w:rsidRPr="001D6905">
              <w:rPr>
                <w:lang w:eastAsia="en-US"/>
              </w:rPr>
              <w:t>Andhra Pradesh</w:t>
            </w:r>
          </w:p>
        </w:tc>
        <w:tc>
          <w:tcPr>
            <w:tcW w:w="3510" w:type="dxa"/>
            <w:hideMark/>
          </w:tcPr>
          <w:p w:rsidR="00061F17" w:rsidRPr="001D6905" w:rsidRDefault="00061F17" w:rsidP="00C6698D">
            <w:pPr>
              <w:pStyle w:val="Tabletext"/>
              <w:rPr>
                <w:lang w:eastAsia="en-US"/>
              </w:rPr>
            </w:pPr>
            <w:r w:rsidRPr="001D6905">
              <w:rPr>
                <w:lang w:eastAsia="en-US"/>
              </w:rPr>
              <w:t>60285</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2</w:t>
            </w:r>
          </w:p>
        </w:tc>
        <w:tc>
          <w:tcPr>
            <w:tcW w:w="3330" w:type="dxa"/>
            <w:hideMark/>
          </w:tcPr>
          <w:p w:rsidR="00061F17" w:rsidRPr="001D6905" w:rsidRDefault="00061F17" w:rsidP="00C6698D">
            <w:pPr>
              <w:pStyle w:val="Tabletext"/>
              <w:rPr>
                <w:lang w:eastAsia="en-US"/>
              </w:rPr>
            </w:pPr>
            <w:r w:rsidRPr="001D6905">
              <w:rPr>
                <w:lang w:eastAsia="en-US"/>
              </w:rPr>
              <w:t>ASSAM</w:t>
            </w:r>
          </w:p>
        </w:tc>
        <w:tc>
          <w:tcPr>
            <w:tcW w:w="3510" w:type="dxa"/>
            <w:hideMark/>
          </w:tcPr>
          <w:p w:rsidR="00061F17" w:rsidRPr="001D6905" w:rsidRDefault="00061F17" w:rsidP="00C6698D">
            <w:pPr>
              <w:pStyle w:val="Tabletext"/>
              <w:rPr>
                <w:lang w:eastAsia="en-US"/>
              </w:rPr>
            </w:pPr>
            <w:r w:rsidRPr="001D6905">
              <w:rPr>
                <w:lang w:eastAsia="en-US"/>
              </w:rPr>
              <w:t>14152</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3</w:t>
            </w:r>
          </w:p>
        </w:tc>
        <w:tc>
          <w:tcPr>
            <w:tcW w:w="3330" w:type="dxa"/>
            <w:hideMark/>
          </w:tcPr>
          <w:p w:rsidR="00061F17" w:rsidRPr="001D6905" w:rsidRDefault="00061F17" w:rsidP="00C6698D">
            <w:pPr>
              <w:pStyle w:val="Tabletext"/>
              <w:rPr>
                <w:lang w:eastAsia="en-US"/>
              </w:rPr>
            </w:pPr>
            <w:r w:rsidRPr="001D6905">
              <w:rPr>
                <w:lang w:eastAsia="en-US"/>
              </w:rPr>
              <w:t>Bihar</w:t>
            </w:r>
          </w:p>
        </w:tc>
        <w:tc>
          <w:tcPr>
            <w:tcW w:w="3510" w:type="dxa"/>
            <w:hideMark/>
          </w:tcPr>
          <w:p w:rsidR="00061F17" w:rsidRPr="001D6905" w:rsidRDefault="00061F17" w:rsidP="00C6698D">
            <w:pPr>
              <w:pStyle w:val="Tabletext"/>
              <w:rPr>
                <w:lang w:eastAsia="en-US"/>
              </w:rPr>
            </w:pPr>
            <w:r w:rsidRPr="001D6905">
              <w:rPr>
                <w:lang w:eastAsia="en-US"/>
              </w:rPr>
              <w:t>44283</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4</w:t>
            </w:r>
          </w:p>
        </w:tc>
        <w:tc>
          <w:tcPr>
            <w:tcW w:w="3330" w:type="dxa"/>
            <w:hideMark/>
          </w:tcPr>
          <w:p w:rsidR="00061F17" w:rsidRPr="001D6905" w:rsidRDefault="00061F17" w:rsidP="00C6698D">
            <w:pPr>
              <w:pStyle w:val="Tabletext"/>
              <w:rPr>
                <w:lang w:eastAsia="en-US"/>
              </w:rPr>
            </w:pPr>
            <w:r w:rsidRPr="001D6905">
              <w:rPr>
                <w:lang w:eastAsia="en-US"/>
              </w:rPr>
              <w:t>Delhi</w:t>
            </w:r>
          </w:p>
        </w:tc>
        <w:tc>
          <w:tcPr>
            <w:tcW w:w="3510" w:type="dxa"/>
            <w:hideMark/>
          </w:tcPr>
          <w:p w:rsidR="00061F17" w:rsidRPr="001D6905" w:rsidRDefault="00061F17" w:rsidP="00C6698D">
            <w:pPr>
              <w:pStyle w:val="Tabletext"/>
              <w:rPr>
                <w:lang w:eastAsia="en-US"/>
              </w:rPr>
            </w:pPr>
            <w:r w:rsidRPr="001D6905">
              <w:rPr>
                <w:lang w:eastAsia="en-US"/>
              </w:rPr>
              <w:t>30900</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5</w:t>
            </w:r>
          </w:p>
        </w:tc>
        <w:tc>
          <w:tcPr>
            <w:tcW w:w="3330" w:type="dxa"/>
            <w:hideMark/>
          </w:tcPr>
          <w:p w:rsidR="00061F17" w:rsidRPr="001D6905" w:rsidRDefault="00061F17" w:rsidP="00C6698D">
            <w:pPr>
              <w:pStyle w:val="Tabletext"/>
              <w:rPr>
                <w:lang w:eastAsia="en-US"/>
              </w:rPr>
            </w:pPr>
            <w:r w:rsidRPr="001D6905">
              <w:rPr>
                <w:lang w:eastAsia="en-US"/>
              </w:rPr>
              <w:t>Gujarat</w:t>
            </w:r>
          </w:p>
        </w:tc>
        <w:tc>
          <w:tcPr>
            <w:tcW w:w="3510" w:type="dxa"/>
            <w:hideMark/>
          </w:tcPr>
          <w:p w:rsidR="00061F17" w:rsidRPr="001D6905" w:rsidRDefault="00061F17" w:rsidP="00C6698D">
            <w:pPr>
              <w:pStyle w:val="Tabletext"/>
              <w:rPr>
                <w:lang w:eastAsia="en-US"/>
              </w:rPr>
            </w:pPr>
            <w:r w:rsidRPr="001D6905">
              <w:rPr>
                <w:lang w:eastAsia="en-US"/>
              </w:rPr>
              <w:t>45950</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6</w:t>
            </w:r>
          </w:p>
        </w:tc>
        <w:tc>
          <w:tcPr>
            <w:tcW w:w="3330" w:type="dxa"/>
            <w:hideMark/>
          </w:tcPr>
          <w:p w:rsidR="00061F17" w:rsidRPr="001D6905" w:rsidRDefault="00061F17" w:rsidP="00C6698D">
            <w:pPr>
              <w:pStyle w:val="Tabletext"/>
              <w:rPr>
                <w:lang w:eastAsia="en-US"/>
              </w:rPr>
            </w:pPr>
            <w:r w:rsidRPr="001D6905">
              <w:rPr>
                <w:lang w:eastAsia="en-US"/>
              </w:rPr>
              <w:t>Haryana</w:t>
            </w:r>
          </w:p>
        </w:tc>
        <w:tc>
          <w:tcPr>
            <w:tcW w:w="3510" w:type="dxa"/>
            <w:hideMark/>
          </w:tcPr>
          <w:p w:rsidR="00061F17" w:rsidRPr="001D6905" w:rsidRDefault="00061F17" w:rsidP="00C6698D">
            <w:pPr>
              <w:pStyle w:val="Tabletext"/>
              <w:rPr>
                <w:lang w:eastAsia="en-US"/>
              </w:rPr>
            </w:pPr>
            <w:r w:rsidRPr="001D6905">
              <w:rPr>
                <w:lang w:eastAsia="en-US"/>
              </w:rPr>
              <w:t>17604</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7</w:t>
            </w:r>
          </w:p>
        </w:tc>
        <w:tc>
          <w:tcPr>
            <w:tcW w:w="3330" w:type="dxa"/>
            <w:hideMark/>
          </w:tcPr>
          <w:p w:rsidR="00061F17" w:rsidRPr="001D6905" w:rsidRDefault="00061F17" w:rsidP="00C6698D">
            <w:pPr>
              <w:pStyle w:val="Tabletext"/>
              <w:rPr>
                <w:lang w:eastAsia="en-US"/>
              </w:rPr>
            </w:pPr>
            <w:r w:rsidRPr="001D6905">
              <w:rPr>
                <w:lang w:eastAsia="en-US"/>
              </w:rPr>
              <w:t>Himachal Pradesh</w:t>
            </w:r>
          </w:p>
        </w:tc>
        <w:tc>
          <w:tcPr>
            <w:tcW w:w="3510" w:type="dxa"/>
            <w:hideMark/>
          </w:tcPr>
          <w:p w:rsidR="00061F17" w:rsidRPr="001D6905" w:rsidRDefault="00061F17" w:rsidP="00C6698D">
            <w:pPr>
              <w:pStyle w:val="Tabletext"/>
              <w:rPr>
                <w:lang w:eastAsia="en-US"/>
              </w:rPr>
            </w:pPr>
            <w:r w:rsidRPr="001D6905">
              <w:rPr>
                <w:lang w:eastAsia="en-US"/>
              </w:rPr>
              <w:t>7021</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8</w:t>
            </w:r>
          </w:p>
        </w:tc>
        <w:tc>
          <w:tcPr>
            <w:tcW w:w="3330" w:type="dxa"/>
            <w:hideMark/>
          </w:tcPr>
          <w:p w:rsidR="00061F17" w:rsidRPr="001D6905" w:rsidRDefault="00061F17" w:rsidP="00C6698D">
            <w:pPr>
              <w:pStyle w:val="Tabletext"/>
              <w:rPr>
                <w:lang w:eastAsia="en-US"/>
              </w:rPr>
            </w:pPr>
            <w:r w:rsidRPr="001D6905">
              <w:rPr>
                <w:lang w:eastAsia="en-US"/>
              </w:rPr>
              <w:t>Jammu &amp; Kashmir</w:t>
            </w:r>
          </w:p>
        </w:tc>
        <w:tc>
          <w:tcPr>
            <w:tcW w:w="3510" w:type="dxa"/>
            <w:hideMark/>
          </w:tcPr>
          <w:p w:rsidR="00061F17" w:rsidRPr="001D6905" w:rsidRDefault="00061F17" w:rsidP="00C6698D">
            <w:pPr>
              <w:pStyle w:val="Tabletext"/>
              <w:rPr>
                <w:lang w:eastAsia="en-US"/>
              </w:rPr>
            </w:pPr>
            <w:r w:rsidRPr="001D6905">
              <w:rPr>
                <w:lang w:eastAsia="en-US"/>
              </w:rPr>
              <w:t>11115</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9</w:t>
            </w:r>
          </w:p>
        </w:tc>
        <w:tc>
          <w:tcPr>
            <w:tcW w:w="3330" w:type="dxa"/>
            <w:hideMark/>
          </w:tcPr>
          <w:p w:rsidR="00061F17" w:rsidRPr="001D6905" w:rsidRDefault="00061F17" w:rsidP="00C6698D">
            <w:pPr>
              <w:pStyle w:val="Tabletext"/>
              <w:rPr>
                <w:lang w:eastAsia="en-US"/>
              </w:rPr>
            </w:pPr>
            <w:r w:rsidRPr="001D6905">
              <w:rPr>
                <w:lang w:eastAsia="en-US"/>
              </w:rPr>
              <w:t>Karnataka</w:t>
            </w:r>
          </w:p>
        </w:tc>
        <w:tc>
          <w:tcPr>
            <w:tcW w:w="3510" w:type="dxa"/>
            <w:hideMark/>
          </w:tcPr>
          <w:p w:rsidR="00061F17" w:rsidRPr="001D6905" w:rsidRDefault="00061F17" w:rsidP="00C6698D">
            <w:pPr>
              <w:pStyle w:val="Tabletext"/>
              <w:rPr>
                <w:lang w:eastAsia="en-US"/>
              </w:rPr>
            </w:pPr>
            <w:r w:rsidRPr="001D6905">
              <w:rPr>
                <w:lang w:eastAsia="en-US"/>
              </w:rPr>
              <w:t>54307</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10</w:t>
            </w:r>
          </w:p>
        </w:tc>
        <w:tc>
          <w:tcPr>
            <w:tcW w:w="3330" w:type="dxa"/>
            <w:hideMark/>
          </w:tcPr>
          <w:p w:rsidR="00061F17" w:rsidRPr="001D6905" w:rsidRDefault="00061F17" w:rsidP="00C6698D">
            <w:pPr>
              <w:pStyle w:val="Tabletext"/>
              <w:rPr>
                <w:lang w:eastAsia="en-US"/>
              </w:rPr>
            </w:pPr>
            <w:r w:rsidRPr="001D6905">
              <w:rPr>
                <w:lang w:eastAsia="en-US"/>
              </w:rPr>
              <w:t>KERALA</w:t>
            </w:r>
          </w:p>
        </w:tc>
        <w:tc>
          <w:tcPr>
            <w:tcW w:w="3510" w:type="dxa"/>
            <w:hideMark/>
          </w:tcPr>
          <w:p w:rsidR="00061F17" w:rsidRPr="001D6905" w:rsidRDefault="00061F17" w:rsidP="00C6698D">
            <w:pPr>
              <w:pStyle w:val="Tabletext"/>
              <w:rPr>
                <w:lang w:eastAsia="en-US"/>
              </w:rPr>
            </w:pPr>
            <w:r w:rsidRPr="001D6905">
              <w:rPr>
                <w:lang w:eastAsia="en-US"/>
              </w:rPr>
              <w:t>32658</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11</w:t>
            </w:r>
          </w:p>
        </w:tc>
        <w:tc>
          <w:tcPr>
            <w:tcW w:w="3330" w:type="dxa"/>
            <w:hideMark/>
          </w:tcPr>
          <w:p w:rsidR="00061F17" w:rsidRPr="001D6905" w:rsidRDefault="00061F17" w:rsidP="00C6698D">
            <w:pPr>
              <w:pStyle w:val="Tabletext"/>
              <w:rPr>
                <w:lang w:eastAsia="en-US"/>
              </w:rPr>
            </w:pPr>
            <w:r w:rsidRPr="001D6905">
              <w:rPr>
                <w:lang w:eastAsia="en-US"/>
              </w:rPr>
              <w:t>Kolkata</w:t>
            </w:r>
          </w:p>
        </w:tc>
        <w:tc>
          <w:tcPr>
            <w:tcW w:w="3510" w:type="dxa"/>
            <w:hideMark/>
          </w:tcPr>
          <w:p w:rsidR="00061F17" w:rsidRPr="001D6905" w:rsidRDefault="00061F17" w:rsidP="00C6698D">
            <w:pPr>
              <w:pStyle w:val="Tabletext"/>
              <w:rPr>
                <w:lang w:eastAsia="en-US"/>
              </w:rPr>
            </w:pPr>
            <w:r w:rsidRPr="001D6905">
              <w:rPr>
                <w:lang w:eastAsia="en-US"/>
              </w:rPr>
              <w:t>19609</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12</w:t>
            </w:r>
          </w:p>
        </w:tc>
        <w:tc>
          <w:tcPr>
            <w:tcW w:w="3330" w:type="dxa"/>
            <w:hideMark/>
          </w:tcPr>
          <w:p w:rsidR="00061F17" w:rsidRPr="001D6905" w:rsidRDefault="00061F17" w:rsidP="00C6698D">
            <w:pPr>
              <w:pStyle w:val="Tabletext"/>
              <w:rPr>
                <w:lang w:eastAsia="en-US"/>
              </w:rPr>
            </w:pPr>
            <w:r w:rsidRPr="001D6905">
              <w:rPr>
                <w:lang w:eastAsia="en-US"/>
              </w:rPr>
              <w:t>MAHARASHTRA</w:t>
            </w:r>
          </w:p>
        </w:tc>
        <w:tc>
          <w:tcPr>
            <w:tcW w:w="3510" w:type="dxa"/>
            <w:hideMark/>
          </w:tcPr>
          <w:p w:rsidR="00061F17" w:rsidRPr="001D6905" w:rsidRDefault="00061F17" w:rsidP="00C6698D">
            <w:pPr>
              <w:pStyle w:val="Tabletext"/>
              <w:rPr>
                <w:lang w:eastAsia="en-US"/>
              </w:rPr>
            </w:pPr>
            <w:r w:rsidRPr="001D6905">
              <w:rPr>
                <w:lang w:eastAsia="en-US"/>
              </w:rPr>
              <w:t>64354</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13</w:t>
            </w:r>
          </w:p>
        </w:tc>
        <w:tc>
          <w:tcPr>
            <w:tcW w:w="3330" w:type="dxa"/>
            <w:hideMark/>
          </w:tcPr>
          <w:p w:rsidR="00061F17" w:rsidRPr="001D6905" w:rsidRDefault="00061F17" w:rsidP="00C6698D">
            <w:pPr>
              <w:pStyle w:val="Tabletext"/>
              <w:rPr>
                <w:lang w:eastAsia="en-US"/>
              </w:rPr>
            </w:pPr>
            <w:r w:rsidRPr="001D6905">
              <w:rPr>
                <w:lang w:eastAsia="en-US"/>
              </w:rPr>
              <w:t>Madhya Pradesh</w:t>
            </w:r>
          </w:p>
        </w:tc>
        <w:tc>
          <w:tcPr>
            <w:tcW w:w="3510" w:type="dxa"/>
            <w:hideMark/>
          </w:tcPr>
          <w:p w:rsidR="00061F17" w:rsidRPr="001D6905" w:rsidRDefault="00061F17" w:rsidP="00C6698D">
            <w:pPr>
              <w:pStyle w:val="Tabletext"/>
              <w:rPr>
                <w:lang w:eastAsia="en-US"/>
              </w:rPr>
            </w:pPr>
            <w:r w:rsidRPr="001D6905">
              <w:rPr>
                <w:lang w:eastAsia="en-US"/>
              </w:rPr>
              <w:t>46423</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14</w:t>
            </w:r>
          </w:p>
        </w:tc>
        <w:tc>
          <w:tcPr>
            <w:tcW w:w="3330" w:type="dxa"/>
            <w:hideMark/>
          </w:tcPr>
          <w:p w:rsidR="00061F17" w:rsidRPr="001D6905" w:rsidRDefault="00061F17" w:rsidP="00C6698D">
            <w:pPr>
              <w:pStyle w:val="Tabletext"/>
              <w:rPr>
                <w:lang w:eastAsia="en-US"/>
              </w:rPr>
            </w:pPr>
            <w:r w:rsidRPr="001D6905">
              <w:rPr>
                <w:lang w:eastAsia="en-US"/>
              </w:rPr>
              <w:t>MUMBAI</w:t>
            </w:r>
          </w:p>
        </w:tc>
        <w:tc>
          <w:tcPr>
            <w:tcW w:w="3510" w:type="dxa"/>
            <w:hideMark/>
          </w:tcPr>
          <w:p w:rsidR="00061F17" w:rsidRPr="001D6905" w:rsidRDefault="00061F17" w:rsidP="00C6698D">
            <w:pPr>
              <w:pStyle w:val="Tabletext"/>
              <w:rPr>
                <w:lang w:eastAsia="en-US"/>
              </w:rPr>
            </w:pPr>
            <w:r w:rsidRPr="001D6905">
              <w:rPr>
                <w:lang w:eastAsia="en-US"/>
              </w:rPr>
              <w:t>25535</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15</w:t>
            </w:r>
          </w:p>
        </w:tc>
        <w:tc>
          <w:tcPr>
            <w:tcW w:w="3330" w:type="dxa"/>
            <w:hideMark/>
          </w:tcPr>
          <w:p w:rsidR="00061F17" w:rsidRPr="001D6905" w:rsidRDefault="00061F17" w:rsidP="00C6698D">
            <w:pPr>
              <w:pStyle w:val="Tabletext"/>
              <w:rPr>
                <w:lang w:eastAsia="en-US"/>
              </w:rPr>
            </w:pPr>
            <w:r w:rsidRPr="001D6905">
              <w:rPr>
                <w:lang w:eastAsia="en-US"/>
              </w:rPr>
              <w:t>North East</w:t>
            </w:r>
          </w:p>
        </w:tc>
        <w:tc>
          <w:tcPr>
            <w:tcW w:w="3510" w:type="dxa"/>
            <w:hideMark/>
          </w:tcPr>
          <w:p w:rsidR="00061F17" w:rsidRPr="001D6905" w:rsidRDefault="00061F17" w:rsidP="00C6698D">
            <w:pPr>
              <w:pStyle w:val="Tabletext"/>
              <w:rPr>
                <w:lang w:eastAsia="en-US"/>
              </w:rPr>
            </w:pPr>
            <w:r w:rsidRPr="001D6905">
              <w:rPr>
                <w:lang w:eastAsia="en-US"/>
              </w:rPr>
              <w:t>8634</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16</w:t>
            </w:r>
          </w:p>
        </w:tc>
        <w:tc>
          <w:tcPr>
            <w:tcW w:w="3330" w:type="dxa"/>
            <w:hideMark/>
          </w:tcPr>
          <w:p w:rsidR="00061F17" w:rsidRPr="001D6905" w:rsidRDefault="00061F17" w:rsidP="00C6698D">
            <w:pPr>
              <w:pStyle w:val="Tabletext"/>
              <w:rPr>
                <w:lang w:eastAsia="en-US"/>
              </w:rPr>
            </w:pPr>
            <w:r w:rsidRPr="001D6905">
              <w:rPr>
                <w:lang w:eastAsia="en-US"/>
              </w:rPr>
              <w:t>Orissa</w:t>
            </w:r>
          </w:p>
        </w:tc>
        <w:tc>
          <w:tcPr>
            <w:tcW w:w="3510" w:type="dxa"/>
            <w:hideMark/>
          </w:tcPr>
          <w:p w:rsidR="00061F17" w:rsidRPr="001D6905" w:rsidRDefault="00061F17" w:rsidP="00C6698D">
            <w:pPr>
              <w:pStyle w:val="Tabletext"/>
              <w:rPr>
                <w:lang w:eastAsia="en-US"/>
              </w:rPr>
            </w:pPr>
            <w:r w:rsidRPr="001D6905">
              <w:rPr>
                <w:lang w:eastAsia="en-US"/>
              </w:rPr>
              <w:t>20795</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17</w:t>
            </w:r>
          </w:p>
        </w:tc>
        <w:tc>
          <w:tcPr>
            <w:tcW w:w="3330" w:type="dxa"/>
            <w:hideMark/>
          </w:tcPr>
          <w:p w:rsidR="00061F17" w:rsidRPr="001D6905" w:rsidRDefault="00061F17" w:rsidP="00C6698D">
            <w:pPr>
              <w:pStyle w:val="Tabletext"/>
              <w:rPr>
                <w:lang w:eastAsia="en-US"/>
              </w:rPr>
            </w:pPr>
            <w:r w:rsidRPr="001D6905">
              <w:rPr>
                <w:lang w:eastAsia="en-US"/>
              </w:rPr>
              <w:t>Punjab</w:t>
            </w:r>
          </w:p>
        </w:tc>
        <w:tc>
          <w:tcPr>
            <w:tcW w:w="3510" w:type="dxa"/>
            <w:hideMark/>
          </w:tcPr>
          <w:p w:rsidR="00061F17" w:rsidRPr="001D6905" w:rsidRDefault="00061F17" w:rsidP="00C6698D">
            <w:pPr>
              <w:pStyle w:val="Tabletext"/>
              <w:rPr>
                <w:lang w:eastAsia="en-US"/>
              </w:rPr>
            </w:pPr>
            <w:r w:rsidRPr="001D6905">
              <w:rPr>
                <w:lang w:eastAsia="en-US"/>
              </w:rPr>
              <w:t>26959</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18</w:t>
            </w:r>
          </w:p>
        </w:tc>
        <w:tc>
          <w:tcPr>
            <w:tcW w:w="3330" w:type="dxa"/>
            <w:hideMark/>
          </w:tcPr>
          <w:p w:rsidR="00061F17" w:rsidRPr="001D6905" w:rsidRDefault="00061F17" w:rsidP="00C6698D">
            <w:pPr>
              <w:pStyle w:val="Tabletext"/>
              <w:rPr>
                <w:lang w:eastAsia="en-US"/>
              </w:rPr>
            </w:pPr>
            <w:r w:rsidRPr="001D6905">
              <w:rPr>
                <w:lang w:eastAsia="en-US"/>
              </w:rPr>
              <w:t>RAJASTHAN</w:t>
            </w:r>
          </w:p>
        </w:tc>
        <w:tc>
          <w:tcPr>
            <w:tcW w:w="3510" w:type="dxa"/>
            <w:hideMark/>
          </w:tcPr>
          <w:p w:rsidR="00061F17" w:rsidRPr="001D6905" w:rsidRDefault="00061F17" w:rsidP="00C6698D">
            <w:pPr>
              <w:pStyle w:val="Tabletext"/>
              <w:rPr>
                <w:lang w:eastAsia="en-US"/>
              </w:rPr>
            </w:pPr>
            <w:r w:rsidRPr="001D6905">
              <w:rPr>
                <w:lang w:eastAsia="en-US"/>
              </w:rPr>
              <w:t>35560</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19.1</w:t>
            </w:r>
          </w:p>
        </w:tc>
        <w:tc>
          <w:tcPr>
            <w:tcW w:w="3330" w:type="dxa"/>
            <w:hideMark/>
          </w:tcPr>
          <w:p w:rsidR="00061F17" w:rsidRPr="001D6905" w:rsidRDefault="00061F17" w:rsidP="00C6698D">
            <w:pPr>
              <w:pStyle w:val="Tabletext"/>
              <w:rPr>
                <w:lang w:eastAsia="en-US"/>
              </w:rPr>
            </w:pPr>
            <w:r w:rsidRPr="001D6905">
              <w:rPr>
                <w:lang w:eastAsia="en-US"/>
              </w:rPr>
              <w:t>Tamil Nadu excluding Chennai</w:t>
            </w:r>
          </w:p>
        </w:tc>
        <w:tc>
          <w:tcPr>
            <w:tcW w:w="3510" w:type="dxa"/>
            <w:hideMark/>
          </w:tcPr>
          <w:p w:rsidR="00061F17" w:rsidRPr="001D6905" w:rsidRDefault="00061F17" w:rsidP="00C6698D">
            <w:pPr>
              <w:pStyle w:val="Tabletext"/>
              <w:rPr>
                <w:lang w:eastAsia="en-US"/>
              </w:rPr>
            </w:pPr>
            <w:r w:rsidRPr="001D6905">
              <w:rPr>
                <w:lang w:eastAsia="en-US"/>
              </w:rPr>
              <w:t>45484</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19.2</w:t>
            </w:r>
          </w:p>
        </w:tc>
        <w:tc>
          <w:tcPr>
            <w:tcW w:w="3330" w:type="dxa"/>
            <w:hideMark/>
          </w:tcPr>
          <w:p w:rsidR="00061F17" w:rsidRPr="001D6905" w:rsidRDefault="00061F17" w:rsidP="00C6698D">
            <w:pPr>
              <w:pStyle w:val="Tabletext"/>
              <w:rPr>
                <w:lang w:eastAsia="en-US"/>
              </w:rPr>
            </w:pPr>
            <w:r w:rsidRPr="001D6905">
              <w:rPr>
                <w:lang w:eastAsia="en-US"/>
              </w:rPr>
              <w:t>Chennai</w:t>
            </w:r>
          </w:p>
        </w:tc>
        <w:tc>
          <w:tcPr>
            <w:tcW w:w="3510" w:type="dxa"/>
            <w:hideMark/>
          </w:tcPr>
          <w:p w:rsidR="00061F17" w:rsidRPr="001D6905" w:rsidRDefault="00061F17" w:rsidP="00C6698D">
            <w:pPr>
              <w:pStyle w:val="Tabletext"/>
              <w:rPr>
                <w:lang w:eastAsia="en-US"/>
              </w:rPr>
            </w:pPr>
            <w:r w:rsidRPr="001D6905">
              <w:rPr>
                <w:lang w:eastAsia="en-US"/>
              </w:rPr>
              <w:t>21835</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20</w:t>
            </w:r>
          </w:p>
        </w:tc>
        <w:tc>
          <w:tcPr>
            <w:tcW w:w="3330" w:type="dxa"/>
            <w:hideMark/>
          </w:tcPr>
          <w:p w:rsidR="00061F17" w:rsidRPr="001D6905" w:rsidRDefault="00061F17" w:rsidP="00C6698D">
            <w:pPr>
              <w:pStyle w:val="Tabletext"/>
              <w:rPr>
                <w:lang w:eastAsia="en-US"/>
              </w:rPr>
            </w:pPr>
            <w:r w:rsidRPr="001D6905">
              <w:rPr>
                <w:lang w:eastAsia="en-US"/>
              </w:rPr>
              <w:t>Uttar Pradesh (East)</w:t>
            </w:r>
          </w:p>
        </w:tc>
        <w:tc>
          <w:tcPr>
            <w:tcW w:w="3510" w:type="dxa"/>
            <w:hideMark/>
          </w:tcPr>
          <w:p w:rsidR="00061F17" w:rsidRPr="001D6905" w:rsidRDefault="00061F17" w:rsidP="00C6698D">
            <w:pPr>
              <w:pStyle w:val="Tabletext"/>
              <w:rPr>
                <w:lang w:eastAsia="en-US"/>
              </w:rPr>
            </w:pPr>
            <w:r w:rsidRPr="001D6905">
              <w:rPr>
                <w:lang w:eastAsia="en-US"/>
              </w:rPr>
              <w:t>45176</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21</w:t>
            </w:r>
          </w:p>
        </w:tc>
        <w:tc>
          <w:tcPr>
            <w:tcW w:w="3330" w:type="dxa"/>
            <w:hideMark/>
          </w:tcPr>
          <w:p w:rsidR="00061F17" w:rsidRPr="001D6905" w:rsidRDefault="00061F17" w:rsidP="00C6698D">
            <w:pPr>
              <w:pStyle w:val="Tabletext"/>
              <w:rPr>
                <w:lang w:eastAsia="en-US"/>
              </w:rPr>
            </w:pPr>
            <w:r w:rsidRPr="001D6905">
              <w:rPr>
                <w:lang w:eastAsia="en-US"/>
              </w:rPr>
              <w:t>Uttar Pradesh (West)</w:t>
            </w:r>
          </w:p>
        </w:tc>
        <w:tc>
          <w:tcPr>
            <w:tcW w:w="3510" w:type="dxa"/>
            <w:hideMark/>
          </w:tcPr>
          <w:p w:rsidR="00061F17" w:rsidRPr="001D6905" w:rsidRDefault="00061F17" w:rsidP="00C6698D">
            <w:pPr>
              <w:pStyle w:val="Tabletext"/>
              <w:rPr>
                <w:lang w:eastAsia="en-US"/>
              </w:rPr>
            </w:pPr>
            <w:r w:rsidRPr="001D6905">
              <w:rPr>
                <w:lang w:eastAsia="en-US"/>
              </w:rPr>
              <w:t>37883</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22</w:t>
            </w:r>
          </w:p>
        </w:tc>
        <w:tc>
          <w:tcPr>
            <w:tcW w:w="3330" w:type="dxa"/>
            <w:hideMark/>
          </w:tcPr>
          <w:p w:rsidR="00061F17" w:rsidRPr="001D6905" w:rsidRDefault="00061F17" w:rsidP="00C6698D">
            <w:pPr>
              <w:pStyle w:val="Tabletext"/>
              <w:rPr>
                <w:lang w:eastAsia="en-US"/>
              </w:rPr>
            </w:pPr>
            <w:r w:rsidRPr="001D6905">
              <w:rPr>
                <w:lang w:eastAsia="en-US"/>
              </w:rPr>
              <w:t>West Bengal</w:t>
            </w:r>
          </w:p>
        </w:tc>
        <w:tc>
          <w:tcPr>
            <w:tcW w:w="3510" w:type="dxa"/>
            <w:hideMark/>
          </w:tcPr>
          <w:p w:rsidR="00061F17" w:rsidRPr="001D6905" w:rsidRDefault="00061F17" w:rsidP="00C6698D">
            <w:pPr>
              <w:pStyle w:val="Tabletext"/>
              <w:rPr>
                <w:lang w:eastAsia="en-US"/>
              </w:rPr>
            </w:pPr>
            <w:r w:rsidRPr="001D6905">
              <w:rPr>
                <w:lang w:eastAsia="en-US"/>
              </w:rPr>
              <w:t>30080</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b/>
                <w:lang w:eastAsia="en-US"/>
              </w:rPr>
            </w:pPr>
            <w:r w:rsidRPr="001D6905">
              <w:rPr>
                <w:b/>
                <w:lang w:eastAsia="en-US"/>
              </w:rPr>
              <w:t> </w:t>
            </w:r>
          </w:p>
        </w:tc>
        <w:tc>
          <w:tcPr>
            <w:tcW w:w="3330" w:type="dxa"/>
            <w:hideMark/>
          </w:tcPr>
          <w:p w:rsidR="00061F17" w:rsidRPr="001D6905" w:rsidRDefault="00061F17" w:rsidP="00C6698D">
            <w:pPr>
              <w:pStyle w:val="Tabletext"/>
              <w:rPr>
                <w:b/>
                <w:lang w:eastAsia="en-US"/>
              </w:rPr>
            </w:pPr>
            <w:r w:rsidRPr="001D6905">
              <w:rPr>
                <w:b/>
                <w:lang w:eastAsia="en-US"/>
              </w:rPr>
              <w:t>Total</w:t>
            </w:r>
          </w:p>
        </w:tc>
        <w:tc>
          <w:tcPr>
            <w:tcW w:w="3510" w:type="dxa"/>
            <w:hideMark/>
          </w:tcPr>
          <w:p w:rsidR="00061F17" w:rsidRPr="001D6905" w:rsidRDefault="00061F17" w:rsidP="00C6698D">
            <w:pPr>
              <w:pStyle w:val="Tabletext"/>
              <w:rPr>
                <w:b/>
                <w:lang w:eastAsia="en-US"/>
              </w:rPr>
            </w:pPr>
            <w:r w:rsidRPr="001D6905">
              <w:rPr>
                <w:b/>
                <w:lang w:eastAsia="en-US"/>
              </w:rPr>
              <w:t>746602</w:t>
            </w:r>
          </w:p>
        </w:tc>
      </w:tr>
    </w:tbl>
    <w:p w:rsidR="00061F17" w:rsidRPr="001D6905" w:rsidRDefault="00061F17" w:rsidP="00061F17">
      <w:pPr>
        <w:rPr>
          <w:rFonts w:eastAsia="Calibri" w:cs="Arial"/>
          <w:b/>
          <w:szCs w:val="19"/>
        </w:rPr>
      </w:pPr>
      <w:r w:rsidRPr="001D6905">
        <w:rPr>
          <w:rFonts w:eastAsia="Calibri" w:cs="Arial"/>
          <w:b/>
          <w:szCs w:val="19"/>
        </w:rPr>
        <w:br w:type="page"/>
      </w:r>
    </w:p>
    <w:p w:rsidR="00061F17" w:rsidRDefault="00061F17" w:rsidP="00C71B8F">
      <w:pPr>
        <w:pStyle w:val="Heading1"/>
        <w:rPr>
          <w:rFonts w:eastAsia="Calibri"/>
        </w:rPr>
      </w:pPr>
      <w:bookmarkStart w:id="248" w:name="_Toc374691854"/>
      <w:bookmarkStart w:id="249" w:name="_Toc377482141"/>
      <w:r>
        <w:rPr>
          <w:rFonts w:eastAsia="Calibri"/>
        </w:rPr>
        <w:lastRenderedPageBreak/>
        <w:t>Annex 10C</w:t>
      </w:r>
      <w:bookmarkEnd w:id="248"/>
      <w:bookmarkEnd w:id="249"/>
    </w:p>
    <w:p w:rsidR="00C71B8F" w:rsidRPr="00C71B8F" w:rsidRDefault="00C71B8F" w:rsidP="00C71B8F">
      <w:pPr>
        <w:rPr>
          <w:lang w:val="en-US"/>
        </w:rPr>
      </w:pPr>
    </w:p>
    <w:p w:rsidR="00061F17" w:rsidRPr="001D6905" w:rsidRDefault="00061F17" w:rsidP="00061F17">
      <w:pPr>
        <w:rPr>
          <w:rFonts w:eastAsia="Calibri" w:cs="Arial"/>
          <w:szCs w:val="19"/>
        </w:rPr>
      </w:pPr>
      <w:r>
        <w:object w:dxaOrig="12337" w:dyaOrig="7610">
          <v:shape id="_x0000_i1026" type="#_x0000_t75" style="width:435pt;height:270pt;mso-position-vertical:absolute" o:ole="" o:allowoverlap="f">
            <v:imagedata r:id="rId35" o:title=""/>
          </v:shape>
          <o:OLEObject Type="Embed" ProgID="Excel.Sheet.12" ShapeID="_x0000_i1026" DrawAspect="Content" ObjectID="_1451478943" r:id="rId36"/>
        </w:object>
      </w:r>
    </w:p>
    <w:p w:rsidR="00061F17" w:rsidRPr="001D6905" w:rsidRDefault="00061F17" w:rsidP="00061F17">
      <w:pPr>
        <w:rPr>
          <w:rFonts w:eastAsia="Calibri" w:cs="Arial"/>
          <w:szCs w:val="19"/>
        </w:rPr>
      </w:pPr>
      <w:r>
        <w:object w:dxaOrig="12047" w:dyaOrig="8192">
          <v:shape id="_x0000_i1027" type="#_x0000_t75" style="width:451.5pt;height:309pt" o:ole="" o:allowoverlap="f">
            <v:imagedata r:id="rId37" o:title=""/>
          </v:shape>
          <o:OLEObject Type="Embed" ProgID="Excel.Sheet.12" ShapeID="_x0000_i1027" DrawAspect="Content" ObjectID="_1451478944" r:id="rId38"/>
        </w:object>
      </w:r>
    </w:p>
    <w:p w:rsidR="00061F17" w:rsidRPr="001D6905" w:rsidRDefault="00061F17" w:rsidP="00061F17">
      <w:pPr>
        <w:rPr>
          <w:rFonts w:eastAsia="Calibri" w:cs="Arial"/>
          <w:szCs w:val="19"/>
        </w:rPr>
      </w:pPr>
    </w:p>
    <w:p w:rsidR="00061F17" w:rsidRPr="001D6905" w:rsidRDefault="00061F17" w:rsidP="00061F17">
      <w:pPr>
        <w:rPr>
          <w:rFonts w:eastAsia="Calibri" w:cs="Arial"/>
          <w:szCs w:val="19"/>
        </w:rPr>
      </w:pPr>
      <w:r>
        <w:object w:dxaOrig="13240" w:dyaOrig="8002">
          <v:shape id="_x0000_i1028" type="#_x0000_t75" style="width:448.5pt;height:296.25pt" o:ole="" o:allowoverlap="f">
            <v:imagedata r:id="rId39" o:title=""/>
          </v:shape>
          <o:OLEObject Type="Embed" ProgID="Excel.Sheet.12" ShapeID="_x0000_i1028" DrawAspect="Content" ObjectID="_1451478945" r:id="rId40"/>
        </w:object>
      </w:r>
    </w:p>
    <w:p w:rsidR="00061F17" w:rsidRPr="001D6905" w:rsidRDefault="00061F17" w:rsidP="00061F17">
      <w:pPr>
        <w:rPr>
          <w:rFonts w:eastAsia="Calibri" w:cs="Arial"/>
          <w:szCs w:val="19"/>
        </w:rPr>
      </w:pPr>
    </w:p>
    <w:bookmarkStart w:id="250" w:name="_MON_1448782912"/>
    <w:bookmarkEnd w:id="250"/>
    <w:p w:rsidR="00061F17" w:rsidRPr="001D6905" w:rsidRDefault="00A11960" w:rsidP="00061F17">
      <w:pPr>
        <w:rPr>
          <w:rFonts w:eastAsia="Calibri" w:cs="Arial"/>
          <w:szCs w:val="19"/>
        </w:rPr>
      </w:pPr>
      <w:r>
        <w:object w:dxaOrig="11822" w:dyaOrig="7165">
          <v:shape id="_x0000_i1029" type="#_x0000_t75" style="width:444pt;height:270pt" o:ole="">
            <v:imagedata r:id="rId41" o:title=""/>
          </v:shape>
          <o:OLEObject Type="Embed" ProgID="Excel.Sheet.12" ShapeID="_x0000_i1029" DrawAspect="Content" ObjectID="_1451478946" r:id="rId42"/>
        </w:object>
      </w:r>
    </w:p>
    <w:p w:rsidR="00061F17" w:rsidRPr="001D6905" w:rsidRDefault="00093EAA" w:rsidP="00061F17">
      <w:pPr>
        <w:rPr>
          <w:rFonts w:eastAsia="Calibri" w:cs="Arial"/>
          <w:szCs w:val="19"/>
        </w:rPr>
      </w:pPr>
      <w:r>
        <w:object w:dxaOrig="11853" w:dyaOrig="6438">
          <v:shape id="_x0000_i1030" type="#_x0000_t75" style="width:444pt;height:242.25pt" o:ole="">
            <v:imagedata r:id="rId43" o:title=""/>
          </v:shape>
          <o:OLEObject Type="Embed" ProgID="Excel.Sheet.12" ShapeID="_x0000_i1030" DrawAspect="Content" ObjectID="_1451478947" r:id="rId44"/>
        </w:object>
      </w:r>
    </w:p>
    <w:p w:rsidR="00061F17" w:rsidRPr="008A262D" w:rsidRDefault="00061F17" w:rsidP="00061F17">
      <w:pPr>
        <w:pStyle w:val="CEOcontributionStart"/>
        <w:rPr>
          <w:rFonts w:asciiTheme="minorHAnsi" w:hAnsiTheme="minorHAnsi"/>
          <w:lang w:val="en-US"/>
        </w:rPr>
      </w:pPr>
      <w:r w:rsidRPr="008A262D">
        <w:rPr>
          <w:rFonts w:asciiTheme="minorHAnsi" w:hAnsiTheme="minorHAnsi"/>
        </w:rPr>
        <w:object w:dxaOrig="13336" w:dyaOrig="4555">
          <v:shape id="_x0000_i1031" type="#_x0000_t75" style="width:460.5pt;height:143.25pt" o:ole="" o:allowoverlap="f">
            <v:imagedata r:id="rId45" o:title=""/>
          </v:shape>
          <o:OLEObject Type="Embed" ProgID="Excel.Sheet.12" ShapeID="_x0000_i1031" DrawAspect="Content" ObjectID="_1451478948" r:id="rId46"/>
        </w:object>
      </w:r>
      <w:r w:rsidRPr="008A262D">
        <w:rPr>
          <w:rFonts w:asciiTheme="minorHAnsi" w:hAnsiTheme="minorHAnsi"/>
          <w:lang w:val="en-US"/>
        </w:rPr>
        <w:t>____</w:t>
      </w:r>
    </w:p>
    <w:p w:rsidR="00061F17" w:rsidRPr="0034630E" w:rsidRDefault="00061F17" w:rsidP="00061F17">
      <w:pPr>
        <w:spacing w:before="0"/>
        <w:rPr>
          <w:b/>
          <w:szCs w:val="19"/>
          <w:lang w:val="fr-CH"/>
        </w:rPr>
      </w:pPr>
      <w:r w:rsidRPr="0034630E">
        <w:rPr>
          <w:smallCaps/>
          <w:szCs w:val="19"/>
          <w:lang w:val="fr-CH"/>
        </w:rPr>
        <w:br w:type="page"/>
      </w:r>
    </w:p>
    <w:p w:rsidR="00061F17" w:rsidRPr="005C67CA" w:rsidRDefault="00061F17" w:rsidP="00061F17">
      <w:pPr>
        <w:pStyle w:val="Heading1"/>
        <w:rPr>
          <w:smallCaps/>
          <w:szCs w:val="19"/>
        </w:rPr>
      </w:pPr>
      <w:bookmarkStart w:id="251" w:name="_Toc377482142"/>
      <w:r w:rsidRPr="005C67CA">
        <w:rPr>
          <w:szCs w:val="19"/>
        </w:rPr>
        <w:lastRenderedPageBreak/>
        <w:t>II.</w:t>
      </w:r>
      <w:r w:rsidRPr="005C67CA">
        <w:rPr>
          <w:szCs w:val="19"/>
        </w:rPr>
        <w:tab/>
      </w:r>
      <w:r w:rsidR="00011D10" w:rsidRPr="005C67CA">
        <w:rPr>
          <w:szCs w:val="19"/>
        </w:rPr>
        <w:t>List of Contributions</w:t>
      </w:r>
      <w:bookmarkEnd w:id="242"/>
      <w:bookmarkEnd w:id="251"/>
    </w:p>
    <w:p w:rsidR="00061F17" w:rsidRPr="00E07AE0" w:rsidRDefault="00061F17" w:rsidP="00C71B8F">
      <w:pPr>
        <w:pStyle w:val="ListParagraph"/>
        <w:numPr>
          <w:ilvl w:val="0"/>
          <w:numId w:val="11"/>
        </w:numPr>
        <w:spacing w:before="240" w:after="60" w:line="240" w:lineRule="auto"/>
        <w:ind w:left="357" w:hanging="357"/>
        <w:contextualSpacing w:val="0"/>
        <w:rPr>
          <w:sz w:val="21"/>
          <w:szCs w:val="21"/>
          <w:lang w:val="fr-CH"/>
        </w:rPr>
      </w:pPr>
      <w:bookmarkStart w:id="252" w:name="_Toc361912453"/>
      <w:r w:rsidRPr="00E07AE0">
        <w:rPr>
          <w:sz w:val="21"/>
          <w:szCs w:val="21"/>
          <w:lang w:val="fr-CH"/>
        </w:rPr>
        <w:t>Côte d’Ivoire</w:t>
      </w:r>
      <w:bookmarkEnd w:id="252"/>
      <w:r w:rsidRPr="00E07AE0">
        <w:rPr>
          <w:sz w:val="21"/>
          <w:szCs w:val="21"/>
          <w:lang w:val="fr-CH"/>
        </w:rPr>
        <w:t xml:space="preserve">  </w:t>
      </w:r>
      <w:hyperlink r:id="rId47" w:history="1">
        <w:r w:rsidRPr="00E07AE0">
          <w:rPr>
            <w:rStyle w:val="Hyperlink"/>
            <w:sz w:val="21"/>
            <w:szCs w:val="21"/>
            <w:lang w:val="fr-CH"/>
          </w:rPr>
          <w:t>http://www.itu.int/md/D10-SG01-INF-0034/</w:t>
        </w:r>
      </w:hyperlink>
      <w:r w:rsidRPr="00E07AE0">
        <w:rPr>
          <w:sz w:val="21"/>
          <w:szCs w:val="21"/>
          <w:lang w:val="fr-CH"/>
        </w:rPr>
        <w:t xml:space="preserve"> </w:t>
      </w:r>
    </w:p>
    <w:p w:rsidR="00061F17" w:rsidRPr="00E07AE0" w:rsidRDefault="00061F17" w:rsidP="00C71B8F">
      <w:pPr>
        <w:pStyle w:val="ListParagraph"/>
        <w:numPr>
          <w:ilvl w:val="0"/>
          <w:numId w:val="11"/>
        </w:numPr>
        <w:spacing w:before="240" w:after="60" w:line="240" w:lineRule="auto"/>
        <w:ind w:left="357" w:hanging="357"/>
        <w:contextualSpacing w:val="0"/>
        <w:rPr>
          <w:sz w:val="21"/>
          <w:szCs w:val="21"/>
          <w:lang w:val="es-ES_tradnl"/>
        </w:rPr>
      </w:pPr>
      <w:bookmarkStart w:id="253" w:name="_Toc361912454"/>
      <w:r w:rsidRPr="00E07AE0">
        <w:rPr>
          <w:sz w:val="21"/>
          <w:szCs w:val="21"/>
          <w:lang w:val="es-ES_tradnl"/>
        </w:rPr>
        <w:t>Brazil</w:t>
      </w:r>
      <w:bookmarkEnd w:id="253"/>
      <w:r w:rsidRPr="00E07AE0">
        <w:rPr>
          <w:sz w:val="21"/>
          <w:szCs w:val="21"/>
          <w:lang w:val="es-ES_tradnl"/>
        </w:rPr>
        <w:t xml:space="preserve">   </w:t>
      </w:r>
      <w:hyperlink r:id="rId48" w:history="1">
        <w:r w:rsidRPr="00E07AE0">
          <w:rPr>
            <w:rStyle w:val="Hyperlink"/>
            <w:sz w:val="21"/>
            <w:szCs w:val="21"/>
            <w:lang w:val="es-ES_tradnl"/>
          </w:rPr>
          <w:t>http://www.itu.int/md/D10-SG01-C-0088/</w:t>
        </w:r>
      </w:hyperlink>
      <w:r w:rsidRPr="00E07AE0">
        <w:rPr>
          <w:sz w:val="21"/>
          <w:szCs w:val="21"/>
          <w:lang w:val="es-ES_tradnl"/>
        </w:rPr>
        <w:t xml:space="preserve"> </w:t>
      </w:r>
    </w:p>
    <w:p w:rsidR="00061F17" w:rsidRPr="00E07AE0" w:rsidRDefault="00061F17" w:rsidP="00C71B8F">
      <w:pPr>
        <w:pStyle w:val="ListParagraph"/>
        <w:numPr>
          <w:ilvl w:val="0"/>
          <w:numId w:val="11"/>
        </w:numPr>
        <w:spacing w:before="240" w:after="60" w:line="240" w:lineRule="auto"/>
        <w:ind w:left="357" w:hanging="357"/>
        <w:contextualSpacing w:val="0"/>
        <w:rPr>
          <w:sz w:val="21"/>
          <w:szCs w:val="21"/>
        </w:rPr>
      </w:pPr>
      <w:bookmarkStart w:id="254" w:name="_Toc361912455"/>
      <w:r w:rsidRPr="00E07AE0">
        <w:rPr>
          <w:sz w:val="21"/>
          <w:szCs w:val="21"/>
        </w:rPr>
        <w:t>Republic of Korea</w:t>
      </w:r>
      <w:bookmarkEnd w:id="254"/>
      <w:r w:rsidRPr="00E07AE0">
        <w:rPr>
          <w:sz w:val="21"/>
          <w:szCs w:val="21"/>
        </w:rPr>
        <w:t xml:space="preserve">   </w:t>
      </w:r>
      <w:hyperlink r:id="rId49" w:history="1">
        <w:r w:rsidRPr="00E07AE0">
          <w:rPr>
            <w:rStyle w:val="Hyperlink"/>
            <w:sz w:val="21"/>
            <w:szCs w:val="21"/>
          </w:rPr>
          <w:t>http://www.itu.int/md/D10-SG01-C-0181/</w:t>
        </w:r>
      </w:hyperlink>
      <w:r w:rsidRPr="00E07AE0">
        <w:rPr>
          <w:sz w:val="21"/>
          <w:szCs w:val="21"/>
        </w:rPr>
        <w:t xml:space="preserve"> </w:t>
      </w:r>
    </w:p>
    <w:p w:rsidR="00061F17" w:rsidRPr="00E07AE0" w:rsidRDefault="00061F17" w:rsidP="008A262D">
      <w:pPr>
        <w:pStyle w:val="ListParagraph"/>
        <w:numPr>
          <w:ilvl w:val="0"/>
          <w:numId w:val="11"/>
        </w:numPr>
        <w:spacing w:before="240" w:after="60" w:line="240" w:lineRule="auto"/>
        <w:ind w:left="357" w:hanging="357"/>
        <w:contextualSpacing w:val="0"/>
        <w:rPr>
          <w:sz w:val="21"/>
          <w:szCs w:val="21"/>
          <w:lang w:val="es-ES_tradnl"/>
        </w:rPr>
      </w:pPr>
      <w:bookmarkStart w:id="255" w:name="_Toc361912456"/>
      <w:r w:rsidRPr="00E07AE0">
        <w:rPr>
          <w:sz w:val="21"/>
          <w:szCs w:val="21"/>
          <w:lang w:val="es-ES_tradnl"/>
        </w:rPr>
        <w:t>Israël</w:t>
      </w:r>
      <w:bookmarkEnd w:id="255"/>
      <w:r w:rsidRPr="00E07AE0">
        <w:rPr>
          <w:sz w:val="21"/>
          <w:szCs w:val="21"/>
          <w:lang w:val="es-ES_tradnl"/>
        </w:rPr>
        <w:t xml:space="preserve">  </w:t>
      </w:r>
      <w:hyperlink r:id="rId50" w:history="1">
        <w:r w:rsidRPr="00E07AE0">
          <w:rPr>
            <w:rStyle w:val="Hyperlink"/>
            <w:sz w:val="21"/>
            <w:szCs w:val="21"/>
            <w:lang w:val="es-ES_tradnl"/>
          </w:rPr>
          <w:t>http://www.itu.int/md/D10-SG01-C-0135/</w:t>
        </w:r>
      </w:hyperlink>
      <w:r w:rsidRPr="00E07AE0">
        <w:rPr>
          <w:sz w:val="21"/>
          <w:szCs w:val="21"/>
          <w:lang w:val="es-ES_tradnl"/>
        </w:rPr>
        <w:t xml:space="preserve"> </w:t>
      </w:r>
    </w:p>
    <w:p w:rsidR="00061F17" w:rsidRPr="00E07AE0" w:rsidRDefault="00061F17" w:rsidP="008A262D">
      <w:pPr>
        <w:pStyle w:val="ListParagraph"/>
        <w:numPr>
          <w:ilvl w:val="0"/>
          <w:numId w:val="11"/>
        </w:numPr>
        <w:spacing w:before="240" w:after="60" w:line="240" w:lineRule="auto"/>
        <w:ind w:left="357" w:hanging="357"/>
        <w:contextualSpacing w:val="0"/>
        <w:rPr>
          <w:sz w:val="21"/>
          <w:szCs w:val="21"/>
          <w:lang w:val="es-ES_tradnl"/>
        </w:rPr>
      </w:pPr>
      <w:bookmarkStart w:id="256" w:name="_Toc361912457"/>
      <w:r w:rsidRPr="00E07AE0">
        <w:rPr>
          <w:sz w:val="21"/>
          <w:szCs w:val="21"/>
          <w:lang w:val="es-ES_tradnl"/>
        </w:rPr>
        <w:t>Venezuela</w:t>
      </w:r>
      <w:bookmarkEnd w:id="256"/>
      <w:r w:rsidRPr="00E07AE0">
        <w:rPr>
          <w:sz w:val="21"/>
          <w:szCs w:val="21"/>
          <w:lang w:val="es-ES_tradnl"/>
        </w:rPr>
        <w:t xml:space="preserve">   </w:t>
      </w:r>
      <w:hyperlink r:id="rId51" w:history="1">
        <w:r w:rsidRPr="00E07AE0">
          <w:rPr>
            <w:rStyle w:val="Hyperlink"/>
            <w:sz w:val="21"/>
            <w:szCs w:val="21"/>
            <w:lang w:val="es-ES_tradnl"/>
          </w:rPr>
          <w:t>http://www.itu.int/md/D10-SG01-C-0082</w:t>
        </w:r>
      </w:hyperlink>
      <w:r w:rsidRPr="00E07AE0">
        <w:rPr>
          <w:sz w:val="21"/>
          <w:szCs w:val="21"/>
          <w:lang w:val="es-ES_tradnl"/>
        </w:rPr>
        <w:t xml:space="preserve">/ </w:t>
      </w:r>
    </w:p>
    <w:p w:rsidR="00061F17" w:rsidRPr="00E07AE0" w:rsidRDefault="00061F17" w:rsidP="008A262D">
      <w:pPr>
        <w:pStyle w:val="ListParagraph"/>
        <w:numPr>
          <w:ilvl w:val="0"/>
          <w:numId w:val="11"/>
        </w:numPr>
        <w:spacing w:before="240" w:after="60" w:line="240" w:lineRule="auto"/>
        <w:ind w:left="357" w:hanging="357"/>
        <w:contextualSpacing w:val="0"/>
        <w:rPr>
          <w:sz w:val="21"/>
          <w:szCs w:val="21"/>
        </w:rPr>
      </w:pPr>
      <w:bookmarkStart w:id="257" w:name="_Toc361912458"/>
      <w:r w:rsidRPr="00E07AE0">
        <w:rPr>
          <w:sz w:val="21"/>
          <w:szCs w:val="21"/>
        </w:rPr>
        <w:t>Hungary</w:t>
      </w:r>
      <w:bookmarkEnd w:id="257"/>
      <w:r w:rsidRPr="00E07AE0">
        <w:rPr>
          <w:sz w:val="21"/>
          <w:szCs w:val="21"/>
        </w:rPr>
        <w:t xml:space="preserve">   </w:t>
      </w:r>
      <w:hyperlink r:id="rId52" w:history="1">
        <w:r w:rsidRPr="00E07AE0">
          <w:rPr>
            <w:rStyle w:val="Hyperlink"/>
            <w:sz w:val="21"/>
            <w:szCs w:val="21"/>
          </w:rPr>
          <w:t>http://www.itu.int/md/D10-RGQ23.1-C-0015/</w:t>
        </w:r>
      </w:hyperlink>
      <w:r w:rsidRPr="00E07AE0">
        <w:rPr>
          <w:sz w:val="21"/>
          <w:szCs w:val="21"/>
        </w:rPr>
        <w:t xml:space="preserve"> </w:t>
      </w:r>
    </w:p>
    <w:p w:rsidR="00061F17" w:rsidRPr="00E07AE0" w:rsidRDefault="00061F17" w:rsidP="00EF06F2">
      <w:pPr>
        <w:pStyle w:val="ListParagraph"/>
        <w:numPr>
          <w:ilvl w:val="0"/>
          <w:numId w:val="11"/>
        </w:numPr>
        <w:spacing w:before="240" w:after="60" w:line="240" w:lineRule="auto"/>
        <w:ind w:left="357" w:hanging="357"/>
        <w:contextualSpacing w:val="0"/>
        <w:rPr>
          <w:sz w:val="21"/>
          <w:szCs w:val="21"/>
          <w:lang w:val="de-CH"/>
        </w:rPr>
      </w:pPr>
      <w:bookmarkStart w:id="258" w:name="_Toc361912459"/>
      <w:r w:rsidRPr="00E07AE0">
        <w:rPr>
          <w:sz w:val="21"/>
          <w:szCs w:val="21"/>
          <w:lang w:val="de-CH"/>
        </w:rPr>
        <w:t>Uzbekistan</w:t>
      </w:r>
      <w:bookmarkEnd w:id="258"/>
      <w:r w:rsidRPr="00E07AE0">
        <w:rPr>
          <w:sz w:val="21"/>
          <w:szCs w:val="21"/>
          <w:lang w:val="de-CH"/>
        </w:rPr>
        <w:t xml:space="preserve">  </w:t>
      </w:r>
      <w:hyperlink r:id="rId53" w:history="1">
        <w:r w:rsidRPr="00E07AE0">
          <w:rPr>
            <w:rStyle w:val="Hyperlink"/>
            <w:sz w:val="21"/>
            <w:szCs w:val="21"/>
            <w:lang w:val="de-CH"/>
          </w:rPr>
          <w:t>http://www.itu.int/md/D10-SG01-INF-0018/</w:t>
        </w:r>
      </w:hyperlink>
      <w:r w:rsidRPr="00E07AE0">
        <w:rPr>
          <w:sz w:val="21"/>
          <w:szCs w:val="21"/>
          <w:lang w:val="de-CH"/>
        </w:rPr>
        <w:t xml:space="preserve"> </w:t>
      </w:r>
    </w:p>
    <w:p w:rsidR="00061F17" w:rsidRPr="00E07AE0" w:rsidRDefault="00061F17" w:rsidP="008A262D">
      <w:pPr>
        <w:pStyle w:val="ListParagraph"/>
        <w:numPr>
          <w:ilvl w:val="0"/>
          <w:numId w:val="11"/>
        </w:numPr>
        <w:spacing w:before="240" w:after="60" w:line="240" w:lineRule="auto"/>
        <w:ind w:left="357" w:hanging="357"/>
        <w:contextualSpacing w:val="0"/>
        <w:rPr>
          <w:rStyle w:val="Hyperlink"/>
          <w:sz w:val="21"/>
          <w:szCs w:val="21"/>
        </w:rPr>
      </w:pPr>
      <w:bookmarkStart w:id="259" w:name="_Toc361912460"/>
      <w:r w:rsidRPr="00E07AE0">
        <w:rPr>
          <w:sz w:val="21"/>
          <w:szCs w:val="21"/>
        </w:rPr>
        <w:t>Benin</w:t>
      </w:r>
      <w:bookmarkEnd w:id="259"/>
      <w:r w:rsidRPr="00E07AE0">
        <w:rPr>
          <w:sz w:val="21"/>
          <w:szCs w:val="21"/>
        </w:rPr>
        <w:t xml:space="preserve">  </w:t>
      </w:r>
      <w:hyperlink r:id="rId54" w:history="1">
        <w:r w:rsidRPr="00E07AE0">
          <w:rPr>
            <w:rStyle w:val="Hyperlink"/>
            <w:sz w:val="21"/>
            <w:szCs w:val="21"/>
          </w:rPr>
          <w:t>http://www.itu.int/md/D10-SG01-C-0228/</w:t>
        </w:r>
      </w:hyperlink>
      <w:r w:rsidRPr="00E07AE0">
        <w:rPr>
          <w:rStyle w:val="Hyperlink"/>
          <w:sz w:val="21"/>
          <w:szCs w:val="21"/>
        </w:rPr>
        <w:t xml:space="preserve"> </w:t>
      </w:r>
    </w:p>
    <w:p w:rsidR="00061F17" w:rsidRPr="00E07AE0" w:rsidRDefault="00EF06F2" w:rsidP="00C71B8F">
      <w:pPr>
        <w:pStyle w:val="ListParagraph"/>
        <w:numPr>
          <w:ilvl w:val="0"/>
          <w:numId w:val="11"/>
        </w:numPr>
        <w:spacing w:before="240" w:after="60" w:line="240" w:lineRule="auto"/>
        <w:ind w:left="357" w:hanging="357"/>
        <w:contextualSpacing w:val="0"/>
        <w:rPr>
          <w:sz w:val="21"/>
          <w:szCs w:val="21"/>
        </w:rPr>
      </w:pPr>
      <w:r w:rsidRPr="00E07AE0">
        <w:rPr>
          <w:sz w:val="21"/>
          <w:szCs w:val="21"/>
        </w:rPr>
        <w:t>India</w:t>
      </w:r>
      <w:r w:rsidR="00E07AE0" w:rsidRPr="00E07AE0">
        <w:rPr>
          <w:sz w:val="21"/>
          <w:szCs w:val="21"/>
        </w:rPr>
        <w:t>:</w:t>
      </w:r>
      <w:r w:rsidRPr="00E07AE0">
        <w:rPr>
          <w:sz w:val="21"/>
          <w:szCs w:val="21"/>
        </w:rPr>
        <w:t xml:space="preserve"> </w:t>
      </w:r>
      <w:hyperlink r:id="rId55" w:history="1">
        <w:r w:rsidR="00061F17" w:rsidRPr="00E07AE0">
          <w:rPr>
            <w:rStyle w:val="Hyperlink"/>
            <w:sz w:val="21"/>
            <w:szCs w:val="21"/>
          </w:rPr>
          <w:t>https://www.itu.int/md/D10-SG01-C-0278/</w:t>
        </w:r>
      </w:hyperlink>
      <w:r w:rsidR="00061F17" w:rsidRPr="00E07AE0">
        <w:rPr>
          <w:rStyle w:val="Hyperlink"/>
          <w:sz w:val="21"/>
          <w:szCs w:val="21"/>
        </w:rPr>
        <w:t xml:space="preserve"> </w:t>
      </w:r>
    </w:p>
    <w:p w:rsidR="00C71B8F" w:rsidRDefault="00C71B8F" w:rsidP="00061F17">
      <w:pPr>
        <w:pStyle w:val="Heading1"/>
        <w:spacing w:before="120" w:after="120"/>
        <w:rPr>
          <w:szCs w:val="19"/>
        </w:rPr>
      </w:pPr>
      <w:bookmarkStart w:id="260" w:name="_Toc361912461"/>
    </w:p>
    <w:p w:rsidR="00C71B8F" w:rsidRDefault="00C71B8F" w:rsidP="00061F17">
      <w:pPr>
        <w:pStyle w:val="Heading1"/>
        <w:spacing w:before="120" w:after="120"/>
        <w:rPr>
          <w:szCs w:val="19"/>
        </w:rPr>
      </w:pPr>
      <w:r>
        <w:rPr>
          <w:szCs w:val="19"/>
        </w:rPr>
        <w:br w:type="page"/>
      </w:r>
    </w:p>
    <w:p w:rsidR="00061F17" w:rsidRPr="005C67CA" w:rsidRDefault="00061F17" w:rsidP="00061F17">
      <w:pPr>
        <w:pStyle w:val="Heading1"/>
        <w:spacing w:before="120" w:after="120"/>
        <w:rPr>
          <w:smallCaps/>
          <w:szCs w:val="19"/>
        </w:rPr>
      </w:pPr>
      <w:bookmarkStart w:id="261" w:name="_Toc377482143"/>
      <w:r w:rsidRPr="005C67CA">
        <w:rPr>
          <w:szCs w:val="19"/>
        </w:rPr>
        <w:lastRenderedPageBreak/>
        <w:t>III.</w:t>
      </w:r>
      <w:r w:rsidRPr="005C67CA">
        <w:rPr>
          <w:szCs w:val="19"/>
        </w:rPr>
        <w:tab/>
      </w:r>
      <w:r w:rsidR="00011D10" w:rsidRPr="005C67CA">
        <w:rPr>
          <w:szCs w:val="19"/>
        </w:rPr>
        <w:t>References</w:t>
      </w:r>
      <w:bookmarkEnd w:id="260"/>
      <w:bookmarkEnd w:id="261"/>
    </w:p>
    <w:p w:rsidR="00061F17" w:rsidRPr="00C71B8F" w:rsidRDefault="00061F17" w:rsidP="00FA6CE1">
      <w:pPr>
        <w:spacing w:before="240"/>
        <w:rPr>
          <w:b/>
          <w:bCs/>
          <w:szCs w:val="19"/>
          <w:lang w:val="en-US"/>
        </w:rPr>
      </w:pPr>
      <w:r w:rsidRPr="00C71B8F">
        <w:rPr>
          <w:b/>
          <w:szCs w:val="19"/>
          <w:lang w:val="en-US"/>
        </w:rPr>
        <w:t>Useful websites</w:t>
      </w:r>
    </w:p>
    <w:p w:rsidR="00061F17" w:rsidRPr="00C71B8F" w:rsidRDefault="00E57763" w:rsidP="001970D2">
      <w:pPr>
        <w:spacing w:before="240" w:after="60"/>
        <w:rPr>
          <w:szCs w:val="19"/>
          <w:lang w:val="en-US"/>
        </w:rPr>
      </w:pPr>
      <w:hyperlink r:id="rId56" w:history="1">
        <w:r w:rsidR="00061F17" w:rsidRPr="00C71B8F">
          <w:rPr>
            <w:rStyle w:val="Hyperlink"/>
            <w:szCs w:val="19"/>
            <w:lang w:val="en-US"/>
          </w:rPr>
          <w:t>http://www.icnirp.org</w:t>
        </w:r>
      </w:hyperlink>
      <w:r w:rsidR="00061F17" w:rsidRPr="00C71B8F">
        <w:rPr>
          <w:szCs w:val="19"/>
          <w:lang w:val="en-US"/>
        </w:rPr>
        <w:t xml:space="preserve">; </w:t>
      </w:r>
    </w:p>
    <w:p w:rsidR="00061F17" w:rsidRPr="007A19CC" w:rsidRDefault="00E57763" w:rsidP="001970D2">
      <w:pPr>
        <w:spacing w:before="240" w:after="60"/>
        <w:rPr>
          <w:szCs w:val="19"/>
          <w:lang w:val="en-US"/>
        </w:rPr>
      </w:pPr>
      <w:hyperlink r:id="rId57" w:history="1">
        <w:r w:rsidR="00061F17" w:rsidRPr="007A19CC">
          <w:rPr>
            <w:rStyle w:val="Hyperlink"/>
            <w:szCs w:val="19"/>
            <w:lang w:val="en-US"/>
          </w:rPr>
          <w:t>http://grouper.ieee.org/groups/scc28</w:t>
        </w:r>
      </w:hyperlink>
      <w:r w:rsidR="00061F17" w:rsidRPr="007A19CC">
        <w:rPr>
          <w:szCs w:val="19"/>
          <w:lang w:val="en-US"/>
        </w:rPr>
        <w:t xml:space="preserve">; </w:t>
      </w:r>
    </w:p>
    <w:p w:rsidR="00061F17" w:rsidRPr="007A19CC" w:rsidRDefault="00E57763" w:rsidP="001970D2">
      <w:pPr>
        <w:spacing w:before="240" w:after="60"/>
        <w:rPr>
          <w:szCs w:val="19"/>
          <w:lang w:val="en-US"/>
        </w:rPr>
      </w:pPr>
      <w:hyperlink r:id="rId58" w:history="1">
        <w:r w:rsidR="00061F17" w:rsidRPr="007A19CC">
          <w:rPr>
            <w:rStyle w:val="Hyperlink"/>
            <w:szCs w:val="19"/>
            <w:lang w:val="en-US"/>
          </w:rPr>
          <w:t>http://www.iec.ch/</w:t>
        </w:r>
      </w:hyperlink>
      <w:r w:rsidR="00061F17" w:rsidRPr="007A19CC">
        <w:rPr>
          <w:szCs w:val="19"/>
          <w:lang w:val="en-US"/>
        </w:rPr>
        <w:t xml:space="preserve">; </w:t>
      </w:r>
    </w:p>
    <w:p w:rsidR="00061F17" w:rsidRPr="007A19CC" w:rsidRDefault="00E57763" w:rsidP="001970D2">
      <w:pPr>
        <w:spacing w:before="240" w:after="60"/>
        <w:rPr>
          <w:szCs w:val="19"/>
          <w:lang w:val="en-US"/>
        </w:rPr>
      </w:pPr>
      <w:hyperlink r:id="rId59" w:history="1">
        <w:r w:rsidR="00061F17" w:rsidRPr="007A19CC">
          <w:rPr>
            <w:rStyle w:val="Hyperlink"/>
            <w:szCs w:val="19"/>
            <w:lang w:val="en-US"/>
          </w:rPr>
          <w:t>http://www.cenelec.org</w:t>
        </w:r>
      </w:hyperlink>
      <w:r w:rsidR="00061F17" w:rsidRPr="007A19CC">
        <w:rPr>
          <w:szCs w:val="19"/>
          <w:lang w:val="en-US"/>
        </w:rPr>
        <w:t xml:space="preserve"> ;</w:t>
      </w:r>
    </w:p>
    <w:p w:rsidR="00061F17" w:rsidRPr="007A19CC" w:rsidRDefault="00E57763" w:rsidP="001970D2">
      <w:pPr>
        <w:spacing w:before="240" w:after="60"/>
        <w:rPr>
          <w:szCs w:val="19"/>
          <w:lang w:val="en-US"/>
        </w:rPr>
      </w:pPr>
      <w:hyperlink r:id="rId60" w:history="1">
        <w:r w:rsidR="00061F17" w:rsidRPr="007A19CC">
          <w:rPr>
            <w:rStyle w:val="Hyperlink"/>
            <w:szCs w:val="19"/>
            <w:lang w:val="en-US"/>
          </w:rPr>
          <w:t>http://www.sviva.gov.il/subjectsEnv/Radiation/Communication_Facilities/cellular/Documents/shidur_selulariim_peilim_1.xls</w:t>
        </w:r>
      </w:hyperlink>
    </w:p>
    <w:p w:rsidR="00C71B8F" w:rsidRPr="007A19CC" w:rsidRDefault="00C71B8F" w:rsidP="00061F17">
      <w:pPr>
        <w:rPr>
          <w:b/>
          <w:szCs w:val="19"/>
          <w:lang w:val="en-US"/>
        </w:rPr>
      </w:pPr>
      <w:r w:rsidRPr="007A19CC">
        <w:rPr>
          <w:b/>
          <w:szCs w:val="19"/>
          <w:lang w:val="en-US"/>
        </w:rPr>
        <w:br w:type="page"/>
      </w:r>
    </w:p>
    <w:p w:rsidR="003C483E" w:rsidRDefault="003C483E" w:rsidP="003C483E">
      <w:pPr>
        <w:pStyle w:val="Heading1"/>
      </w:pPr>
      <w:bookmarkStart w:id="262" w:name="_Toc374691857"/>
    </w:p>
    <w:p w:rsidR="00061F17" w:rsidRDefault="00061F17" w:rsidP="003C483E">
      <w:pPr>
        <w:pStyle w:val="HeadingB"/>
      </w:pPr>
      <w:r w:rsidRPr="005C67CA">
        <w:t>Bibliography</w:t>
      </w:r>
      <w:bookmarkEnd w:id="262"/>
      <w:r w:rsidRPr="005C67CA">
        <w:t xml:space="preserve"> </w:t>
      </w:r>
    </w:p>
    <w:p w:rsidR="00C71B8F" w:rsidRPr="00C71B8F" w:rsidRDefault="00C71B8F" w:rsidP="00C71B8F">
      <w:pPr>
        <w:rPr>
          <w:lang w:val="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061F17" w:rsidRPr="00E57763" w:rsidTr="00F22C89">
        <w:trPr>
          <w:cantSplit/>
          <w:trHeight w:val="20"/>
        </w:trPr>
        <w:tc>
          <w:tcPr>
            <w:tcW w:w="9072" w:type="dxa"/>
            <w:hideMark/>
          </w:tcPr>
          <w:p w:rsidR="00061F17" w:rsidRPr="00C71B8F" w:rsidRDefault="00061F17" w:rsidP="00C71B8F">
            <w:pPr>
              <w:pStyle w:val="RegParagraph"/>
              <w:numPr>
                <w:ilvl w:val="0"/>
                <w:numId w:val="10"/>
              </w:numPr>
              <w:spacing w:before="40" w:after="40" w:line="240" w:lineRule="auto"/>
              <w:ind w:left="357" w:hanging="357"/>
              <w:jc w:val="left"/>
              <w:rPr>
                <w:rFonts w:ascii="Calibri" w:hAnsi="Calibri"/>
                <w:sz w:val="19"/>
                <w:szCs w:val="19"/>
                <w:lang w:eastAsia="zh-CN" w:bidi="ar-SA"/>
              </w:rPr>
            </w:pPr>
            <w:r w:rsidRPr="00C71B8F">
              <w:rPr>
                <w:rFonts w:ascii="Calibri" w:hAnsi="Calibri"/>
                <w:sz w:val="19"/>
                <w:szCs w:val="19"/>
                <w:lang w:eastAsia="zh-CN" w:bidi="ar-SA"/>
              </w:rPr>
              <w:t xml:space="preserve">EN 50385:2002 </w:t>
            </w:r>
            <w:hyperlink r:id="rId61" w:history="1">
              <w:r w:rsidRPr="00C71B8F">
                <w:rPr>
                  <w:rStyle w:val="Hyperlink"/>
                  <w:rFonts w:ascii="Calibri" w:hAnsi="Calibri"/>
                  <w:i/>
                  <w:iCs/>
                  <w:sz w:val="19"/>
                  <w:szCs w:val="19"/>
                  <w:lang w:eastAsia="zh-CN" w:bidi="ar-SA"/>
                </w:rPr>
                <w:t>Product standard to demonstrate the compliance of radio base stations and fixed terminal stations for wireless telecommunication systems with the basic restrictions or the reference levels related to human exposure to radio frequency electromagnetic fields (110 MHz - 40 GHz) - General public</w:t>
              </w:r>
            </w:hyperlink>
          </w:p>
        </w:tc>
      </w:tr>
      <w:tr w:rsidR="00061F17" w:rsidRPr="00E57763" w:rsidTr="00F22C89">
        <w:trPr>
          <w:cantSplit/>
          <w:trHeight w:val="20"/>
        </w:trPr>
        <w:tc>
          <w:tcPr>
            <w:tcW w:w="9072" w:type="dxa"/>
            <w:hideMark/>
          </w:tcPr>
          <w:p w:rsidR="00061F17" w:rsidRPr="00C71B8F" w:rsidRDefault="00061F17" w:rsidP="00C71B8F">
            <w:pPr>
              <w:pStyle w:val="Equation"/>
              <w:numPr>
                <w:ilvl w:val="0"/>
                <w:numId w:val="10"/>
              </w:numPr>
              <w:tabs>
                <w:tab w:val="clear" w:pos="794"/>
              </w:tabs>
              <w:spacing w:before="40" w:after="40"/>
              <w:ind w:left="357" w:hanging="357"/>
              <w:jc w:val="left"/>
              <w:rPr>
                <w:rFonts w:ascii="Calibri" w:hAnsi="Calibri"/>
                <w:bCs/>
                <w:snapToGrid w:val="0"/>
                <w:sz w:val="19"/>
                <w:szCs w:val="19"/>
                <w:lang w:val="en-GB" w:eastAsia="zh-CN"/>
              </w:rPr>
            </w:pPr>
            <w:r w:rsidRPr="00C71B8F">
              <w:rPr>
                <w:rFonts w:ascii="Calibri" w:hAnsi="Calibri"/>
                <w:snapToGrid w:val="0"/>
                <w:sz w:val="19"/>
                <w:szCs w:val="19"/>
                <w:lang w:val="en-GB" w:eastAsia="zh-CN"/>
              </w:rPr>
              <w:t xml:space="preserve">EC General Council Recommendation 1999/519/EC  </w:t>
            </w:r>
            <w:hyperlink r:id="rId62" w:history="1">
              <w:r w:rsidRPr="00C71B8F">
                <w:rPr>
                  <w:rStyle w:val="Hyperlink"/>
                  <w:rFonts w:ascii="Calibri" w:hAnsi="Calibri"/>
                  <w:i/>
                  <w:iCs/>
                  <w:snapToGrid w:val="0"/>
                  <w:sz w:val="19"/>
                  <w:szCs w:val="19"/>
                  <w:lang w:val="en-US" w:eastAsia="zh-CN"/>
                </w:rPr>
                <w:t>On the Limitation of Exposure of the General Public to Electromagnetic Fields, 0 Hz to 300 GHz</w:t>
              </w:r>
            </w:hyperlink>
          </w:p>
        </w:tc>
      </w:tr>
      <w:tr w:rsidR="00061F17" w:rsidRPr="00E57763" w:rsidTr="00F22C89">
        <w:trPr>
          <w:cantSplit/>
          <w:trHeight w:val="20"/>
        </w:trPr>
        <w:tc>
          <w:tcPr>
            <w:tcW w:w="9072" w:type="dxa"/>
            <w:hideMark/>
          </w:tcPr>
          <w:p w:rsidR="00061F17" w:rsidRPr="00C71B8F" w:rsidRDefault="00061F17" w:rsidP="00C71B8F">
            <w:pPr>
              <w:pStyle w:val="Equation"/>
              <w:numPr>
                <w:ilvl w:val="0"/>
                <w:numId w:val="10"/>
              </w:numPr>
              <w:tabs>
                <w:tab w:val="left" w:pos="1191"/>
                <w:tab w:val="left" w:pos="1588"/>
                <w:tab w:val="left" w:pos="1985"/>
              </w:tabs>
              <w:suppressAutoHyphens/>
              <w:spacing w:before="40" w:after="40"/>
              <w:ind w:left="357" w:hanging="357"/>
              <w:jc w:val="left"/>
              <w:textAlignment w:val="baseline"/>
              <w:rPr>
                <w:rFonts w:ascii="Calibri" w:hAnsi="Calibri"/>
                <w:snapToGrid w:val="0"/>
                <w:sz w:val="19"/>
                <w:szCs w:val="19"/>
                <w:lang w:val="en-GB" w:eastAsia="zh-CN"/>
              </w:rPr>
            </w:pPr>
            <w:r w:rsidRPr="00C71B8F">
              <w:rPr>
                <w:rFonts w:ascii="Calibri" w:hAnsi="Calibri"/>
                <w:snapToGrid w:val="0"/>
                <w:sz w:val="19"/>
                <w:szCs w:val="19"/>
                <w:lang w:val="en-GB" w:eastAsia="zh-CN"/>
              </w:rPr>
              <w:t xml:space="preserve">EC Directive 2004/40/EC of the European parliament and of the Council of 29 April 2004 </w:t>
            </w:r>
            <w:hyperlink r:id="rId63" w:history="1">
              <w:r w:rsidRPr="00C71B8F">
                <w:rPr>
                  <w:rStyle w:val="Hyperlink"/>
                  <w:rFonts w:ascii="Calibri" w:hAnsi="Calibri"/>
                  <w:i/>
                  <w:iCs/>
                  <w:sz w:val="19"/>
                  <w:szCs w:val="19"/>
                  <w:lang w:val="en-US" w:eastAsia="zh-CN"/>
                </w:rPr>
                <w:t>On The Minimum Health And Safety Requirements Regarding The Exposure Of Workers To The Risks Arising From Physical Agents (Electromagnetic Fields</w:t>
              </w:r>
            </w:hyperlink>
            <w:r w:rsidRPr="00C71B8F">
              <w:rPr>
                <w:rFonts w:ascii="Calibri" w:hAnsi="Calibri"/>
                <w:sz w:val="19"/>
                <w:szCs w:val="19"/>
                <w:lang w:val="en-GB" w:eastAsia="zh-CN"/>
              </w:rPr>
              <w:t>)</w:t>
            </w:r>
          </w:p>
        </w:tc>
      </w:tr>
      <w:tr w:rsidR="00061F17" w:rsidRPr="00E57763"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autoSpaceDN w:val="0"/>
              <w:adjustRightInd w:val="0"/>
              <w:spacing w:before="40" w:after="40" w:line="240" w:lineRule="auto"/>
              <w:ind w:left="357" w:hanging="357"/>
              <w:textAlignment w:val="baseline"/>
              <w:rPr>
                <w:rFonts w:ascii="Calibri" w:hAnsi="Calibri"/>
                <w:color w:val="000000"/>
                <w:sz w:val="19"/>
                <w:szCs w:val="19"/>
                <w:lang w:eastAsia="en-GB"/>
              </w:rPr>
            </w:pPr>
            <w:r w:rsidRPr="00C71B8F">
              <w:rPr>
                <w:rFonts w:ascii="Calibri" w:hAnsi="Calibri"/>
                <w:sz w:val="19"/>
                <w:szCs w:val="19"/>
              </w:rPr>
              <w:t xml:space="preserve">FCC 1997 OET Bulletin 65 </w:t>
            </w:r>
            <w:hyperlink r:id="rId64" w:history="1">
              <w:r w:rsidRPr="00C71B8F">
                <w:rPr>
                  <w:rStyle w:val="Hyperlink"/>
                  <w:rFonts w:ascii="Calibri" w:hAnsi="Calibri" w:cs="TimesNewRomanPS-ItalicMT"/>
                  <w:i/>
                  <w:iCs/>
                  <w:sz w:val="19"/>
                  <w:szCs w:val="19"/>
                </w:rPr>
                <w:t>Evaluating Compliance with FCC Guidelines for Human Exposure to Radiofrequency Electromagnetic Fields</w:t>
              </w:r>
            </w:hyperlink>
            <w:r w:rsidRPr="00C71B8F">
              <w:rPr>
                <w:rFonts w:ascii="Calibri" w:hAnsi="Calibri" w:cs="TimesNewRomanPS-ItalicMT"/>
                <w:sz w:val="19"/>
                <w:szCs w:val="19"/>
              </w:rPr>
              <w:t>,</w:t>
            </w:r>
            <w:hyperlink r:id="rId65" w:history="1">
              <w:r w:rsidRPr="00C71B8F">
                <w:rPr>
                  <w:rStyle w:val="Hyperlink"/>
                  <w:rFonts w:ascii="Calibri" w:hAnsi="Calibri" w:cs="TimesNewRomanPS-ItalicMT"/>
                  <w:i/>
                  <w:iCs/>
                  <w:sz w:val="19"/>
                  <w:szCs w:val="19"/>
                </w:rPr>
                <w:t>Radio and Television Broadcast Stations- Supplement A (Edition 97-01)</w:t>
              </w:r>
            </w:hyperlink>
            <w:r w:rsidRPr="00C71B8F">
              <w:rPr>
                <w:rFonts w:ascii="Calibri" w:hAnsi="Calibri" w:cs="TimesNewRomanPS-ItalicMT"/>
                <w:sz w:val="19"/>
                <w:szCs w:val="19"/>
              </w:rPr>
              <w:t>,</w:t>
            </w:r>
            <w:hyperlink r:id="rId66" w:history="1">
              <w:r w:rsidRPr="00C71B8F">
                <w:rPr>
                  <w:rStyle w:val="Hyperlink"/>
                  <w:rFonts w:ascii="Calibri" w:hAnsi="Calibri" w:cs="TimesNewRomanPS-ItalicMT"/>
                  <w:i/>
                  <w:iCs/>
                  <w:sz w:val="19"/>
                  <w:szCs w:val="19"/>
                </w:rPr>
                <w:t>Amateur Radio Stations- Supplement B (Edition 97-01)</w:t>
              </w:r>
            </w:hyperlink>
            <w:r w:rsidRPr="00C71B8F">
              <w:rPr>
                <w:rFonts w:ascii="Calibri" w:hAnsi="Calibri" w:cs="TimesNewRomanPS-ItalicMT"/>
                <w:sz w:val="19"/>
                <w:szCs w:val="19"/>
              </w:rPr>
              <w:t xml:space="preserve"> ,</w:t>
            </w:r>
            <w:hyperlink r:id="rId67" w:history="1">
              <w:r w:rsidRPr="00C71B8F">
                <w:rPr>
                  <w:rStyle w:val="Hyperlink"/>
                  <w:rFonts w:ascii="Calibri" w:hAnsi="Calibri" w:cs="TimesNewRomanPS-ItalicMT"/>
                  <w:i/>
                  <w:iCs/>
                  <w:sz w:val="19"/>
                  <w:szCs w:val="19"/>
                </w:rPr>
                <w:t>Supplement C (Edition 01-01)</w:t>
              </w:r>
            </w:hyperlink>
          </w:p>
        </w:tc>
      </w:tr>
      <w:tr w:rsidR="00061F17" w:rsidRPr="00C71B8F"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color w:val="000000"/>
                <w:sz w:val="19"/>
                <w:szCs w:val="19"/>
                <w:lang w:eastAsia="en-GB"/>
              </w:rPr>
              <w:t xml:space="preserve">FCC </w:t>
            </w:r>
            <w:r w:rsidRPr="00C71B8F">
              <w:rPr>
                <w:rFonts w:ascii="Calibri" w:hAnsi="Calibri"/>
                <w:snapToGrid w:val="0"/>
                <w:sz w:val="19"/>
                <w:szCs w:val="19"/>
              </w:rPr>
              <w:t>2011</w:t>
            </w:r>
            <w:hyperlink r:id="rId68" w:history="1">
              <w:r w:rsidRPr="00C71B8F">
                <w:rPr>
                  <w:rStyle w:val="Hyperlink"/>
                  <w:rFonts w:ascii="Calibri" w:hAnsi="Calibri"/>
                  <w:i/>
                  <w:sz w:val="19"/>
                  <w:szCs w:val="19"/>
                  <w:lang w:eastAsia="en-GB"/>
                </w:rPr>
                <w:t>Radiofrequency Radiation Exposure Limits</w:t>
              </w:r>
            </w:hyperlink>
            <w:r w:rsidRPr="00C71B8F">
              <w:rPr>
                <w:rFonts w:ascii="Calibri" w:hAnsi="Calibri"/>
                <w:color w:val="000000"/>
                <w:sz w:val="19"/>
                <w:szCs w:val="19"/>
                <w:lang w:eastAsia="en-GB"/>
              </w:rPr>
              <w:t xml:space="preserve"> CFR 47 § 1.1310  </w:t>
            </w:r>
          </w:p>
        </w:tc>
      </w:tr>
      <w:tr w:rsidR="00061F17" w:rsidRPr="00E57763"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color w:val="000000"/>
                <w:sz w:val="19"/>
                <w:szCs w:val="19"/>
                <w:lang w:eastAsia="en-GB"/>
              </w:rPr>
              <w:t>FCC</w:t>
            </w:r>
            <w:r w:rsidRPr="00C71B8F">
              <w:rPr>
                <w:rFonts w:ascii="Calibri" w:hAnsi="Calibri"/>
                <w:snapToGrid w:val="0"/>
                <w:sz w:val="19"/>
                <w:szCs w:val="19"/>
              </w:rPr>
              <w:t xml:space="preserve"> 2012 </w:t>
            </w:r>
            <w:hyperlink r:id="rId69" w:history="1">
              <w:r w:rsidRPr="00C71B8F">
                <w:rPr>
                  <w:rStyle w:val="Hyperlink"/>
                  <w:rFonts w:ascii="Calibri" w:hAnsi="Calibri"/>
                  <w:snapToGrid w:val="0"/>
                  <w:sz w:val="19"/>
                  <w:szCs w:val="19"/>
                </w:rPr>
                <w:t>Radiofrequency radiation exposure evaluation: portable devices</w:t>
              </w:r>
            </w:hyperlink>
            <w:r w:rsidRPr="00C71B8F">
              <w:rPr>
                <w:rFonts w:ascii="Calibri" w:hAnsi="Calibri"/>
                <w:snapToGrid w:val="0"/>
                <w:sz w:val="19"/>
                <w:szCs w:val="19"/>
              </w:rPr>
              <w:t xml:space="preserve">, </w:t>
            </w:r>
            <w:r w:rsidRPr="00C71B8F">
              <w:rPr>
                <w:rFonts w:ascii="Calibri" w:hAnsi="Calibri"/>
                <w:color w:val="000000"/>
                <w:sz w:val="19"/>
                <w:szCs w:val="19"/>
                <w:lang w:eastAsia="en-GB"/>
              </w:rPr>
              <w:t xml:space="preserve">CFR 47 </w:t>
            </w:r>
            <w:r w:rsidRPr="00C71B8F">
              <w:rPr>
                <w:rFonts w:ascii="Calibri" w:hAnsi="Calibri"/>
                <w:snapToGrid w:val="0"/>
                <w:sz w:val="19"/>
                <w:szCs w:val="19"/>
              </w:rPr>
              <w:t>§ 2.1093 re</w:t>
            </w:r>
            <w:r w:rsidRPr="00C71B8F">
              <w:rPr>
                <w:rFonts w:ascii="Calibri" w:hAnsi="Calibri"/>
                <w:sz w:val="19"/>
                <w:szCs w:val="19"/>
              </w:rPr>
              <w:t xml:space="preserve">viewed 31 August 2012: </w:t>
            </w:r>
            <w:r w:rsidRPr="00C71B8F">
              <w:rPr>
                <w:rFonts w:ascii="Calibri" w:hAnsi="Calibri"/>
                <w:snapToGrid w:val="0"/>
                <w:sz w:val="19"/>
                <w:szCs w:val="19"/>
              </w:rPr>
              <w:t>e-CFR Data is current as of August 29, 2012</w:t>
            </w:r>
          </w:p>
        </w:tc>
      </w:tr>
      <w:tr w:rsidR="00061F17" w:rsidRPr="00E57763"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color w:val="000000"/>
                <w:sz w:val="19"/>
                <w:szCs w:val="19"/>
                <w:lang w:eastAsia="en-GB"/>
              </w:rPr>
            </w:pPr>
            <w:r w:rsidRPr="00C71B8F">
              <w:rPr>
                <w:rFonts w:ascii="Calibri" w:hAnsi="Calibri"/>
                <w:color w:val="000000"/>
                <w:sz w:val="19"/>
                <w:szCs w:val="19"/>
                <w:lang w:eastAsia="en-GB"/>
              </w:rPr>
              <w:t xml:space="preserve">FCC 2013 </w:t>
            </w:r>
            <w:hyperlink r:id="rId70" w:history="1">
              <w:r w:rsidRPr="00C71B8F">
                <w:rPr>
                  <w:rStyle w:val="Hyperlink"/>
                  <w:rFonts w:ascii="Calibri" w:hAnsi="Calibri"/>
                  <w:i/>
                  <w:iCs/>
                  <w:sz w:val="19"/>
                  <w:szCs w:val="19"/>
                  <w:lang w:eastAsia="en-GB"/>
                </w:rPr>
                <w:t>First Report and Order further Notice of Proposed Rule Making and Notice of Inquiry</w:t>
              </w:r>
            </w:hyperlink>
            <w:r w:rsidRPr="00C71B8F">
              <w:rPr>
                <w:rFonts w:ascii="Calibri" w:hAnsi="Calibri"/>
                <w:color w:val="000000"/>
                <w:sz w:val="19"/>
                <w:szCs w:val="19"/>
                <w:lang w:eastAsia="en-GB"/>
              </w:rPr>
              <w:t xml:space="preserve"> Reassessment of Federal Communications Commission Radiofrequency Exposure Limits and Policies </w:t>
            </w:r>
            <w:r w:rsidRPr="00C71B8F">
              <w:rPr>
                <w:rFonts w:ascii="Calibri" w:hAnsi="Calibri"/>
                <w:spacing w:val="-2"/>
                <w:sz w:val="19"/>
                <w:szCs w:val="19"/>
              </w:rPr>
              <w:t xml:space="preserve">ET Docket No. 13-84, and  </w:t>
            </w:r>
            <w:r w:rsidRPr="00C71B8F">
              <w:rPr>
                <w:rFonts w:ascii="Calibri" w:hAnsi="Calibri"/>
                <w:color w:val="000000"/>
                <w:sz w:val="19"/>
                <w:szCs w:val="19"/>
                <w:lang w:eastAsia="en-GB"/>
              </w:rPr>
              <w:t xml:space="preserve">Proposed Changes in the Commission's Rules Regarding Human Exposure to Radiofrequency Electromagnetic Fields </w:t>
            </w:r>
            <w:r w:rsidRPr="00C71B8F">
              <w:rPr>
                <w:rFonts w:ascii="Calibri" w:hAnsi="Calibri"/>
                <w:spacing w:val="-2"/>
                <w:sz w:val="19"/>
                <w:szCs w:val="19"/>
              </w:rPr>
              <w:t xml:space="preserve">ET Docket No. 03-137  </w:t>
            </w:r>
          </w:p>
        </w:tc>
      </w:tr>
      <w:tr w:rsidR="00061F17" w:rsidRPr="00E57763"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snapToGrid w:val="0"/>
                <w:sz w:val="19"/>
                <w:szCs w:val="19"/>
              </w:rPr>
              <w:t xml:space="preserve">Health Canada 1999 </w:t>
            </w:r>
            <w:hyperlink r:id="rId71" w:history="1">
              <w:r w:rsidRPr="00C71B8F">
                <w:rPr>
                  <w:rStyle w:val="Hyperlink"/>
                  <w:rFonts w:ascii="Calibri" w:hAnsi="Calibri"/>
                  <w:i/>
                  <w:iCs/>
                  <w:snapToGrid w:val="0"/>
                  <w:sz w:val="19"/>
                  <w:szCs w:val="19"/>
                </w:rPr>
                <w:t>Limits of Human Exposure to Radiofrequency Electromagnetic Fields in the Frequency Range from 3 kHz to 300 GHz</w:t>
              </w:r>
            </w:hyperlink>
            <w:r w:rsidRPr="00C71B8F">
              <w:rPr>
                <w:rFonts w:ascii="Calibri" w:hAnsi="Calibri"/>
                <w:snapToGrid w:val="0"/>
                <w:sz w:val="19"/>
                <w:szCs w:val="19"/>
              </w:rPr>
              <w:t>Safety Code 6</w:t>
            </w:r>
          </w:p>
        </w:tc>
      </w:tr>
      <w:tr w:rsidR="00061F17" w:rsidRPr="00E57763"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snapToGrid w:val="0"/>
                <w:sz w:val="19"/>
                <w:szCs w:val="19"/>
              </w:rPr>
              <w:t xml:space="preserve">IARC 2011 </w:t>
            </w:r>
            <w:hyperlink r:id="rId72" w:history="1">
              <w:r w:rsidRPr="00C71B8F">
                <w:rPr>
                  <w:rStyle w:val="Hyperlink"/>
                  <w:rFonts w:ascii="Calibri" w:hAnsi="Calibri"/>
                  <w:i/>
                  <w:iCs/>
                  <w:snapToGrid w:val="0"/>
                  <w:sz w:val="19"/>
                  <w:szCs w:val="19"/>
                </w:rPr>
                <w:t>IARC Classifies Radiofrequency Electromagnetic Fields as Possibly Carcinogenic to Humans</w:t>
              </w:r>
            </w:hyperlink>
            <w:r w:rsidRPr="00C71B8F">
              <w:rPr>
                <w:rFonts w:ascii="Calibri" w:hAnsi="Calibri"/>
                <w:snapToGrid w:val="0"/>
                <w:sz w:val="19"/>
                <w:szCs w:val="19"/>
              </w:rPr>
              <w:t>, viewed 22 August 2012</w:t>
            </w:r>
          </w:p>
        </w:tc>
      </w:tr>
      <w:tr w:rsidR="00061F17" w:rsidRPr="00E57763" w:rsidTr="00F22C89">
        <w:trPr>
          <w:cantSplit/>
          <w:trHeight w:val="20"/>
        </w:trPr>
        <w:tc>
          <w:tcPr>
            <w:tcW w:w="9072" w:type="dxa"/>
            <w:hideMark/>
          </w:tcPr>
          <w:p w:rsidR="00061F17" w:rsidRPr="00C71B8F" w:rsidRDefault="00E57763"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hyperlink r:id="rId73" w:history="1">
              <w:r w:rsidR="00061F17" w:rsidRPr="00C71B8F">
                <w:rPr>
                  <w:rStyle w:val="Hyperlink"/>
                  <w:rFonts w:ascii="Calibri" w:hAnsi="Calibri"/>
                  <w:snapToGrid w:val="0"/>
                  <w:sz w:val="19"/>
                  <w:szCs w:val="19"/>
                </w:rPr>
                <w:t>IARC  2013</w:t>
              </w:r>
            </w:hyperlink>
            <w:hyperlink r:id="rId74" w:history="1">
              <w:r w:rsidR="00061F17" w:rsidRPr="00C71B8F">
                <w:rPr>
                  <w:rStyle w:val="Hyperlink"/>
                  <w:rFonts w:ascii="Calibri" w:hAnsi="Calibri"/>
                  <w:i/>
                  <w:iCs/>
                  <w:snapToGrid w:val="0"/>
                  <w:sz w:val="19"/>
                  <w:szCs w:val="19"/>
                </w:rPr>
                <w:t>Monograph on radiofrequency electromagnetic fields</w:t>
              </w:r>
              <w:r w:rsidR="00061F17" w:rsidRPr="00C71B8F">
                <w:rPr>
                  <w:rStyle w:val="Hyperlink"/>
                  <w:rFonts w:ascii="Calibri" w:hAnsi="Calibri"/>
                  <w:i/>
                  <w:iCs/>
                  <w:sz w:val="19"/>
                  <w:szCs w:val="19"/>
                </w:rPr>
                <w:t xml:space="preserve"> Monographs</w:t>
              </w:r>
            </w:hyperlink>
            <w:r w:rsidR="00061F17" w:rsidRPr="00C71B8F">
              <w:rPr>
                <w:rFonts w:ascii="Calibri" w:hAnsi="Calibri"/>
                <w:sz w:val="19"/>
                <w:szCs w:val="19"/>
              </w:rPr>
              <w:t xml:space="preserve"> Vol. 102 </w:t>
            </w:r>
            <w:hyperlink r:id="rId75" w:history="1">
              <w:r w:rsidR="00061F17" w:rsidRPr="00C71B8F">
                <w:rPr>
                  <w:rStyle w:val="Hyperlink"/>
                  <w:rFonts w:ascii="Calibri" w:hAnsi="Calibri"/>
                  <w:i/>
                  <w:iCs/>
                  <w:sz w:val="19"/>
                  <w:szCs w:val="19"/>
                </w:rPr>
                <w:t>Non-Ionizing Radiation, Part 2: Radiofrequency Electromagnetic Fields</w:t>
              </w:r>
            </w:hyperlink>
            <w:r w:rsidR="00061F17" w:rsidRPr="00C71B8F">
              <w:rPr>
                <w:rFonts w:ascii="Calibri" w:hAnsi="Calibri"/>
                <w:sz w:val="19"/>
                <w:szCs w:val="19"/>
              </w:rPr>
              <w:t>‘</w:t>
            </w:r>
          </w:p>
        </w:tc>
      </w:tr>
      <w:tr w:rsidR="00061F17" w:rsidRPr="00E57763"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snapToGrid w:val="0"/>
                <w:sz w:val="19"/>
                <w:szCs w:val="19"/>
              </w:rPr>
              <w:t>ICNIRP 1998 ‘</w:t>
            </w:r>
            <w:hyperlink r:id="rId76" w:history="1">
              <w:r w:rsidRPr="00C71B8F">
                <w:rPr>
                  <w:rStyle w:val="Hyperlink"/>
                  <w:rFonts w:ascii="Calibri" w:hAnsi="Calibri"/>
                  <w:i/>
                  <w:iCs/>
                  <w:snapToGrid w:val="0"/>
                  <w:sz w:val="19"/>
                  <w:szCs w:val="19"/>
                </w:rPr>
                <w:t>Guidelines for Limiting Exposure to Time-Varying Electric, Magnetic, and Electromagnetic Fields (up to 300 GHz)</w:t>
              </w:r>
            </w:hyperlink>
            <w:r w:rsidRPr="00C71B8F">
              <w:rPr>
                <w:rFonts w:ascii="Calibri" w:hAnsi="Calibri"/>
                <w:snapToGrid w:val="0"/>
                <w:sz w:val="19"/>
                <w:szCs w:val="19"/>
              </w:rPr>
              <w:t xml:space="preserve">’, ICNIRP guidelines, </w:t>
            </w:r>
            <w:r w:rsidRPr="00C71B8F">
              <w:rPr>
                <w:rFonts w:ascii="Calibri" w:hAnsi="Calibri"/>
                <w:i/>
                <w:iCs/>
                <w:snapToGrid w:val="0"/>
                <w:sz w:val="19"/>
                <w:szCs w:val="19"/>
              </w:rPr>
              <w:t>Health Physics</w:t>
            </w:r>
            <w:r w:rsidRPr="00C71B8F">
              <w:rPr>
                <w:rFonts w:ascii="Calibri" w:hAnsi="Calibri"/>
                <w:snapToGrid w:val="0"/>
                <w:sz w:val="19"/>
                <w:szCs w:val="19"/>
              </w:rPr>
              <w:t>, vol.74, pp. 494</w:t>
            </w:r>
            <w:r w:rsidRPr="00C71B8F">
              <w:rPr>
                <w:rFonts w:ascii="Calibri" w:hAnsi="Calibri"/>
                <w:color w:val="000000"/>
                <w:sz w:val="19"/>
                <w:szCs w:val="19"/>
                <w:lang w:eastAsia="en-GB"/>
              </w:rPr>
              <w:t>-</w:t>
            </w:r>
            <w:r w:rsidRPr="00C71B8F">
              <w:rPr>
                <w:rFonts w:ascii="Calibri" w:hAnsi="Calibri"/>
                <w:snapToGrid w:val="0"/>
                <w:sz w:val="19"/>
                <w:szCs w:val="19"/>
              </w:rPr>
              <w:t>522</w:t>
            </w:r>
          </w:p>
        </w:tc>
      </w:tr>
      <w:tr w:rsidR="00061F17" w:rsidRPr="00E57763"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snapToGrid w:val="0"/>
                <w:sz w:val="19"/>
                <w:szCs w:val="19"/>
              </w:rPr>
              <w:t>ICNIRP 2009 “</w:t>
            </w:r>
            <w:hyperlink r:id="rId77" w:history="1">
              <w:r w:rsidRPr="00C71B8F">
                <w:rPr>
                  <w:rStyle w:val="Hyperlink"/>
                  <w:rFonts w:ascii="Calibri" w:hAnsi="Calibri"/>
                  <w:i/>
                  <w:iCs/>
                  <w:snapToGrid w:val="0"/>
                  <w:sz w:val="19"/>
                  <w:szCs w:val="19"/>
                </w:rPr>
                <w:t>Statement on the ‘guidelines for limiting exposure to time</w:t>
              </w:r>
              <w:r w:rsidRPr="00C71B8F">
                <w:rPr>
                  <w:rStyle w:val="Hyperlink"/>
                  <w:rFonts w:ascii="Calibri" w:hAnsi="Calibri" w:cs="Cambria Math"/>
                  <w:i/>
                  <w:iCs/>
                  <w:snapToGrid w:val="0"/>
                  <w:sz w:val="19"/>
                  <w:szCs w:val="19"/>
                </w:rPr>
                <w:t>‐</w:t>
              </w:r>
              <w:r w:rsidRPr="00C71B8F">
                <w:rPr>
                  <w:rStyle w:val="Hyperlink"/>
                  <w:rFonts w:ascii="Calibri" w:hAnsi="Calibri"/>
                  <w:i/>
                  <w:iCs/>
                  <w:snapToGrid w:val="0"/>
                  <w:sz w:val="19"/>
                  <w:szCs w:val="19"/>
                </w:rPr>
                <w:t>varying electric, magnetic, and electromagnetic fields (up to 300 GHz)</w:t>
              </w:r>
            </w:hyperlink>
            <w:r w:rsidRPr="00C71B8F">
              <w:rPr>
                <w:rFonts w:ascii="Calibri" w:hAnsi="Calibri"/>
                <w:snapToGrid w:val="0"/>
                <w:sz w:val="19"/>
                <w:szCs w:val="19"/>
              </w:rPr>
              <w:t xml:space="preserve">‘” ICNIRP statement, </w:t>
            </w:r>
            <w:r w:rsidRPr="00C71B8F">
              <w:rPr>
                <w:rFonts w:ascii="Calibri" w:hAnsi="Calibri"/>
                <w:i/>
                <w:iCs/>
                <w:snapToGrid w:val="0"/>
                <w:sz w:val="19"/>
                <w:szCs w:val="19"/>
              </w:rPr>
              <w:t>Health Physics</w:t>
            </w:r>
            <w:r w:rsidRPr="00C71B8F">
              <w:rPr>
                <w:rFonts w:ascii="Calibri" w:hAnsi="Calibri"/>
                <w:snapToGrid w:val="0"/>
                <w:sz w:val="19"/>
                <w:szCs w:val="19"/>
              </w:rPr>
              <w:t>, vol.97 (3), pp. 257</w:t>
            </w:r>
            <w:r w:rsidRPr="00C71B8F">
              <w:rPr>
                <w:rFonts w:ascii="Calibri" w:hAnsi="Calibri"/>
                <w:color w:val="000000"/>
                <w:sz w:val="19"/>
                <w:szCs w:val="19"/>
                <w:lang w:eastAsia="en-GB"/>
              </w:rPr>
              <w:t>-</w:t>
            </w:r>
            <w:r w:rsidRPr="00C71B8F">
              <w:rPr>
                <w:rFonts w:ascii="Calibri" w:hAnsi="Calibri"/>
                <w:snapToGrid w:val="0"/>
                <w:sz w:val="19"/>
                <w:szCs w:val="19"/>
              </w:rPr>
              <w:t>8</w:t>
            </w:r>
          </w:p>
        </w:tc>
      </w:tr>
      <w:tr w:rsidR="00061F17" w:rsidRPr="00E57763"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snapToGrid w:val="0"/>
                <w:sz w:val="19"/>
                <w:szCs w:val="19"/>
              </w:rPr>
              <w:t>ICNIRP 2009 a “</w:t>
            </w:r>
            <w:hyperlink r:id="rId78" w:history="1">
              <w:r w:rsidRPr="00C71B8F">
                <w:rPr>
                  <w:rStyle w:val="Hyperlink"/>
                  <w:rFonts w:ascii="Calibri" w:hAnsi="Calibri"/>
                  <w:i/>
                  <w:iCs/>
                  <w:sz w:val="19"/>
                  <w:szCs w:val="19"/>
                </w:rPr>
                <w:t>Exposure to high frequency electromagnetic fields, biological effects and health consequences (100 kHz-300 GHz)</w:t>
              </w:r>
            </w:hyperlink>
            <w:r w:rsidRPr="00C71B8F">
              <w:rPr>
                <w:rFonts w:ascii="Calibri" w:hAnsi="Calibri"/>
                <w:snapToGrid w:val="0"/>
                <w:sz w:val="19"/>
                <w:szCs w:val="19"/>
              </w:rPr>
              <w:t>” la Vecchia C, Matthes R, Ziegelberger G et al., editors</w:t>
            </w:r>
          </w:p>
        </w:tc>
      </w:tr>
      <w:tr w:rsidR="00061F17" w:rsidRPr="00E57763" w:rsidTr="00F22C89">
        <w:trPr>
          <w:cantSplit/>
          <w:trHeight w:val="20"/>
        </w:trPr>
        <w:tc>
          <w:tcPr>
            <w:tcW w:w="9072" w:type="dxa"/>
            <w:hideMark/>
          </w:tcPr>
          <w:p w:rsidR="00061F17" w:rsidRPr="00C71B8F" w:rsidRDefault="00061F17" w:rsidP="00C71B8F">
            <w:pPr>
              <w:pStyle w:val="RegParagraph"/>
              <w:numPr>
                <w:ilvl w:val="0"/>
                <w:numId w:val="10"/>
              </w:numPr>
              <w:tabs>
                <w:tab w:val="left" w:pos="794"/>
                <w:tab w:val="left" w:pos="1191"/>
                <w:tab w:val="left" w:pos="1588"/>
              </w:tabs>
              <w:suppressAutoHyphens/>
              <w:overflowPunct w:val="0"/>
              <w:autoSpaceDE w:val="0"/>
              <w:spacing w:before="40" w:after="40" w:line="240" w:lineRule="auto"/>
              <w:ind w:left="357" w:hanging="357"/>
              <w:jc w:val="left"/>
              <w:textAlignment w:val="baseline"/>
              <w:rPr>
                <w:rFonts w:ascii="Calibri" w:hAnsi="Calibri"/>
                <w:sz w:val="19"/>
                <w:szCs w:val="19"/>
                <w:lang w:eastAsia="zh-CN" w:bidi="ar-SA"/>
              </w:rPr>
            </w:pPr>
            <w:r w:rsidRPr="00C71B8F">
              <w:rPr>
                <w:rFonts w:ascii="Calibri" w:hAnsi="Calibri"/>
                <w:sz w:val="19"/>
                <w:szCs w:val="19"/>
                <w:lang w:eastAsia="zh-CN" w:bidi="ar-SA"/>
              </w:rPr>
              <w:t xml:space="preserve">IEC 62209-1 ed1.0 </w:t>
            </w:r>
            <w:r w:rsidRPr="00C71B8F">
              <w:rPr>
                <w:rFonts w:ascii="Calibri" w:hAnsi="Calibri"/>
                <w:sz w:val="19"/>
                <w:szCs w:val="19"/>
                <w:lang w:val="en-US" w:eastAsia="zh-CN" w:bidi="ar-SA"/>
              </w:rPr>
              <w:t>published on 18 Feb 2005 ‘</w:t>
            </w:r>
            <w:hyperlink r:id="rId79" w:history="1">
              <w:r w:rsidRPr="00C71B8F">
                <w:rPr>
                  <w:rStyle w:val="Hyperlink"/>
                  <w:rFonts w:ascii="Calibri" w:hAnsi="Calibri"/>
                  <w:i/>
                  <w:iCs/>
                  <w:sz w:val="19"/>
                  <w:szCs w:val="19"/>
                  <w:lang w:val="en-US" w:eastAsia="zh-CN" w:bidi="ar-SA"/>
                </w:rPr>
                <w:t>Human exposure to radio frequency fields from hand-held and body-mounted wireless communication devices - Human models, instrumentation, and procedures - Part 1: Procedure to determine the specific absorption rate (SAR) for hand-held devices used in close proximity to the ear (frequency range of 300 MHz to 3 GHz</w:t>
              </w:r>
            </w:hyperlink>
            <w:r w:rsidRPr="00C71B8F">
              <w:rPr>
                <w:rFonts w:ascii="Calibri" w:hAnsi="Calibri"/>
                <w:sz w:val="19"/>
                <w:szCs w:val="19"/>
                <w:lang w:val="en-US" w:eastAsia="zh-CN" w:bidi="ar-SA"/>
              </w:rPr>
              <w:t xml:space="preserve">‘ </w:t>
            </w:r>
          </w:p>
        </w:tc>
      </w:tr>
      <w:tr w:rsidR="00061F17" w:rsidRPr="00E57763" w:rsidTr="00F22C89">
        <w:trPr>
          <w:cantSplit/>
          <w:trHeight w:val="20"/>
        </w:trPr>
        <w:tc>
          <w:tcPr>
            <w:tcW w:w="9072" w:type="dxa"/>
            <w:hideMark/>
          </w:tcPr>
          <w:p w:rsidR="00061F17" w:rsidRPr="00C71B8F" w:rsidRDefault="00061F17" w:rsidP="00C71B8F">
            <w:pPr>
              <w:pStyle w:val="RegParagraph"/>
              <w:numPr>
                <w:ilvl w:val="0"/>
                <w:numId w:val="10"/>
              </w:numPr>
              <w:tabs>
                <w:tab w:val="left" w:pos="794"/>
                <w:tab w:val="left" w:pos="1191"/>
                <w:tab w:val="left" w:pos="1588"/>
              </w:tabs>
              <w:suppressAutoHyphens/>
              <w:overflowPunct w:val="0"/>
              <w:autoSpaceDE w:val="0"/>
              <w:spacing w:before="40" w:after="40" w:line="240" w:lineRule="auto"/>
              <w:ind w:left="357" w:hanging="357"/>
              <w:jc w:val="left"/>
              <w:textAlignment w:val="baseline"/>
              <w:rPr>
                <w:rFonts w:ascii="Calibri" w:hAnsi="Calibri"/>
                <w:sz w:val="19"/>
                <w:szCs w:val="19"/>
                <w:lang w:eastAsia="zh-CN" w:bidi="ar-SA"/>
              </w:rPr>
            </w:pPr>
            <w:r w:rsidRPr="00C71B8F">
              <w:rPr>
                <w:rFonts w:ascii="Calibri" w:hAnsi="Calibri"/>
                <w:sz w:val="19"/>
                <w:szCs w:val="19"/>
                <w:lang w:eastAsia="zh-CN" w:bidi="ar-SA"/>
              </w:rPr>
              <w:t xml:space="preserve">IEC 62232 ed. 1.0, </w:t>
            </w:r>
            <w:r w:rsidRPr="00C71B8F">
              <w:rPr>
                <w:rFonts w:ascii="Calibri" w:hAnsi="Calibri"/>
                <w:sz w:val="19"/>
                <w:szCs w:val="19"/>
                <w:lang w:val="en-US" w:eastAsia="zh-CN" w:bidi="ar-SA"/>
              </w:rPr>
              <w:t xml:space="preserve">published on 19 May 2011 </w:t>
            </w:r>
            <w:hyperlink r:id="rId80" w:history="1">
              <w:r w:rsidRPr="00C71B8F">
                <w:rPr>
                  <w:rStyle w:val="Hyperlink"/>
                  <w:rFonts w:ascii="Calibri" w:hAnsi="Calibri"/>
                  <w:i/>
                  <w:sz w:val="19"/>
                  <w:szCs w:val="19"/>
                  <w:lang w:eastAsia="zh-CN" w:bidi="ar-SA"/>
                </w:rPr>
                <w:t>Determination of RF field strength and SAR in the vicinity of radiocommunication base stations for the purpose of evaluating human exposure</w:t>
              </w:r>
            </w:hyperlink>
          </w:p>
        </w:tc>
      </w:tr>
      <w:tr w:rsidR="00061F17" w:rsidRPr="00E57763" w:rsidTr="00F22C89">
        <w:trPr>
          <w:cantSplit/>
          <w:trHeight w:val="20"/>
        </w:trPr>
        <w:tc>
          <w:tcPr>
            <w:tcW w:w="9072" w:type="dxa"/>
            <w:hideMark/>
          </w:tcPr>
          <w:p w:rsidR="00061F17" w:rsidRPr="00C71B8F" w:rsidRDefault="00061F17" w:rsidP="00C71B8F">
            <w:pPr>
              <w:pStyle w:val="RegParagraph"/>
              <w:numPr>
                <w:ilvl w:val="0"/>
                <w:numId w:val="10"/>
              </w:numPr>
              <w:tabs>
                <w:tab w:val="left" w:pos="794"/>
                <w:tab w:val="left" w:pos="1191"/>
                <w:tab w:val="left" w:pos="1588"/>
              </w:tabs>
              <w:suppressAutoHyphens/>
              <w:overflowPunct w:val="0"/>
              <w:autoSpaceDE w:val="0"/>
              <w:spacing w:before="40" w:after="40" w:line="240" w:lineRule="auto"/>
              <w:ind w:left="357" w:hanging="357"/>
              <w:jc w:val="left"/>
              <w:textAlignment w:val="baseline"/>
              <w:rPr>
                <w:rFonts w:ascii="Calibri" w:hAnsi="Calibri"/>
                <w:sz w:val="19"/>
                <w:szCs w:val="19"/>
                <w:lang w:eastAsia="zh-CN" w:bidi="ar-SA"/>
              </w:rPr>
            </w:pPr>
            <w:r w:rsidRPr="00C71B8F">
              <w:rPr>
                <w:rFonts w:ascii="Calibri" w:hAnsi="Calibri"/>
                <w:sz w:val="19"/>
                <w:szCs w:val="19"/>
                <w:lang w:eastAsia="zh-CN" w:bidi="ar-SA"/>
              </w:rPr>
              <w:t xml:space="preserve">IEEE Std C95.1-1999 (and ANSI 1992) </w:t>
            </w:r>
            <w:hyperlink r:id="rId81" w:history="1">
              <w:r w:rsidRPr="00C71B8F">
                <w:rPr>
                  <w:rStyle w:val="Hyperlink"/>
                  <w:rFonts w:ascii="Calibri" w:hAnsi="Calibri"/>
                  <w:i/>
                  <w:iCs/>
                  <w:sz w:val="19"/>
                  <w:szCs w:val="19"/>
                  <w:lang w:eastAsia="zh-CN" w:bidi="ar-SA"/>
                </w:rPr>
                <w:t>IEEEStandard C95.1 for Safety Levels with Respect to Human Exposure to Radio Frequency Electromagnetic Fields, 3 kHz to 300 GHz</w:t>
              </w:r>
            </w:hyperlink>
          </w:p>
        </w:tc>
      </w:tr>
      <w:tr w:rsidR="00061F17" w:rsidRPr="00E57763" w:rsidTr="00F22C89">
        <w:trPr>
          <w:cantSplit/>
          <w:trHeight w:val="20"/>
        </w:trPr>
        <w:tc>
          <w:tcPr>
            <w:tcW w:w="9072" w:type="dxa"/>
            <w:hideMark/>
          </w:tcPr>
          <w:p w:rsidR="00061F17" w:rsidRPr="00C71B8F" w:rsidRDefault="00061F17" w:rsidP="00C71B8F">
            <w:pPr>
              <w:pStyle w:val="RegParagraph"/>
              <w:numPr>
                <w:ilvl w:val="0"/>
                <w:numId w:val="10"/>
              </w:numPr>
              <w:tabs>
                <w:tab w:val="left" w:pos="794"/>
                <w:tab w:val="left" w:pos="1191"/>
                <w:tab w:val="left" w:pos="1588"/>
              </w:tabs>
              <w:suppressAutoHyphens/>
              <w:overflowPunct w:val="0"/>
              <w:autoSpaceDE w:val="0"/>
              <w:spacing w:before="40" w:after="40" w:line="240" w:lineRule="auto"/>
              <w:ind w:left="357" w:hanging="357"/>
              <w:jc w:val="left"/>
              <w:textAlignment w:val="baseline"/>
              <w:rPr>
                <w:rFonts w:ascii="Calibri" w:hAnsi="Calibri"/>
                <w:sz w:val="19"/>
                <w:szCs w:val="19"/>
                <w:lang w:eastAsia="zh-CN" w:bidi="ar-SA"/>
              </w:rPr>
            </w:pPr>
            <w:r w:rsidRPr="00C71B8F">
              <w:rPr>
                <w:rFonts w:ascii="Calibri" w:hAnsi="Calibri"/>
                <w:sz w:val="19"/>
                <w:szCs w:val="19"/>
                <w:lang w:eastAsia="zh-CN" w:bidi="ar-SA"/>
              </w:rPr>
              <w:t>IEEE Std1528-2003</w:t>
            </w:r>
            <w:hyperlink r:id="rId82" w:history="1">
              <w:r w:rsidRPr="00C71B8F">
                <w:rPr>
                  <w:rStyle w:val="Hyperlink"/>
                  <w:rFonts w:ascii="Calibri" w:hAnsi="Calibri"/>
                  <w:i/>
                  <w:iCs/>
                  <w:sz w:val="19"/>
                  <w:szCs w:val="19"/>
                  <w:lang w:eastAsia="zh-CN" w:bidi="ar-SA"/>
                </w:rPr>
                <w:t>IEEE Recommended Practice for Determining the Peak Spatial-Average Specific Absorption Rate (SAR) in the Human Head from Wireless Communications Devices: Measurement Techniques</w:t>
              </w:r>
            </w:hyperlink>
          </w:p>
        </w:tc>
      </w:tr>
      <w:tr w:rsidR="00061F17" w:rsidRPr="00E57763" w:rsidTr="00F22C89">
        <w:trPr>
          <w:cantSplit/>
          <w:trHeight w:val="20"/>
        </w:trPr>
        <w:tc>
          <w:tcPr>
            <w:tcW w:w="9072" w:type="dxa"/>
            <w:hideMark/>
          </w:tcPr>
          <w:p w:rsidR="00061F17" w:rsidRPr="00C71B8F" w:rsidRDefault="00061F17" w:rsidP="00C71B8F">
            <w:pPr>
              <w:pStyle w:val="RegParagraph"/>
              <w:numPr>
                <w:ilvl w:val="0"/>
                <w:numId w:val="10"/>
              </w:numPr>
              <w:tabs>
                <w:tab w:val="left" w:pos="794"/>
                <w:tab w:val="left" w:pos="1191"/>
                <w:tab w:val="left" w:pos="1588"/>
              </w:tabs>
              <w:suppressAutoHyphens/>
              <w:overflowPunct w:val="0"/>
              <w:autoSpaceDE w:val="0"/>
              <w:spacing w:before="40" w:after="40" w:line="240" w:lineRule="auto"/>
              <w:ind w:left="357" w:hanging="357"/>
              <w:jc w:val="left"/>
              <w:textAlignment w:val="baseline"/>
              <w:rPr>
                <w:rFonts w:ascii="Calibri" w:hAnsi="Calibri"/>
                <w:sz w:val="19"/>
                <w:szCs w:val="19"/>
                <w:lang w:eastAsia="zh-CN" w:bidi="ar-SA"/>
              </w:rPr>
            </w:pPr>
            <w:r w:rsidRPr="00C71B8F">
              <w:rPr>
                <w:rFonts w:ascii="Calibri" w:hAnsi="Calibri"/>
                <w:sz w:val="19"/>
                <w:szCs w:val="19"/>
                <w:lang w:eastAsia="zh-CN" w:bidi="ar-SA"/>
              </w:rPr>
              <w:t xml:space="preserve">IEEE Std C95.1-2005 </w:t>
            </w:r>
            <w:hyperlink r:id="rId83" w:history="1">
              <w:r w:rsidRPr="00C71B8F">
                <w:rPr>
                  <w:rStyle w:val="Hyperlink"/>
                  <w:rFonts w:ascii="Calibri" w:hAnsi="Calibri"/>
                  <w:i/>
                  <w:iCs/>
                  <w:sz w:val="19"/>
                  <w:szCs w:val="19"/>
                  <w:lang w:eastAsia="zh-CN" w:bidi="ar-SA"/>
                </w:rPr>
                <w:t>IEEE Standard forSafety Levels with Respect to Human Exposure to Radio Frequency Electromagnetic Fields, 3 kHz to 300 GHz</w:t>
              </w:r>
            </w:hyperlink>
          </w:p>
        </w:tc>
      </w:tr>
      <w:tr w:rsidR="00061F17" w:rsidRPr="00E57763"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color w:val="000000"/>
                <w:sz w:val="19"/>
                <w:szCs w:val="19"/>
                <w:lang w:eastAsia="en-GB"/>
              </w:rPr>
            </w:pPr>
            <w:r w:rsidRPr="00C71B8F">
              <w:rPr>
                <w:rFonts w:ascii="Calibri" w:hAnsi="Calibri"/>
                <w:color w:val="000000"/>
                <w:sz w:val="19"/>
                <w:szCs w:val="19"/>
                <w:lang w:eastAsia="en-GB"/>
              </w:rPr>
              <w:t xml:space="preserve">ITU 2011 Handbook </w:t>
            </w:r>
            <w:hyperlink r:id="rId84" w:history="1">
              <w:r w:rsidRPr="00C71B8F">
                <w:rPr>
                  <w:rStyle w:val="Hyperlink"/>
                  <w:rFonts w:ascii="Calibri" w:hAnsi="Calibri"/>
                  <w:i/>
                  <w:iCs/>
                  <w:sz w:val="19"/>
                  <w:szCs w:val="19"/>
                </w:rPr>
                <w:t>Spectrum Monitoring, Edition of 2011</w:t>
              </w:r>
            </w:hyperlink>
            <w:r w:rsidRPr="00C71B8F">
              <w:rPr>
                <w:rFonts w:ascii="Calibri" w:hAnsi="Calibri"/>
                <w:i/>
                <w:color w:val="000000"/>
                <w:sz w:val="19"/>
                <w:szCs w:val="19"/>
                <w:lang w:eastAsia="en-GB"/>
              </w:rPr>
              <w:t xml:space="preserve">, </w:t>
            </w:r>
            <w:r w:rsidRPr="00C71B8F">
              <w:rPr>
                <w:rFonts w:ascii="Calibri" w:hAnsi="Calibri"/>
                <w:sz w:val="19"/>
                <w:szCs w:val="19"/>
              </w:rPr>
              <w:t>Chapter 5 - Specific monitoring systems and procedures</w:t>
            </w:r>
          </w:p>
        </w:tc>
      </w:tr>
      <w:tr w:rsidR="00061F17" w:rsidRPr="00E57763"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color w:val="000000"/>
                <w:sz w:val="19"/>
                <w:szCs w:val="19"/>
                <w:lang w:eastAsia="en-GB"/>
              </w:rPr>
              <w:t xml:space="preserve">ITU-R Recommendation BS.1698 </w:t>
            </w:r>
            <w:hyperlink r:id="rId85" w:history="1">
              <w:r w:rsidRPr="00C71B8F">
                <w:rPr>
                  <w:rStyle w:val="Hyperlink"/>
                  <w:rFonts w:ascii="Calibri" w:hAnsi="Calibri"/>
                  <w:i/>
                  <w:sz w:val="19"/>
                  <w:szCs w:val="19"/>
                  <w:lang w:eastAsia="en-GB"/>
                </w:rPr>
                <w:t>Evaluating Fields from Terrestrial Broadcasting Transmitting Systems Operating in any Frequency Band for Assessing Exposure to Non</w:t>
              </w:r>
              <w:r w:rsidRPr="00C71B8F">
                <w:rPr>
                  <w:rStyle w:val="Hyperlink"/>
                  <w:rFonts w:ascii="Calibri" w:hAnsi="Calibri"/>
                  <w:i/>
                  <w:sz w:val="19"/>
                  <w:szCs w:val="19"/>
                  <w:lang w:eastAsia="en-GB"/>
                </w:rPr>
                <w:noBreakHyphen/>
                <w:t>Ionizing Radiation</w:t>
              </w:r>
            </w:hyperlink>
            <w:r w:rsidRPr="00C71B8F">
              <w:rPr>
                <w:rFonts w:ascii="Calibri" w:hAnsi="Calibri"/>
                <w:i/>
                <w:color w:val="000000"/>
                <w:sz w:val="19"/>
                <w:szCs w:val="19"/>
                <w:lang w:eastAsia="en-GB"/>
              </w:rPr>
              <w:t xml:space="preserve">, </w:t>
            </w:r>
          </w:p>
        </w:tc>
      </w:tr>
      <w:tr w:rsidR="00061F17" w:rsidRPr="00E57763" w:rsidTr="00F22C89">
        <w:trPr>
          <w:cantSplit/>
          <w:trHeight w:val="20"/>
        </w:trPr>
        <w:tc>
          <w:tcPr>
            <w:tcW w:w="9072" w:type="dxa"/>
          </w:tcPr>
          <w:p w:rsidR="00061F17" w:rsidRPr="00C71B8F" w:rsidRDefault="00061F17" w:rsidP="00C71B8F">
            <w:pPr>
              <w:pStyle w:val="RegParagraph"/>
              <w:numPr>
                <w:ilvl w:val="0"/>
                <w:numId w:val="10"/>
              </w:numPr>
              <w:spacing w:before="40" w:after="40" w:line="240" w:lineRule="auto"/>
              <w:jc w:val="left"/>
              <w:rPr>
                <w:rFonts w:ascii="Calibri" w:hAnsi="Calibri"/>
                <w:sz w:val="19"/>
                <w:szCs w:val="19"/>
                <w:lang w:eastAsia="zh-CN" w:bidi="ar-SA"/>
              </w:rPr>
            </w:pPr>
            <w:r w:rsidRPr="00C71B8F">
              <w:rPr>
                <w:rFonts w:ascii="Calibri" w:hAnsi="Calibri"/>
                <w:sz w:val="19"/>
                <w:szCs w:val="19"/>
                <w:lang w:eastAsia="zh-CN" w:bidi="ar-SA"/>
              </w:rPr>
              <w:lastRenderedPageBreak/>
              <w:t xml:space="preserve">ITU Hand book on </w:t>
            </w:r>
            <w:hyperlink r:id="rId86" w:history="1">
              <w:r w:rsidRPr="00C71B8F">
                <w:rPr>
                  <w:rStyle w:val="Hyperlink"/>
                  <w:rFonts w:ascii="Calibri" w:hAnsi="Calibri"/>
                  <w:sz w:val="19"/>
                  <w:szCs w:val="19"/>
                  <w:lang w:eastAsia="zh-CN" w:bidi="ar-SA"/>
                </w:rPr>
                <w:t>Spectrum Monitoring</w:t>
              </w:r>
            </w:hyperlink>
            <w:r w:rsidRPr="00C71B8F">
              <w:rPr>
                <w:rFonts w:ascii="Calibri" w:hAnsi="Calibri"/>
                <w:sz w:val="19"/>
                <w:szCs w:val="19"/>
                <w:lang w:eastAsia="zh-CN" w:bidi="ar-SA"/>
              </w:rPr>
              <w:t xml:space="preserve">, Edition 2011; </w:t>
            </w:r>
            <w:r w:rsidRPr="00C71B8F">
              <w:rPr>
                <w:rFonts w:ascii="Calibri" w:hAnsi="Calibri"/>
                <w:sz w:val="19"/>
                <w:szCs w:val="19"/>
              </w:rPr>
              <w:t>Chapter 5.6</w:t>
            </w:r>
          </w:p>
        </w:tc>
      </w:tr>
      <w:tr w:rsidR="00061F17" w:rsidRPr="00E57763" w:rsidTr="00F22C89">
        <w:trPr>
          <w:cantSplit/>
          <w:trHeight w:val="20"/>
        </w:trPr>
        <w:tc>
          <w:tcPr>
            <w:tcW w:w="9072" w:type="dxa"/>
            <w:hideMark/>
          </w:tcPr>
          <w:p w:rsidR="00061F17" w:rsidRPr="00C71B8F" w:rsidRDefault="00061F17" w:rsidP="00C71B8F">
            <w:pPr>
              <w:pStyle w:val="Equation"/>
              <w:numPr>
                <w:ilvl w:val="0"/>
                <w:numId w:val="10"/>
              </w:numPr>
              <w:tabs>
                <w:tab w:val="clear" w:pos="794"/>
                <w:tab w:val="left" w:pos="1191"/>
                <w:tab w:val="left" w:pos="1588"/>
                <w:tab w:val="left" w:pos="1985"/>
              </w:tabs>
              <w:suppressAutoHyphens/>
              <w:spacing w:before="40" w:after="40"/>
              <w:ind w:left="357" w:hanging="357"/>
              <w:jc w:val="left"/>
              <w:textAlignment w:val="baseline"/>
              <w:rPr>
                <w:rFonts w:ascii="Calibri" w:hAnsi="Calibri" w:cstheme="majorBidi"/>
                <w:i/>
                <w:iCs/>
                <w:sz w:val="19"/>
                <w:szCs w:val="19"/>
                <w:lang w:val="en-US" w:eastAsia="zh-CN"/>
              </w:rPr>
            </w:pPr>
            <w:r w:rsidRPr="00C71B8F">
              <w:rPr>
                <w:rFonts w:ascii="Calibri" w:hAnsi="Calibri" w:cstheme="majorBidi"/>
                <w:sz w:val="19"/>
                <w:szCs w:val="19"/>
                <w:lang w:val="en-US" w:eastAsia="zh-CN"/>
              </w:rPr>
              <w:t xml:space="preserve">ITU-T </w:t>
            </w:r>
            <w:hyperlink r:id="rId87" w:tooltip="Main page of the respective Study Group" w:history="1">
              <w:r w:rsidRPr="00C71B8F">
                <w:rPr>
                  <w:rStyle w:val="Hyperlink"/>
                  <w:rFonts w:ascii="Calibri" w:hAnsi="Calibri" w:cstheme="majorBidi"/>
                  <w:sz w:val="19"/>
                  <w:szCs w:val="19"/>
                  <w:lang w:val="en-US" w:eastAsia="zh-CN"/>
                </w:rPr>
                <w:t>Study Group 5</w:t>
              </w:r>
            </w:hyperlink>
            <w:r w:rsidRPr="00C71B8F">
              <w:rPr>
                <w:rFonts w:ascii="Calibri" w:hAnsi="Calibri" w:cstheme="majorBidi"/>
                <w:sz w:val="19"/>
                <w:szCs w:val="19"/>
                <w:lang w:val="en-US" w:eastAsia="zh-CN"/>
              </w:rPr>
              <w:t xml:space="preserve">Recommendation K.52  </w:t>
            </w:r>
            <w:hyperlink r:id="rId88" w:history="1">
              <w:r w:rsidRPr="00C71B8F">
                <w:rPr>
                  <w:rStyle w:val="Hyperlink"/>
                  <w:rFonts w:ascii="Calibri" w:hAnsi="Calibri" w:cstheme="majorBidi"/>
                  <w:i/>
                  <w:iCs/>
                  <w:sz w:val="19"/>
                  <w:szCs w:val="19"/>
                  <w:lang w:val="en-US" w:eastAsia="zh-CN"/>
                </w:rPr>
                <w:t>Guidance on complying with limits for human exposure to electromagnetic fields</w:t>
              </w:r>
            </w:hyperlink>
          </w:p>
        </w:tc>
      </w:tr>
      <w:tr w:rsidR="00061F17" w:rsidRPr="00E57763" w:rsidTr="00F22C89">
        <w:trPr>
          <w:cantSplit/>
          <w:trHeight w:val="20"/>
        </w:trPr>
        <w:tc>
          <w:tcPr>
            <w:tcW w:w="9072" w:type="dxa"/>
            <w:hideMark/>
          </w:tcPr>
          <w:p w:rsidR="00061F17" w:rsidRPr="00C71B8F" w:rsidRDefault="00061F17" w:rsidP="00C71B8F">
            <w:pPr>
              <w:pStyle w:val="Equation"/>
              <w:numPr>
                <w:ilvl w:val="0"/>
                <w:numId w:val="10"/>
              </w:numPr>
              <w:tabs>
                <w:tab w:val="clear" w:pos="794"/>
                <w:tab w:val="left" w:pos="1191"/>
                <w:tab w:val="left" w:pos="1588"/>
                <w:tab w:val="left" w:pos="1985"/>
              </w:tabs>
              <w:suppressAutoHyphens/>
              <w:spacing w:before="40" w:after="40"/>
              <w:ind w:left="357" w:hanging="357"/>
              <w:jc w:val="left"/>
              <w:textAlignment w:val="baseline"/>
              <w:rPr>
                <w:rFonts w:ascii="Calibri" w:hAnsi="Calibri"/>
                <w:i/>
                <w:iCs/>
                <w:sz w:val="19"/>
                <w:szCs w:val="19"/>
                <w:lang w:val="en-GB" w:eastAsia="zh-CN"/>
              </w:rPr>
            </w:pPr>
            <w:r w:rsidRPr="00C71B8F">
              <w:rPr>
                <w:rFonts w:ascii="Calibri" w:hAnsi="Calibri"/>
                <w:sz w:val="19"/>
                <w:szCs w:val="19"/>
                <w:lang w:val="en-GB" w:eastAsia="zh-CN"/>
              </w:rPr>
              <w:t xml:space="preserve">ITU-T K.61 </w:t>
            </w:r>
            <w:hyperlink r:id="rId89" w:history="1">
              <w:r w:rsidRPr="00C71B8F">
                <w:rPr>
                  <w:rStyle w:val="Hyperlink"/>
                  <w:rFonts w:ascii="Calibri" w:hAnsi="Calibri"/>
                  <w:i/>
                  <w:iCs/>
                  <w:sz w:val="19"/>
                  <w:szCs w:val="19"/>
                  <w:lang w:val="en-US" w:eastAsia="zh-CN"/>
                </w:rPr>
                <w:t>Guidance on measurement and numerical prediction of electromagnetic fields for compliance with human exposure limits for telecommunication installations</w:t>
              </w:r>
            </w:hyperlink>
          </w:p>
        </w:tc>
      </w:tr>
      <w:tr w:rsidR="00061F17" w:rsidRPr="00E57763" w:rsidTr="00F22C89">
        <w:trPr>
          <w:cantSplit/>
          <w:trHeight w:val="20"/>
        </w:trPr>
        <w:tc>
          <w:tcPr>
            <w:tcW w:w="9072" w:type="dxa"/>
            <w:hideMark/>
          </w:tcPr>
          <w:p w:rsidR="00061F17" w:rsidRPr="00C71B8F" w:rsidRDefault="00061F17" w:rsidP="00C71B8F">
            <w:pPr>
              <w:pStyle w:val="Equation"/>
              <w:numPr>
                <w:ilvl w:val="0"/>
                <w:numId w:val="10"/>
              </w:numPr>
              <w:tabs>
                <w:tab w:val="clear" w:pos="794"/>
                <w:tab w:val="left" w:pos="1191"/>
                <w:tab w:val="left" w:pos="1588"/>
                <w:tab w:val="left" w:pos="1985"/>
              </w:tabs>
              <w:suppressAutoHyphens/>
              <w:spacing w:before="40" w:after="40"/>
              <w:ind w:left="357" w:hanging="357"/>
              <w:jc w:val="left"/>
              <w:textAlignment w:val="baseline"/>
              <w:rPr>
                <w:rFonts w:ascii="Calibri" w:hAnsi="Calibri"/>
                <w:sz w:val="19"/>
                <w:szCs w:val="19"/>
                <w:lang w:val="en-US" w:eastAsia="zh-CN"/>
              </w:rPr>
            </w:pPr>
            <w:r w:rsidRPr="00C71B8F">
              <w:rPr>
                <w:rFonts w:ascii="Calibri" w:hAnsi="Calibri"/>
                <w:sz w:val="19"/>
                <w:szCs w:val="19"/>
                <w:lang w:val="en-GB" w:eastAsia="zh-CN"/>
              </w:rPr>
              <w:t xml:space="preserve">ITU-T K.70 </w:t>
            </w:r>
            <w:hyperlink r:id="rId90" w:history="1">
              <w:r w:rsidRPr="00C71B8F">
                <w:rPr>
                  <w:rStyle w:val="Hyperlink"/>
                  <w:rFonts w:ascii="Calibri" w:hAnsi="Calibri"/>
                  <w:i/>
                  <w:iCs/>
                  <w:sz w:val="19"/>
                  <w:szCs w:val="19"/>
                  <w:lang w:val="en-US" w:eastAsia="zh-CN"/>
                </w:rPr>
                <w:t>Mitigation techniques to limit human exposure to EMFs in the vicinity of radiocommunication stations</w:t>
              </w:r>
            </w:hyperlink>
          </w:p>
        </w:tc>
      </w:tr>
      <w:tr w:rsidR="00061F17" w:rsidRPr="00E57763" w:rsidTr="00F22C89">
        <w:trPr>
          <w:cantSplit/>
          <w:trHeight w:val="20"/>
        </w:trPr>
        <w:tc>
          <w:tcPr>
            <w:tcW w:w="9072" w:type="dxa"/>
            <w:hideMark/>
          </w:tcPr>
          <w:p w:rsidR="00061F17" w:rsidRPr="00C71B8F" w:rsidRDefault="00061F17" w:rsidP="00C71B8F">
            <w:pPr>
              <w:pStyle w:val="Equation"/>
              <w:numPr>
                <w:ilvl w:val="0"/>
                <w:numId w:val="10"/>
              </w:numPr>
              <w:tabs>
                <w:tab w:val="clear" w:pos="794"/>
                <w:tab w:val="left" w:pos="1191"/>
                <w:tab w:val="left" w:pos="1588"/>
                <w:tab w:val="left" w:pos="1985"/>
              </w:tabs>
              <w:suppressAutoHyphens/>
              <w:spacing w:before="40" w:after="40"/>
              <w:ind w:left="357" w:hanging="357"/>
              <w:jc w:val="left"/>
              <w:textAlignment w:val="baseline"/>
              <w:rPr>
                <w:rFonts w:ascii="Calibri" w:hAnsi="Calibri" w:cstheme="majorBidi"/>
                <w:sz w:val="19"/>
                <w:szCs w:val="19"/>
                <w:lang w:val="en-US" w:eastAsia="zh-CN"/>
              </w:rPr>
            </w:pPr>
            <w:r w:rsidRPr="00C71B8F">
              <w:rPr>
                <w:rFonts w:ascii="Calibri" w:hAnsi="Calibri" w:cstheme="majorBidi"/>
                <w:sz w:val="19"/>
                <w:szCs w:val="19"/>
                <w:lang w:val="en-GB" w:eastAsia="zh-CN"/>
              </w:rPr>
              <w:t xml:space="preserve">ITU-T </w:t>
            </w:r>
            <w:hyperlink r:id="rId91" w:history="1">
              <w:r w:rsidRPr="00C71B8F">
                <w:rPr>
                  <w:rStyle w:val="Hyperlink"/>
                  <w:rFonts w:ascii="Calibri" w:eastAsia="MS Mincho" w:hAnsi="Calibri" w:cstheme="majorBidi"/>
                  <w:i/>
                  <w:iCs/>
                  <w:noProof/>
                  <w:sz w:val="19"/>
                  <w:szCs w:val="19"/>
                  <w:lang w:val="en-US" w:eastAsia="zh-CN"/>
                </w:rPr>
                <w:t>Software EMF-estimator</w:t>
              </w:r>
            </w:hyperlink>
            <w:hyperlink r:id="rId92" w:history="1">
              <w:r w:rsidRPr="00C71B8F">
                <w:rPr>
                  <w:rStyle w:val="Hyperlink"/>
                  <w:rFonts w:ascii="Calibri" w:hAnsi="Calibri" w:cstheme="majorBidi"/>
                  <w:sz w:val="19"/>
                  <w:szCs w:val="19"/>
                  <w:lang w:val="en-US" w:eastAsia="zh-CN"/>
                </w:rPr>
                <w:t>K.70 (2007)</w:t>
              </w:r>
            </w:hyperlink>
            <w:hyperlink r:id="rId93" w:history="1">
              <w:r w:rsidRPr="00C71B8F">
                <w:rPr>
                  <w:rStyle w:val="Hyperlink"/>
                  <w:rFonts w:ascii="Calibri" w:hAnsi="Calibri" w:cstheme="majorBidi"/>
                  <w:sz w:val="19"/>
                  <w:szCs w:val="19"/>
                  <w:lang w:val="en-US" w:eastAsia="zh-CN"/>
                </w:rPr>
                <w:t>Amd.2 (05/2011)</w:t>
              </w:r>
            </w:hyperlink>
            <w:r w:rsidRPr="00C71B8F">
              <w:rPr>
                <w:rFonts w:ascii="Calibri" w:hAnsi="Calibri" w:cstheme="majorBidi"/>
                <w:color w:val="000000"/>
                <w:sz w:val="19"/>
                <w:szCs w:val="19"/>
                <w:lang w:val="en-GB" w:eastAsia="zh-CN"/>
              </w:rPr>
              <w:t xml:space="preserve"> and </w:t>
            </w:r>
            <w:hyperlink r:id="rId94" w:history="1">
              <w:r w:rsidRPr="00C71B8F">
                <w:rPr>
                  <w:rStyle w:val="Hyperlink"/>
                  <w:rFonts w:ascii="Calibri" w:hAnsi="Calibri" w:cstheme="majorBidi"/>
                  <w:i/>
                  <w:iCs/>
                  <w:sz w:val="19"/>
                  <w:szCs w:val="19"/>
                  <w:lang w:val="en-US" w:eastAsia="zh-CN"/>
                </w:rPr>
                <w:t>Amd.3 (02/2013)</w:t>
              </w:r>
            </w:hyperlink>
            <w:r w:rsidRPr="00C71B8F">
              <w:rPr>
                <w:rFonts w:ascii="Calibri" w:hAnsi="Calibri" w:cstheme="majorBidi"/>
                <w:sz w:val="19"/>
                <w:szCs w:val="19"/>
                <w:lang w:val="en-US" w:eastAsia="zh-CN"/>
              </w:rPr>
              <w:t xml:space="preserve"> by Lewicki F.</w:t>
            </w:r>
          </w:p>
        </w:tc>
      </w:tr>
      <w:tr w:rsidR="00061F17" w:rsidRPr="00E57763" w:rsidTr="00F22C89">
        <w:trPr>
          <w:cantSplit/>
          <w:trHeight w:val="20"/>
        </w:trPr>
        <w:tc>
          <w:tcPr>
            <w:tcW w:w="9072" w:type="dxa"/>
            <w:hideMark/>
          </w:tcPr>
          <w:p w:rsidR="00061F17" w:rsidRPr="00C71B8F" w:rsidRDefault="00061F17" w:rsidP="00C71B8F">
            <w:pPr>
              <w:pStyle w:val="Equation"/>
              <w:numPr>
                <w:ilvl w:val="0"/>
                <w:numId w:val="10"/>
              </w:numPr>
              <w:tabs>
                <w:tab w:val="clear" w:pos="794"/>
                <w:tab w:val="left" w:pos="1191"/>
                <w:tab w:val="left" w:pos="1588"/>
                <w:tab w:val="left" w:pos="1985"/>
              </w:tabs>
              <w:suppressAutoHyphens/>
              <w:spacing w:before="40" w:after="40"/>
              <w:ind w:left="357" w:hanging="357"/>
              <w:jc w:val="left"/>
              <w:textAlignment w:val="baseline"/>
              <w:rPr>
                <w:rFonts w:ascii="Calibri" w:hAnsi="Calibri"/>
                <w:sz w:val="19"/>
                <w:szCs w:val="19"/>
                <w:lang w:val="en-GB" w:eastAsia="zh-CN"/>
              </w:rPr>
            </w:pPr>
            <w:r w:rsidRPr="00C71B8F">
              <w:rPr>
                <w:rFonts w:ascii="Calibri" w:hAnsi="Calibri"/>
                <w:sz w:val="19"/>
                <w:szCs w:val="19"/>
                <w:lang w:val="en-GB" w:eastAsia="zh-CN"/>
              </w:rPr>
              <w:t xml:space="preserve">ITU-T K.91 </w:t>
            </w:r>
            <w:hyperlink r:id="rId95" w:history="1">
              <w:r w:rsidRPr="00C71B8F">
                <w:rPr>
                  <w:rStyle w:val="Hyperlink"/>
                  <w:rFonts w:ascii="Calibri" w:hAnsi="Calibri"/>
                  <w:i/>
                  <w:iCs/>
                  <w:sz w:val="19"/>
                  <w:szCs w:val="19"/>
                  <w:lang w:val="en-US" w:eastAsia="zh-CN"/>
                </w:rPr>
                <w:t>Guidance for assessment, evaluation and monitoring of human exposure to radio frequency electromagnetic fields</w:t>
              </w:r>
            </w:hyperlink>
          </w:p>
        </w:tc>
      </w:tr>
      <w:tr w:rsidR="00061F17" w:rsidRPr="00E57763" w:rsidTr="00F22C89">
        <w:trPr>
          <w:cantSplit/>
          <w:trHeight w:val="20"/>
        </w:trPr>
        <w:tc>
          <w:tcPr>
            <w:tcW w:w="9072" w:type="dxa"/>
            <w:hideMark/>
          </w:tcPr>
          <w:p w:rsidR="00061F17" w:rsidRPr="00C71B8F" w:rsidRDefault="00061F17" w:rsidP="00C71B8F">
            <w:pPr>
              <w:pStyle w:val="Equation"/>
              <w:numPr>
                <w:ilvl w:val="0"/>
                <w:numId w:val="10"/>
              </w:numPr>
              <w:tabs>
                <w:tab w:val="left" w:pos="1191"/>
                <w:tab w:val="left" w:pos="1588"/>
                <w:tab w:val="left" w:pos="1985"/>
              </w:tabs>
              <w:suppressAutoHyphens/>
              <w:spacing w:before="40" w:after="40"/>
              <w:ind w:left="357" w:hanging="357"/>
              <w:jc w:val="left"/>
              <w:textAlignment w:val="baseline"/>
              <w:rPr>
                <w:rFonts w:ascii="Calibri" w:hAnsi="Calibri"/>
                <w:sz w:val="19"/>
                <w:szCs w:val="19"/>
                <w:lang w:val="en-GB" w:eastAsia="zh-CN"/>
              </w:rPr>
            </w:pPr>
            <w:r w:rsidRPr="00C71B8F">
              <w:rPr>
                <w:rFonts w:ascii="Calibri" w:hAnsi="Calibri"/>
                <w:sz w:val="19"/>
                <w:szCs w:val="19"/>
                <w:lang w:val="en-GB" w:eastAsia="zh-CN"/>
              </w:rPr>
              <w:t xml:space="preserve">Japan 2004, Ministry of Public Management, Home Affairs, Posts and Telecommunications;  Ministry of Economy, Trade and Industry </w:t>
            </w:r>
            <w:hyperlink r:id="rId96" w:history="1">
              <w:r w:rsidRPr="00C71B8F">
                <w:rPr>
                  <w:rStyle w:val="Hyperlink"/>
                  <w:rFonts w:ascii="Calibri" w:hAnsi="Calibri"/>
                  <w:sz w:val="19"/>
                  <w:szCs w:val="19"/>
                  <w:lang w:val="en-US" w:eastAsia="zh-CN"/>
                </w:rPr>
                <w:t xml:space="preserve">WHO, Japan exposure  for general </w:t>
              </w:r>
            </w:hyperlink>
            <w:r w:rsidRPr="00C71B8F">
              <w:rPr>
                <w:rFonts w:ascii="Calibri" w:hAnsi="Calibri"/>
                <w:sz w:val="19"/>
                <w:szCs w:val="19"/>
                <w:lang w:val="en-GB" w:eastAsia="zh-CN"/>
              </w:rPr>
              <w:t xml:space="preserve">;   on 27 September 2012, there is a mistake in </w:t>
            </w:r>
            <w:r w:rsidRPr="00C71B8F">
              <w:rPr>
                <w:rFonts w:ascii="Calibri" w:hAnsi="Calibri"/>
                <w:sz w:val="19"/>
                <w:szCs w:val="19"/>
                <w:lang w:val="en-US" w:eastAsia="zh-CN"/>
              </w:rPr>
              <w:t>the frequency range 1.5 - 300 GHz : the exposure values are not dependent on the frequency ; see</w:t>
            </w:r>
            <w:hyperlink r:id="rId97" w:history="1">
              <w:r w:rsidRPr="00C71B8F">
                <w:rPr>
                  <w:rStyle w:val="Hyperlink"/>
                  <w:rFonts w:ascii="Calibri" w:hAnsi="Calibri"/>
                  <w:sz w:val="19"/>
                  <w:szCs w:val="19"/>
                  <w:lang w:val="en-US" w:eastAsia="zh-CN"/>
                </w:rPr>
                <w:t>Radio Waves and Safety</w:t>
              </w:r>
            </w:hyperlink>
          </w:p>
        </w:tc>
      </w:tr>
      <w:tr w:rsidR="00061F17" w:rsidRPr="00E57763" w:rsidTr="00F22C89">
        <w:trPr>
          <w:cantSplit/>
          <w:trHeight w:val="20"/>
        </w:trPr>
        <w:tc>
          <w:tcPr>
            <w:tcW w:w="9072" w:type="dxa"/>
            <w:hideMark/>
          </w:tcPr>
          <w:p w:rsidR="00061F17" w:rsidRPr="00C71B8F" w:rsidRDefault="00061F17" w:rsidP="00C71B8F">
            <w:pPr>
              <w:pStyle w:val="Equation"/>
              <w:numPr>
                <w:ilvl w:val="0"/>
                <w:numId w:val="10"/>
              </w:numPr>
              <w:tabs>
                <w:tab w:val="clear" w:pos="794"/>
                <w:tab w:val="left" w:pos="1191"/>
                <w:tab w:val="left" w:pos="1588"/>
                <w:tab w:val="left" w:pos="1985"/>
              </w:tabs>
              <w:suppressAutoHyphens/>
              <w:spacing w:before="40" w:after="40"/>
              <w:ind w:left="357" w:hanging="357"/>
              <w:jc w:val="left"/>
              <w:textAlignment w:val="baseline"/>
              <w:rPr>
                <w:rFonts w:ascii="Calibri" w:hAnsi="Calibri"/>
                <w:sz w:val="19"/>
                <w:szCs w:val="19"/>
                <w:lang w:val="en-GB" w:eastAsia="zh-CN"/>
              </w:rPr>
            </w:pPr>
            <w:r w:rsidRPr="00C71B8F">
              <w:rPr>
                <w:rFonts w:ascii="Calibri" w:hAnsi="Calibri"/>
                <w:sz w:val="19"/>
                <w:szCs w:val="19"/>
                <w:lang w:val="en-GB" w:eastAsia="zh-CN"/>
              </w:rPr>
              <w:t xml:space="preserve">Japan 2012,  Ministry of Internal affairs and Communications </w:t>
            </w:r>
            <w:r w:rsidRPr="00C71B8F">
              <w:rPr>
                <w:rFonts w:ascii="Calibri" w:eastAsia="MS Mincho" w:hAnsi="Calibri" w:cs="MS Mincho" w:hint="eastAsia"/>
                <w:i/>
                <w:iCs/>
                <w:sz w:val="19"/>
                <w:szCs w:val="19"/>
                <w:lang w:val="en-GB" w:eastAsia="zh-CN"/>
              </w:rPr>
              <w:t>電波と安心の暮らし</w:t>
            </w:r>
            <w:hyperlink r:id="rId98" w:history="1">
              <w:r w:rsidRPr="00C71B8F">
                <w:rPr>
                  <w:rStyle w:val="Hyperlink"/>
                  <w:rFonts w:ascii="Calibri" w:hAnsi="Calibri"/>
                  <w:i/>
                  <w:iCs/>
                  <w:sz w:val="19"/>
                  <w:szCs w:val="19"/>
                  <w:lang w:val="en-US" w:eastAsia="zh-CN"/>
                </w:rPr>
                <w:t xml:space="preserve"> Radio Waves and Safety</w:t>
              </w:r>
            </w:hyperlink>
            <w:r w:rsidRPr="00C71B8F">
              <w:rPr>
                <w:rFonts w:ascii="Calibri" w:hAnsi="Calibri"/>
                <w:sz w:val="19"/>
                <w:szCs w:val="19"/>
                <w:lang w:val="en-GB" w:eastAsia="zh-CN"/>
              </w:rPr>
              <w:t>; reviewed on 27 September 2012</w:t>
            </w:r>
          </w:p>
        </w:tc>
      </w:tr>
      <w:tr w:rsidR="00061F17" w:rsidRPr="00E57763" w:rsidTr="00F22C89">
        <w:trPr>
          <w:cantSplit/>
          <w:trHeight w:val="20"/>
        </w:trPr>
        <w:tc>
          <w:tcPr>
            <w:tcW w:w="9072" w:type="dxa"/>
            <w:hideMark/>
          </w:tcPr>
          <w:p w:rsidR="00061F17" w:rsidRPr="00C71B8F" w:rsidRDefault="00061F17" w:rsidP="00C71B8F">
            <w:pPr>
              <w:pStyle w:val="Equation"/>
              <w:numPr>
                <w:ilvl w:val="0"/>
                <w:numId w:val="10"/>
              </w:numPr>
              <w:tabs>
                <w:tab w:val="left" w:pos="1191"/>
                <w:tab w:val="left" w:pos="1588"/>
                <w:tab w:val="left" w:pos="1985"/>
              </w:tabs>
              <w:suppressAutoHyphens/>
              <w:spacing w:before="40" w:after="40"/>
              <w:ind w:left="357" w:hanging="357"/>
              <w:jc w:val="left"/>
              <w:textAlignment w:val="baseline"/>
              <w:rPr>
                <w:rFonts w:ascii="Calibri" w:hAnsi="Calibri"/>
                <w:sz w:val="19"/>
                <w:szCs w:val="19"/>
                <w:lang w:val="en-GB" w:eastAsia="zh-CN"/>
              </w:rPr>
            </w:pPr>
            <w:r w:rsidRPr="00C71B8F">
              <w:rPr>
                <w:rFonts w:ascii="Calibri" w:hAnsi="Calibri"/>
                <w:sz w:val="19"/>
                <w:szCs w:val="19"/>
                <w:lang w:val="en-GB" w:eastAsia="zh-CN"/>
              </w:rPr>
              <w:t>Linhares A., Terada MAB. and Soares</w:t>
            </w:r>
            <w:r w:rsidRPr="00C71B8F">
              <w:rPr>
                <w:rFonts w:ascii="Calibri" w:hAnsi="Calibri"/>
                <w:sz w:val="19"/>
                <w:szCs w:val="19"/>
                <w:lang w:val="en-US" w:eastAsia="zh-CN"/>
              </w:rPr>
              <w:t xml:space="preserve"> AJM 2013, ‘</w:t>
            </w:r>
            <w:hyperlink r:id="rId99" w:history="1">
              <w:r w:rsidRPr="00C71B8F">
                <w:rPr>
                  <w:rStyle w:val="Hyperlink"/>
                  <w:rFonts w:ascii="Calibri" w:hAnsi="Calibri"/>
                  <w:sz w:val="19"/>
                  <w:szCs w:val="19"/>
                  <w:lang w:val="en-US" w:eastAsia="zh-CN"/>
                </w:rPr>
                <w:t>Estimating the Location of Maximum Exposure to Electromagnetic Fields Associated with a Radiocommunication Station</w:t>
              </w:r>
            </w:hyperlink>
            <w:r w:rsidRPr="00C71B8F">
              <w:rPr>
                <w:rFonts w:ascii="Calibri" w:hAnsi="Calibri"/>
                <w:sz w:val="19"/>
                <w:szCs w:val="19"/>
                <w:lang w:val="en-US" w:eastAsia="zh-CN"/>
              </w:rPr>
              <w:t xml:space="preserve">’, </w:t>
            </w:r>
            <w:r w:rsidRPr="00C71B8F">
              <w:rPr>
                <w:rFonts w:ascii="Calibri" w:hAnsi="Calibri"/>
                <w:i/>
                <w:iCs/>
                <w:sz w:val="19"/>
                <w:szCs w:val="19"/>
                <w:lang w:val="en-US" w:eastAsia="zh-CN"/>
              </w:rPr>
              <w:t xml:space="preserve">Journal of Microwaves, Optoelectronics and Electromagnetic Applications, Vol. 12, No. 1, June 2013 </w:t>
            </w:r>
          </w:p>
        </w:tc>
      </w:tr>
      <w:tr w:rsidR="00061F17" w:rsidRPr="00E57763" w:rsidTr="00F22C89">
        <w:trPr>
          <w:cantSplit/>
          <w:trHeight w:val="20"/>
        </w:trPr>
        <w:tc>
          <w:tcPr>
            <w:tcW w:w="9072" w:type="dxa"/>
            <w:hideMark/>
          </w:tcPr>
          <w:p w:rsidR="00061F17" w:rsidRPr="00C71B8F" w:rsidRDefault="00061F17" w:rsidP="00C71B8F">
            <w:pPr>
              <w:pStyle w:val="Equation"/>
              <w:numPr>
                <w:ilvl w:val="0"/>
                <w:numId w:val="10"/>
              </w:numPr>
              <w:tabs>
                <w:tab w:val="clear" w:pos="794"/>
                <w:tab w:val="left" w:pos="1191"/>
                <w:tab w:val="left" w:pos="1588"/>
                <w:tab w:val="left" w:pos="1985"/>
              </w:tabs>
              <w:suppressAutoHyphens/>
              <w:spacing w:before="40" w:after="40"/>
              <w:ind w:left="357" w:hanging="357"/>
              <w:jc w:val="left"/>
              <w:textAlignment w:val="baseline"/>
              <w:rPr>
                <w:rFonts w:ascii="Calibri" w:hAnsi="Calibri"/>
                <w:snapToGrid w:val="0"/>
                <w:sz w:val="19"/>
                <w:szCs w:val="19"/>
                <w:lang w:val="en-GB" w:eastAsia="zh-CN"/>
              </w:rPr>
            </w:pPr>
            <w:r w:rsidRPr="00C71B8F">
              <w:rPr>
                <w:rFonts w:ascii="Calibri" w:hAnsi="Calibri"/>
                <w:bCs/>
                <w:snapToGrid w:val="0"/>
                <w:sz w:val="19"/>
                <w:szCs w:val="19"/>
                <w:lang w:val="en-GB" w:eastAsia="zh-CN"/>
              </w:rPr>
              <w:t xml:space="preserve">Mazar H. 2009a </w:t>
            </w:r>
            <w:hyperlink r:id="rId100" w:history="1">
              <w:r w:rsidRPr="00C71B8F">
                <w:rPr>
                  <w:rStyle w:val="Hyperlink"/>
                  <w:rFonts w:ascii="Calibri" w:hAnsi="Calibri"/>
                  <w:bCs/>
                  <w:i/>
                  <w:iCs/>
                  <w:snapToGrid w:val="0"/>
                  <w:sz w:val="19"/>
                  <w:szCs w:val="19"/>
                  <w:lang w:val="en-US" w:eastAsia="zh-CN"/>
                </w:rPr>
                <w:t>An Analysis of Regulatory Frameworks for Wireless Communications, Societal Concerns and Risk: the Case of Radio Frequency (RF) Allocation and Licensing</w:t>
              </w:r>
            </w:hyperlink>
            <w:r w:rsidRPr="00C71B8F">
              <w:rPr>
                <w:rFonts w:ascii="Calibri" w:hAnsi="Calibri"/>
                <w:bCs/>
                <w:snapToGrid w:val="0"/>
                <w:sz w:val="19"/>
                <w:szCs w:val="19"/>
                <w:lang w:val="en-GB" w:eastAsia="zh-CN"/>
              </w:rPr>
              <w:t xml:space="preserve">, Boca Raton Florida: Dissertation.Com. </w:t>
            </w:r>
            <w:r w:rsidRPr="00C71B8F">
              <w:rPr>
                <w:rFonts w:ascii="Calibri" w:hAnsi="Calibri"/>
                <w:bCs/>
                <w:snapToGrid w:val="0"/>
                <w:sz w:val="19"/>
                <w:szCs w:val="19"/>
                <w:lang w:val="en-US" w:eastAsia="zh-CN"/>
              </w:rPr>
              <w:t>PhD thesis, Middlesex University, London.</w:t>
            </w:r>
            <w:hyperlink r:id="rId101" w:history="1">
              <w:r w:rsidRPr="00C71B8F">
                <w:rPr>
                  <w:rStyle w:val="Hyperlink"/>
                  <w:rFonts w:ascii="Calibri" w:hAnsi="Calibri"/>
                  <w:i/>
                  <w:iCs/>
                  <w:sz w:val="19"/>
                  <w:szCs w:val="19"/>
                  <w:lang w:val="en-US" w:eastAsia="zh-CN"/>
                </w:rPr>
                <w:t>Guidance on complying with limits for human exposure to electromagnetic fields</w:t>
              </w:r>
            </w:hyperlink>
          </w:p>
        </w:tc>
      </w:tr>
      <w:tr w:rsidR="00061F17" w:rsidRPr="00E57763"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snapToGrid w:val="0"/>
                <w:sz w:val="19"/>
                <w:szCs w:val="19"/>
              </w:rPr>
              <w:t>Mazar (Madjar) H. 2009b ‘</w:t>
            </w:r>
            <w:hyperlink r:id="rId102" w:history="1">
              <w:r w:rsidRPr="00C71B8F">
                <w:rPr>
                  <w:rStyle w:val="Hyperlink"/>
                  <w:rFonts w:ascii="Calibri" w:hAnsi="Calibri"/>
                  <w:sz w:val="19"/>
                  <w:szCs w:val="19"/>
                  <w:lang w:val="en-CA"/>
                </w:rPr>
                <w:t>A Global Survey and Comparison of Different Regulatory Approaches to Non-Ionizing RADHAZ and Spurious Emissions</w:t>
              </w:r>
            </w:hyperlink>
            <w:r w:rsidRPr="00C71B8F">
              <w:rPr>
                <w:rFonts w:ascii="Calibri" w:hAnsi="Calibri"/>
                <w:snapToGrid w:val="0"/>
                <w:sz w:val="19"/>
                <w:szCs w:val="19"/>
              </w:rPr>
              <w:t xml:space="preserve">‘, </w:t>
            </w:r>
            <w:r w:rsidRPr="00C71B8F">
              <w:rPr>
                <w:rFonts w:ascii="Calibri" w:hAnsi="Calibri"/>
                <w:sz w:val="19"/>
                <w:szCs w:val="19"/>
                <w:lang w:val="en-CA"/>
              </w:rPr>
              <w:t xml:space="preserve">IEEE TelAviv, </w:t>
            </w:r>
            <w:hyperlink r:id="rId103" w:history="1">
              <w:r w:rsidRPr="00C71B8F">
                <w:rPr>
                  <w:rStyle w:val="Hyperlink"/>
                  <w:rFonts w:ascii="Calibri" w:hAnsi="Calibri"/>
                  <w:sz w:val="19"/>
                  <w:szCs w:val="19"/>
                  <w:lang w:val="en-CA"/>
                </w:rPr>
                <w:t>COMCAS</w:t>
              </w:r>
            </w:hyperlink>
            <w:r w:rsidRPr="00C71B8F">
              <w:rPr>
                <w:rFonts w:ascii="Calibri" w:hAnsi="Calibri"/>
                <w:sz w:val="19"/>
                <w:szCs w:val="19"/>
                <w:lang w:val="en-CA"/>
              </w:rPr>
              <w:t>, 9 Nov 2009</w:t>
            </w:r>
            <w:hyperlink r:id="rId104" w:history="1">
              <w:r w:rsidRPr="00C71B8F">
                <w:rPr>
                  <w:rStyle w:val="Hyperlink"/>
                  <w:rFonts w:ascii="Calibri" w:hAnsi="Calibri"/>
                  <w:snapToGrid w:val="0"/>
                  <w:sz w:val="19"/>
                  <w:szCs w:val="19"/>
                </w:rPr>
                <w:t>http://www.mtt-tpms.org/symposia_v6/COMCAS2009/fileuploads/292-JI4GGWYnIdKk-2.pdf</w:t>
              </w:r>
            </w:hyperlink>
          </w:p>
        </w:tc>
      </w:tr>
      <w:tr w:rsidR="00061F17" w:rsidRPr="00E57763" w:rsidTr="00F22C89">
        <w:trPr>
          <w:cantSplit/>
          <w:trHeight w:val="20"/>
        </w:trPr>
        <w:tc>
          <w:tcPr>
            <w:tcW w:w="9072" w:type="dxa"/>
            <w:hideMark/>
          </w:tcPr>
          <w:p w:rsidR="00061F17" w:rsidRPr="00C71B8F" w:rsidRDefault="00061F17" w:rsidP="00C71B8F">
            <w:pPr>
              <w:pStyle w:val="Default"/>
              <w:numPr>
                <w:ilvl w:val="0"/>
                <w:numId w:val="10"/>
              </w:numPr>
              <w:tabs>
                <w:tab w:val="left" w:pos="794"/>
                <w:tab w:val="left" w:pos="1191"/>
                <w:tab w:val="left" w:pos="1588"/>
                <w:tab w:val="left" w:pos="1985"/>
              </w:tabs>
              <w:suppressAutoHyphens/>
              <w:overflowPunct w:val="0"/>
              <w:spacing w:before="40" w:after="40"/>
              <w:ind w:left="357" w:hanging="357"/>
              <w:textAlignment w:val="baseline"/>
              <w:rPr>
                <w:rFonts w:ascii="Calibri" w:hAnsi="Calibri"/>
                <w:sz w:val="19"/>
                <w:szCs w:val="19"/>
                <w:lang w:eastAsia="en-GB"/>
              </w:rPr>
            </w:pPr>
            <w:r w:rsidRPr="00C71B8F">
              <w:rPr>
                <w:rFonts w:ascii="Calibri" w:hAnsi="Calibri"/>
                <w:sz w:val="19"/>
                <w:szCs w:val="19"/>
                <w:lang w:eastAsia="zh-CN"/>
              </w:rPr>
              <w:t>Mazar (Madjar) H. 2011 ‘</w:t>
            </w:r>
            <w:hyperlink r:id="rId105" w:history="1">
              <w:r w:rsidRPr="00C71B8F">
                <w:rPr>
                  <w:rStyle w:val="Hyperlink"/>
                  <w:rFonts w:ascii="Calibri" w:hAnsi="Calibri" w:cstheme="majorBidi"/>
                  <w:sz w:val="19"/>
                  <w:szCs w:val="19"/>
                  <w:lang w:eastAsia="zh-CN"/>
                </w:rPr>
                <w:t>A Comparison Between European and North American Wireless Regulations</w:t>
              </w:r>
            </w:hyperlink>
            <w:r w:rsidRPr="00C71B8F">
              <w:rPr>
                <w:rFonts w:ascii="Calibri" w:hAnsi="Calibri"/>
                <w:sz w:val="19"/>
                <w:szCs w:val="19"/>
                <w:lang w:eastAsia="zh-CN"/>
              </w:rPr>
              <w:t xml:space="preserve">’, “Technical Symposium at ITU Telecom World 2011” </w:t>
            </w:r>
            <w:hyperlink r:id="rId106" w:history="1">
              <w:r w:rsidRPr="00C71B8F">
                <w:rPr>
                  <w:rStyle w:val="Hyperlink"/>
                  <w:rFonts w:ascii="Calibri" w:hAnsi="Calibri"/>
                  <w:sz w:val="19"/>
                  <w:szCs w:val="19"/>
                  <w:lang w:eastAsia="zh-CN"/>
                </w:rPr>
                <w:t>www.itu.int/worl2011</w:t>
              </w:r>
            </w:hyperlink>
            <w:r w:rsidRPr="00C71B8F">
              <w:rPr>
                <w:rFonts w:ascii="Calibri" w:hAnsi="Calibri"/>
                <w:sz w:val="19"/>
                <w:szCs w:val="19"/>
                <w:lang w:eastAsia="zh-CN"/>
              </w:rPr>
              <w:t xml:space="preserve"> on 27 October 2011 </w:t>
            </w:r>
          </w:p>
        </w:tc>
      </w:tr>
      <w:tr w:rsidR="00061F17" w:rsidRPr="00E57763"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z w:val="19"/>
                <w:szCs w:val="19"/>
              </w:rPr>
            </w:pPr>
            <w:r w:rsidRPr="00C71B8F">
              <w:rPr>
                <w:rFonts w:ascii="Calibri" w:hAnsi="Calibri" w:cstheme="majorBidi"/>
                <w:sz w:val="19"/>
                <w:szCs w:val="19"/>
              </w:rPr>
              <w:t xml:space="preserve">MEP (Ministry of Environmental Protection Israel) 2011 </w:t>
            </w:r>
            <w:hyperlink r:id="rId107" w:history="1">
              <w:r w:rsidRPr="00C71B8F">
                <w:rPr>
                  <w:rStyle w:val="Hyperlink"/>
                  <w:rFonts w:ascii="Calibri" w:hAnsi="Calibri" w:cstheme="majorBidi"/>
                  <w:sz w:val="19"/>
                  <w:szCs w:val="19"/>
                </w:rPr>
                <w:t>Continuous  Monitoring  of  Cellular Radiation</w:t>
              </w:r>
            </w:hyperlink>
          </w:p>
        </w:tc>
      </w:tr>
      <w:tr w:rsidR="00061F17" w:rsidRPr="00E57763" w:rsidTr="00F22C89">
        <w:trPr>
          <w:cantSplit/>
          <w:trHeight w:val="20"/>
        </w:trPr>
        <w:tc>
          <w:tcPr>
            <w:tcW w:w="9072" w:type="dxa"/>
            <w:hideMark/>
          </w:tcPr>
          <w:p w:rsidR="00061F17" w:rsidRPr="00C71B8F" w:rsidRDefault="00061F17" w:rsidP="00C71B8F">
            <w:pPr>
              <w:pStyle w:val="RegParagraph"/>
              <w:numPr>
                <w:ilvl w:val="0"/>
                <w:numId w:val="10"/>
              </w:numPr>
              <w:tabs>
                <w:tab w:val="left" w:pos="794"/>
                <w:tab w:val="left" w:pos="1191"/>
                <w:tab w:val="left" w:pos="1588"/>
              </w:tabs>
              <w:suppressAutoHyphens/>
              <w:overflowPunct w:val="0"/>
              <w:autoSpaceDE w:val="0"/>
              <w:spacing w:before="40" w:after="40" w:line="240" w:lineRule="auto"/>
              <w:ind w:left="357" w:hanging="357"/>
              <w:jc w:val="left"/>
              <w:textAlignment w:val="baseline"/>
              <w:rPr>
                <w:rFonts w:ascii="Calibri" w:hAnsi="Calibri"/>
                <w:sz w:val="19"/>
                <w:szCs w:val="19"/>
                <w:lang w:eastAsia="zh-CN" w:bidi="ar-SA"/>
              </w:rPr>
            </w:pPr>
            <w:r w:rsidRPr="00C71B8F">
              <w:rPr>
                <w:rFonts w:ascii="Calibri" w:hAnsi="Calibri"/>
                <w:sz w:val="19"/>
                <w:szCs w:val="19"/>
                <w:lang w:eastAsia="zh-CN" w:bidi="ar-SA"/>
              </w:rPr>
              <w:t xml:space="preserve">NRPB 2004 </w:t>
            </w:r>
            <w:hyperlink r:id="rId108" w:history="1">
              <w:r w:rsidRPr="00C71B8F">
                <w:rPr>
                  <w:rStyle w:val="Hyperlink"/>
                  <w:rFonts w:ascii="Calibri" w:hAnsi="Calibri"/>
                  <w:i/>
                  <w:iCs/>
                  <w:sz w:val="19"/>
                  <w:szCs w:val="19"/>
                  <w:lang w:eastAsia="zh-CN" w:bidi="ar-SA"/>
                </w:rPr>
                <w:t>Advice on Limiting Exposure to Electromagnetic Fields (0–300 GHz)</w:t>
              </w:r>
            </w:hyperlink>
            <w:r w:rsidRPr="00C71B8F">
              <w:rPr>
                <w:rFonts w:ascii="Calibri" w:hAnsi="Calibri"/>
                <w:sz w:val="19"/>
                <w:szCs w:val="19"/>
                <w:lang w:eastAsia="zh-CN" w:bidi="ar-SA"/>
              </w:rPr>
              <w:t xml:space="preserve"> 15(2) Chilton: NRPB</w:t>
            </w:r>
          </w:p>
        </w:tc>
      </w:tr>
      <w:tr w:rsidR="00061F17" w:rsidRPr="00E57763" w:rsidTr="00F22C89">
        <w:trPr>
          <w:cantSplit/>
          <w:trHeight w:val="20"/>
        </w:trPr>
        <w:tc>
          <w:tcPr>
            <w:tcW w:w="9072" w:type="dxa"/>
            <w:hideMark/>
          </w:tcPr>
          <w:p w:rsidR="00061F17" w:rsidRPr="00C71B8F" w:rsidRDefault="00061F17" w:rsidP="00C71B8F">
            <w:pPr>
              <w:pStyle w:val="RegParagraph"/>
              <w:numPr>
                <w:ilvl w:val="0"/>
                <w:numId w:val="10"/>
              </w:numPr>
              <w:tabs>
                <w:tab w:val="left" w:pos="794"/>
                <w:tab w:val="left" w:pos="1191"/>
                <w:tab w:val="left" w:pos="1588"/>
              </w:tabs>
              <w:suppressAutoHyphens/>
              <w:overflowPunct w:val="0"/>
              <w:autoSpaceDE w:val="0"/>
              <w:spacing w:before="40" w:after="40" w:line="240" w:lineRule="auto"/>
              <w:ind w:left="357" w:hanging="357"/>
              <w:jc w:val="left"/>
              <w:textAlignment w:val="baseline"/>
              <w:rPr>
                <w:rFonts w:ascii="Calibri" w:hAnsi="Calibri"/>
                <w:sz w:val="19"/>
                <w:szCs w:val="19"/>
                <w:lang w:eastAsia="zh-CN" w:bidi="ar-SA"/>
              </w:rPr>
            </w:pPr>
            <w:r w:rsidRPr="00C71B8F">
              <w:rPr>
                <w:rFonts w:ascii="Calibri" w:hAnsi="Calibri"/>
                <w:sz w:val="19"/>
                <w:szCs w:val="19"/>
                <w:lang w:eastAsia="zh-CN" w:bidi="ar-SA"/>
              </w:rPr>
              <w:t>Salzburg municipal authorities, the Environmental Protection Office; and the company EMC – RF Szentkuti, 2002, ‘</w:t>
            </w:r>
            <w:hyperlink r:id="rId109" w:history="1">
              <w:r w:rsidRPr="00C71B8F">
                <w:rPr>
                  <w:rStyle w:val="Hyperlink"/>
                  <w:rFonts w:ascii="Calibri" w:hAnsi="Calibri"/>
                  <w:sz w:val="19"/>
                  <w:szCs w:val="19"/>
                  <w:lang w:eastAsia="zh-CN" w:bidi="ar-SA"/>
                </w:rPr>
                <w:t>NIR Exposure of Salzburg: study set up by the Federal Office of Communications in collaboration with the research centre -ARC Seibersdorf research GmbH</w:t>
              </w:r>
            </w:hyperlink>
            <w:r w:rsidRPr="00C71B8F">
              <w:rPr>
                <w:rFonts w:ascii="Calibri" w:hAnsi="Calibri"/>
                <w:sz w:val="19"/>
                <w:szCs w:val="19"/>
                <w:lang w:eastAsia="zh-CN" w:bidi="ar-SA"/>
              </w:rPr>
              <w:t xml:space="preserve">’ </w:t>
            </w:r>
          </w:p>
        </w:tc>
      </w:tr>
      <w:tr w:rsidR="00061F17" w:rsidRPr="00E57763"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z w:val="19"/>
                <w:szCs w:val="19"/>
              </w:rPr>
            </w:pPr>
            <w:r w:rsidRPr="00C71B8F">
              <w:rPr>
                <w:rFonts w:ascii="Calibri" w:hAnsi="Calibri"/>
                <w:color w:val="000000"/>
                <w:sz w:val="19"/>
                <w:szCs w:val="19"/>
                <w:lang w:eastAsia="en-GB"/>
              </w:rPr>
              <w:t>Stewart  W. 2001 'Mobile Phones and Health'  Chilton: [UK] IEGMP (Independent Expert Group on Mobile Phones)</w:t>
            </w:r>
          </w:p>
        </w:tc>
      </w:tr>
      <w:tr w:rsidR="00061F17" w:rsidRPr="00E57763"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z w:val="19"/>
                <w:szCs w:val="19"/>
              </w:rPr>
            </w:pPr>
            <w:r w:rsidRPr="00C71B8F">
              <w:rPr>
                <w:rFonts w:ascii="Calibri" w:hAnsi="Calibri"/>
                <w:sz w:val="19"/>
                <w:szCs w:val="19"/>
              </w:rPr>
              <w:t>Viel JF, Clerc S, Barrera C, Rymzhanova R, Moissonnier M, Hours M and Cardis E 2009, ‘</w:t>
            </w:r>
            <w:hyperlink r:id="rId110" w:history="1">
              <w:r w:rsidRPr="00C71B8F">
                <w:rPr>
                  <w:rStyle w:val="Hyperlink"/>
                  <w:rFonts w:ascii="Calibri" w:hAnsi="Calibri"/>
                  <w:sz w:val="19"/>
                  <w:szCs w:val="19"/>
                </w:rPr>
                <w:t>Residential exposure to radiofrequency fields from mobile phone base stations, and broadcast transmitters: a population-based survey with personal meter</w:t>
              </w:r>
            </w:hyperlink>
            <w:r w:rsidRPr="00C71B8F">
              <w:rPr>
                <w:rFonts w:ascii="Calibri" w:hAnsi="Calibri"/>
                <w:sz w:val="19"/>
                <w:szCs w:val="19"/>
              </w:rPr>
              <w:t xml:space="preserve">’, </w:t>
            </w:r>
            <w:r w:rsidRPr="00C71B8F">
              <w:rPr>
                <w:rFonts w:ascii="Calibri" w:hAnsi="Calibri"/>
                <w:i/>
                <w:iCs/>
                <w:sz w:val="19"/>
                <w:szCs w:val="19"/>
              </w:rPr>
              <w:t>Occupational &amp; Environmental Medicine,</w:t>
            </w:r>
            <w:r w:rsidRPr="00C71B8F">
              <w:rPr>
                <w:rFonts w:ascii="Calibri" w:hAnsi="Calibri"/>
                <w:sz w:val="19"/>
                <w:szCs w:val="19"/>
              </w:rPr>
              <w:t xml:space="preserve">  vol. 66, pp. 550-6; originally published online 30 Mar 2009, viewed 22 August 2012</w:t>
            </w:r>
          </w:p>
        </w:tc>
      </w:tr>
      <w:tr w:rsidR="00061F17" w:rsidRPr="00E57763" w:rsidTr="00F22C89">
        <w:trPr>
          <w:cantSplit/>
          <w:trHeight w:val="20"/>
        </w:trPr>
        <w:tc>
          <w:tcPr>
            <w:tcW w:w="9072" w:type="dxa"/>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snapToGrid w:val="0"/>
                <w:sz w:val="19"/>
                <w:szCs w:val="19"/>
              </w:rPr>
              <w:t>WHO (World Health Organisation), 2006,  Fact sheet No 304, Base stations and wireless technologies</w:t>
            </w:r>
          </w:p>
        </w:tc>
      </w:tr>
      <w:tr w:rsidR="00061F17" w:rsidRPr="00C71B8F"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i/>
                <w:iCs/>
                <w:snapToGrid w:val="0"/>
                <w:sz w:val="19"/>
                <w:szCs w:val="19"/>
              </w:rPr>
            </w:pPr>
            <w:r w:rsidRPr="00C71B8F">
              <w:rPr>
                <w:rFonts w:ascii="Calibri" w:hAnsi="Calibri"/>
                <w:snapToGrid w:val="0"/>
                <w:sz w:val="19"/>
                <w:szCs w:val="19"/>
              </w:rPr>
              <w:t xml:space="preserve">WHO  2007 Repacholi M., van Deventer E. and Ravazzani  P. </w:t>
            </w:r>
            <w:hyperlink r:id="rId111" w:history="1">
              <w:r w:rsidRPr="00C71B8F">
                <w:rPr>
                  <w:rStyle w:val="Hyperlink"/>
                  <w:rFonts w:ascii="Calibri" w:hAnsi="Calibri"/>
                  <w:i/>
                  <w:iCs/>
                  <w:snapToGrid w:val="0"/>
                  <w:sz w:val="19"/>
                  <w:szCs w:val="19"/>
                </w:rPr>
                <w:t>Base Stations and Wireless Networks: Exposures and Health Consequences</w:t>
              </w:r>
            </w:hyperlink>
          </w:p>
        </w:tc>
      </w:tr>
      <w:tr w:rsidR="00061F17" w:rsidRPr="00E57763"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cs="TimesNewRoman"/>
                <w:color w:val="000000"/>
                <w:sz w:val="19"/>
                <w:szCs w:val="19"/>
              </w:rPr>
              <w:t xml:space="preserve">WHO 2011 Fact sheet No 193 (June 2011), </w:t>
            </w:r>
            <w:hyperlink r:id="rId112" w:history="1">
              <w:r w:rsidRPr="00C71B8F">
                <w:rPr>
                  <w:rStyle w:val="Hyperlink"/>
                  <w:rFonts w:ascii="Calibri" w:hAnsi="Calibri" w:cs="TimesNewRoman,Italic"/>
                  <w:i/>
                  <w:iCs/>
                  <w:sz w:val="19"/>
                  <w:szCs w:val="19"/>
                </w:rPr>
                <w:t>Electromagnetic fields and public health: mobilephones</w:t>
              </w:r>
            </w:hyperlink>
            <w:r w:rsidRPr="00C71B8F">
              <w:rPr>
                <w:rFonts w:ascii="Calibri" w:hAnsi="Calibri" w:cs="TimesNewRoman,Italic"/>
                <w:i/>
                <w:iCs/>
                <w:color w:val="000000"/>
                <w:sz w:val="19"/>
                <w:szCs w:val="19"/>
              </w:rPr>
              <w:t xml:space="preserve">, </w:t>
            </w:r>
            <w:hyperlink r:id="rId113" w:history="1">
              <w:r w:rsidRPr="00C71B8F">
                <w:rPr>
                  <w:rStyle w:val="Hyperlink"/>
                  <w:rFonts w:ascii="Calibri" w:hAnsi="Calibri" w:cs="Calibri"/>
                  <w:sz w:val="19"/>
                  <w:szCs w:val="19"/>
                </w:rPr>
                <w:t>http://www.who.int/mediacentre/factsheets/fs193/en/index.html</w:t>
              </w:r>
            </w:hyperlink>
            <w:r w:rsidRPr="00C71B8F">
              <w:rPr>
                <w:rFonts w:ascii="Calibri" w:hAnsi="Calibri" w:cs="TimesNewRoman"/>
                <w:color w:val="000000"/>
                <w:sz w:val="19"/>
                <w:szCs w:val="19"/>
              </w:rPr>
              <w:t>]. reviewed 26 Aug 2012</w:t>
            </w:r>
          </w:p>
        </w:tc>
      </w:tr>
      <w:tr w:rsidR="00061F17" w:rsidRPr="00C71B8F"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snapToGrid w:val="0"/>
                <w:sz w:val="19"/>
                <w:szCs w:val="19"/>
              </w:rPr>
              <w:t xml:space="preserve">WHO 2012 </w:t>
            </w:r>
            <w:hyperlink r:id="rId114" w:history="1">
              <w:r w:rsidRPr="00C71B8F">
                <w:rPr>
                  <w:rStyle w:val="Hyperlink"/>
                  <w:rFonts w:ascii="Calibri" w:hAnsi="Calibri"/>
                  <w:i/>
                  <w:iCs/>
                  <w:snapToGrid w:val="0"/>
                  <w:sz w:val="19"/>
                  <w:szCs w:val="19"/>
                </w:rPr>
                <w:t>EMF worldwide standards</w:t>
              </w:r>
            </w:hyperlink>
          </w:p>
        </w:tc>
      </w:tr>
      <w:tr w:rsidR="00061F17" w:rsidRPr="00E57763" w:rsidTr="00F22C89">
        <w:trPr>
          <w:cantSplit/>
          <w:trHeight w:val="20"/>
        </w:trPr>
        <w:tc>
          <w:tcPr>
            <w:tcW w:w="9072" w:type="dxa"/>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textAlignment w:val="baseline"/>
              <w:rPr>
                <w:rFonts w:ascii="Calibri" w:hAnsi="Calibri"/>
                <w:snapToGrid w:val="0"/>
                <w:sz w:val="19"/>
                <w:szCs w:val="19"/>
              </w:rPr>
            </w:pPr>
            <w:r w:rsidRPr="00C71B8F">
              <w:rPr>
                <w:rFonts w:ascii="Calibri" w:hAnsi="Calibri"/>
                <w:snapToGrid w:val="0"/>
                <w:sz w:val="19"/>
                <w:szCs w:val="19"/>
              </w:rPr>
              <w:t>WHO Framework for developing health-based electromagnetic field standards</w:t>
            </w:r>
          </w:p>
        </w:tc>
      </w:tr>
      <w:tr w:rsidR="00061F17" w:rsidRPr="00E57763"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textAlignment w:val="baseline"/>
              <w:rPr>
                <w:rFonts w:ascii="Calibri" w:hAnsi="Calibri"/>
                <w:snapToGrid w:val="0"/>
                <w:sz w:val="19"/>
                <w:szCs w:val="19"/>
              </w:rPr>
            </w:pPr>
            <w:r w:rsidRPr="00C71B8F">
              <w:rPr>
                <w:rFonts w:ascii="Calibri" w:hAnsi="Calibri"/>
                <w:snapToGrid w:val="0"/>
                <w:sz w:val="19"/>
                <w:szCs w:val="19"/>
              </w:rPr>
              <w:t xml:space="preserve">World in 2011: </w:t>
            </w:r>
            <w:hyperlink r:id="rId115" w:history="1">
              <w:r w:rsidRPr="00C71B8F">
                <w:rPr>
                  <w:rStyle w:val="Hyperlink"/>
                  <w:rFonts w:ascii="Calibri" w:hAnsi="Calibri"/>
                  <w:snapToGrid w:val="0"/>
                  <w:sz w:val="19"/>
                  <w:szCs w:val="19"/>
                </w:rPr>
                <w:t>ICT Facts and Figures</w:t>
              </w:r>
            </w:hyperlink>
            <w:r w:rsidRPr="00C71B8F">
              <w:rPr>
                <w:rFonts w:ascii="Calibri" w:hAnsi="Calibri"/>
                <w:snapToGrid w:val="0"/>
                <w:sz w:val="19"/>
                <w:szCs w:val="19"/>
              </w:rPr>
              <w:t>, October 2011</w:t>
            </w:r>
          </w:p>
        </w:tc>
      </w:tr>
      <w:tr w:rsidR="00061F17" w:rsidRPr="00E57763" w:rsidTr="00F22C89">
        <w:trPr>
          <w:cantSplit/>
          <w:trHeight w:val="20"/>
        </w:trPr>
        <w:tc>
          <w:tcPr>
            <w:tcW w:w="9072" w:type="dxa"/>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textAlignment w:val="baseline"/>
              <w:rPr>
                <w:rFonts w:ascii="Calibri" w:hAnsi="Calibri"/>
                <w:snapToGrid w:val="0"/>
                <w:sz w:val="19"/>
                <w:szCs w:val="19"/>
              </w:rPr>
            </w:pPr>
            <w:r w:rsidRPr="00C71B8F">
              <w:rPr>
                <w:rFonts w:ascii="Calibri" w:hAnsi="Calibri"/>
                <w:snapToGrid w:val="0"/>
                <w:sz w:val="19"/>
                <w:szCs w:val="19"/>
              </w:rPr>
              <w:t xml:space="preserve">World in 2013: </w:t>
            </w:r>
            <w:hyperlink r:id="rId116" w:history="1">
              <w:r w:rsidRPr="00C71B8F">
                <w:rPr>
                  <w:rStyle w:val="Hyperlink"/>
                  <w:rFonts w:ascii="Calibri" w:hAnsi="Calibri"/>
                  <w:snapToGrid w:val="0"/>
                  <w:sz w:val="19"/>
                  <w:szCs w:val="19"/>
                </w:rPr>
                <w:t>ICT Facts and Figures</w:t>
              </w:r>
            </w:hyperlink>
            <w:r w:rsidRPr="00C71B8F">
              <w:rPr>
                <w:rFonts w:ascii="Calibri" w:hAnsi="Calibri"/>
                <w:snapToGrid w:val="0"/>
                <w:sz w:val="19"/>
                <w:szCs w:val="19"/>
              </w:rPr>
              <w:t xml:space="preserve">, February 2013 </w:t>
            </w:r>
          </w:p>
        </w:tc>
      </w:tr>
    </w:tbl>
    <w:p w:rsidR="00061F17" w:rsidRPr="008A262D" w:rsidRDefault="00061F17" w:rsidP="003C483E">
      <w:pPr>
        <w:pStyle w:val="CEOcontributionStart"/>
        <w:spacing w:before="120"/>
        <w:jc w:val="center"/>
        <w:rPr>
          <w:rFonts w:asciiTheme="minorHAnsi" w:hAnsiTheme="minorHAnsi"/>
          <w:lang w:val="en-US"/>
        </w:rPr>
      </w:pPr>
      <w:r w:rsidRPr="008A262D">
        <w:rPr>
          <w:rFonts w:asciiTheme="minorHAnsi" w:hAnsiTheme="minorHAnsi"/>
          <w:lang w:val="en-US"/>
        </w:rPr>
        <w:t>_____________</w:t>
      </w:r>
      <w:bookmarkEnd w:id="18"/>
    </w:p>
    <w:sectPr w:rsidR="00061F17" w:rsidRPr="008A262D" w:rsidSect="00002906">
      <w:headerReference w:type="first" r:id="rId117"/>
      <w:footerReference w:type="first" r:id="rId118"/>
      <w:endnotePr>
        <w:numFmt w:val="decimal"/>
      </w:endnotePr>
      <w:type w:val="oddPage"/>
      <w:pgSz w:w="11907" w:h="16840"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6F2" w:rsidRPr="0034180A" w:rsidRDefault="00EF06F2" w:rsidP="00837668">
      <w:pPr>
        <w:pStyle w:val="Footer"/>
      </w:pPr>
    </w:p>
    <w:p w:rsidR="00EF06F2" w:rsidRDefault="00EF06F2"/>
    <w:p w:rsidR="00EF06F2" w:rsidRDefault="00EF06F2"/>
  </w:endnote>
  <w:endnote w:type="continuationSeparator" w:id="0">
    <w:p w:rsidR="00EF06F2" w:rsidRPr="0034180A" w:rsidRDefault="00EF06F2" w:rsidP="00837668">
      <w:pPr>
        <w:pStyle w:val="Footer"/>
      </w:pPr>
    </w:p>
    <w:p w:rsidR="00EF06F2" w:rsidRDefault="00EF06F2"/>
    <w:p w:rsidR="00EF06F2" w:rsidRDefault="00EF06F2"/>
  </w:endnote>
  <w:endnote w:type="continuationNotice" w:id="1">
    <w:p w:rsidR="00EF06F2" w:rsidRDefault="00EF06F2"/>
    <w:p w:rsidR="00EF06F2" w:rsidRDefault="00EF06F2"/>
    <w:p w:rsidR="00EF06F2" w:rsidRDefault="00EF06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A9D0F78-C950-4FE6-A8EA-5CFD31405C3B}"/>
    <w:embedBold r:id="rId2" w:fontKey="{EA2A51EE-8C88-4D32-88FB-DA08F70F43FB}"/>
    <w:embedItalic r:id="rId3" w:fontKey="{88DD8D7F-707A-443F-8E72-F35214D56B91}"/>
    <w:embedBoldItalic r:id="rId4" w:fontKey="{758189F3-DA3E-4993-820F-1C678EDF7507}"/>
  </w:font>
  <w:font w:name="Arial">
    <w:panose1 w:val="020B0604020202020204"/>
    <w:charset w:val="00"/>
    <w:family w:val="swiss"/>
    <w:pitch w:val="variable"/>
    <w:sig w:usb0="E0002AFF" w:usb1="C0007843" w:usb2="00000009" w:usb3="00000000" w:csb0="000001FF" w:csb1="00000000"/>
  </w:font>
  <w:font w:name="Zurich UBlkEx BT">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New Roman italic">
    <w:panose1 w:val="00000000000000000000"/>
    <w:charset w:val="00"/>
    <w:family w:val="roman"/>
    <w:notTrueType/>
    <w:pitch w:val="default"/>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Myriad Pro">
    <w:panose1 w:val="00000000000000000000"/>
    <w:charset w:val="00"/>
    <w:family w:val="swiss"/>
    <w:notTrueType/>
    <w:pitch w:val="variable"/>
    <w:sig w:usb0="A00002AF" w:usb1="500020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NewRoman,Bold">
    <w:panose1 w:val="00000000000000000000"/>
    <w:charset w:val="00"/>
    <w:family w:val="roman"/>
    <w:notTrueType/>
    <w:pitch w:val="default"/>
    <w:sig w:usb0="00000003" w:usb1="00000000" w:usb2="00000000" w:usb3="00000000" w:csb0="00000001" w:csb1="00000000"/>
  </w:font>
  <w:font w:name="VendettaLight">
    <w:panose1 w:val="00000000000000000000"/>
    <w:charset w:val="00"/>
    <w:family w:val="auto"/>
    <w:notTrueType/>
    <w:pitch w:val="default"/>
    <w:sig w:usb0="00000003" w:usb1="00000000" w:usb2="00000000" w:usb3="00000000" w:csb0="00000001" w:csb1="00000000"/>
  </w:font>
  <w:font w:name="VendettaMediumItalic">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Verdana 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embedItalic r:id="rId5" w:subsetted="1" w:fontKey="{0E05C1B1-9501-4804-9A98-8FAA7159B16E}"/>
  </w:font>
  <w:font w:name="TimesNewRomanPS-Italic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1"/>
    <w:family w:val="roman"/>
    <w:notTrueType/>
    <w:pitch w:val="variable"/>
  </w:font>
  <w:font w:name="TimesNewRoman,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6F2" w:rsidRPr="004D77DC" w:rsidRDefault="00EF06F2" w:rsidP="004D77DC">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6F2" w:rsidRPr="004D77DC" w:rsidRDefault="00EF06F2" w:rsidP="004D77DC">
    <w:pPr>
      <w:pStyle w:val="Footer"/>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2118358"/>
      <w:docPartObj>
        <w:docPartGallery w:val="Page Numbers (Bottom of Page)"/>
        <w:docPartUnique/>
      </w:docPartObj>
    </w:sdtPr>
    <w:sdtEndPr>
      <w:rPr>
        <w:noProof/>
      </w:rPr>
    </w:sdtEndPr>
    <w:sdtContent>
      <w:p w:rsidR="00EF06F2" w:rsidRPr="00002906" w:rsidRDefault="00EF06F2" w:rsidP="00002906">
        <w:pPr>
          <w:pStyle w:val="Footer"/>
        </w:pPr>
        <w:r w:rsidRPr="009E2BB9">
          <w:tab/>
        </w:r>
        <w:r>
          <w:fldChar w:fldCharType="begin"/>
        </w:r>
        <w:r>
          <w:instrText xml:space="preserve"> PAGE </w:instrText>
        </w:r>
        <w:r>
          <w:fldChar w:fldCharType="separate"/>
        </w:r>
        <w:r>
          <w:rPr>
            <w:noProof/>
          </w:rPr>
          <w:t>27</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6F2" w:rsidRDefault="00EF06F2" w:rsidP="008E4040">
    <w:pPr>
      <w:pStyle w:val="Footer"/>
      <w:tabs>
        <w:tab w:val="clear" w:pos="9071"/>
      </w:tabs>
      <w:ind w:left="0" w:right="6803"/>
      <w:jc w:val="left"/>
    </w:pPr>
    <w:r>
      <w:fldChar w:fldCharType="begin"/>
    </w:r>
    <w:r>
      <w:instrText xml:space="preserve"> PAGE </w:instrText>
    </w:r>
    <w:r>
      <w:fldChar w:fldCharType="separate"/>
    </w:r>
    <w:r w:rsidR="00E57763">
      <w:rPr>
        <w:noProof/>
      </w:rPr>
      <w:t>iv</w:t>
    </w:r>
    <w:r>
      <w:rPr>
        <w:noProof/>
      </w:rPr>
      <w:fldChar w:fldCharType="end"/>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356139"/>
      <w:docPartObj>
        <w:docPartGallery w:val="Page Numbers (Bottom of Page)"/>
        <w:docPartUnique/>
      </w:docPartObj>
    </w:sdtPr>
    <w:sdtEndPr>
      <w:rPr>
        <w:noProof/>
      </w:rPr>
    </w:sdtEndPr>
    <w:sdtContent>
      <w:p w:rsidR="00EF06F2" w:rsidRDefault="00EF06F2" w:rsidP="008E4040">
        <w:pPr>
          <w:pStyle w:val="Footer"/>
        </w:pPr>
        <w:r w:rsidRPr="009E2BB9">
          <w:tab/>
        </w:r>
        <w:r>
          <w:fldChar w:fldCharType="begin"/>
        </w:r>
        <w:r>
          <w:instrText xml:space="preserve"> PAGE </w:instrText>
        </w:r>
        <w:r>
          <w:fldChar w:fldCharType="separate"/>
        </w:r>
        <w:r w:rsidR="00E57763">
          <w:rPr>
            <w:noProof/>
          </w:rPr>
          <w:t>iii</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6F2" w:rsidRPr="00002906" w:rsidRDefault="00EF06F2" w:rsidP="00002906">
    <w:pPr>
      <w:pStyle w:val="Footer"/>
      <w:pBdr>
        <w:top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831140"/>
      <w:docPartObj>
        <w:docPartGallery w:val="Page Numbers (Bottom of Page)"/>
        <w:docPartUnique/>
      </w:docPartObj>
    </w:sdtPr>
    <w:sdtEndPr>
      <w:rPr>
        <w:noProof/>
      </w:rPr>
    </w:sdtEndPr>
    <w:sdtContent>
      <w:p w:rsidR="00EF06F2" w:rsidRPr="00002906" w:rsidRDefault="00EF06F2" w:rsidP="00002906">
        <w:pPr>
          <w:pStyle w:val="Footer"/>
        </w:pPr>
        <w:r w:rsidRPr="009E2BB9">
          <w:tab/>
        </w:r>
        <w:r>
          <w:fldChar w:fldCharType="begin"/>
        </w:r>
        <w:r>
          <w:instrText xml:space="preserve"> PAGE </w:instrText>
        </w:r>
        <w:r>
          <w:fldChar w:fldCharType="separate"/>
        </w:r>
        <w:r w:rsidR="00E57763">
          <w:rPr>
            <w:noProof/>
          </w:rPr>
          <w:t>30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6F2" w:rsidRDefault="00EF06F2" w:rsidP="009319E4">
      <w:pPr>
        <w:spacing w:after="120"/>
      </w:pPr>
      <w:r>
        <w:separator/>
      </w:r>
    </w:p>
  </w:footnote>
  <w:footnote w:type="continuationSeparator" w:id="0">
    <w:p w:rsidR="00EF06F2" w:rsidRDefault="00EF06F2">
      <w:r>
        <w:continuationSeparator/>
      </w:r>
    </w:p>
  </w:footnote>
  <w:footnote w:type="continuationNotice" w:id="1">
    <w:p w:rsidR="00EF06F2" w:rsidRPr="00D1373A" w:rsidRDefault="00EF06F2">
      <w:pPr>
        <w:rPr>
          <w:lang w:val="en-US"/>
        </w:rPr>
      </w:pPr>
    </w:p>
  </w:footnote>
  <w:footnote w:id="2">
    <w:p w:rsidR="00EF06F2" w:rsidRPr="001A2258" w:rsidRDefault="00EF06F2" w:rsidP="001B6FDC">
      <w:pPr>
        <w:pStyle w:val="FootnoteText"/>
        <w:rPr>
          <w:lang w:val="ru-RU"/>
        </w:rPr>
      </w:pPr>
      <w:r w:rsidRPr="00AF4436">
        <w:rPr>
          <w:rStyle w:val="FootnoteReference"/>
        </w:rPr>
        <w:footnoteRef/>
      </w:r>
      <w:r w:rsidRPr="001A2258">
        <w:rPr>
          <w:lang w:val="ru-RU"/>
        </w:rPr>
        <w:tab/>
      </w:r>
      <w:r w:rsidRPr="00D3476D">
        <w:rPr>
          <w:lang w:val="ru-RU"/>
        </w:rPr>
        <w:t>Мир в 2011 году: факты и цифры, касающиеся ИКТ, октябрь 2011 года</w:t>
      </w:r>
      <w:r w:rsidRPr="001A2258">
        <w:rPr>
          <w:lang w:val="ru-RU"/>
        </w:rPr>
        <w:t>.</w:t>
      </w:r>
    </w:p>
  </w:footnote>
  <w:footnote w:id="3">
    <w:p w:rsidR="00EF06F2" w:rsidRPr="00D3476D" w:rsidRDefault="00EF06F2" w:rsidP="001B6FDC">
      <w:pPr>
        <w:pStyle w:val="FootnoteText"/>
        <w:rPr>
          <w:lang w:val="ru-RU"/>
        </w:rPr>
      </w:pPr>
      <w:r w:rsidRPr="007F5412">
        <w:rPr>
          <w:rStyle w:val="FootnoteReference"/>
          <w:szCs w:val="18"/>
        </w:rPr>
        <w:footnoteRef/>
      </w:r>
      <w:r w:rsidRPr="006454B4">
        <w:rPr>
          <w:lang w:val="ru-RU"/>
        </w:rPr>
        <w:tab/>
      </w:r>
      <w:r w:rsidRPr="00D3476D">
        <w:rPr>
          <w:lang w:val="ru-RU"/>
        </w:rPr>
        <w:t>Семинар-практикум по вопросам ЭМП, Турин, Италия, 9</w:t>
      </w:r>
      <w:r w:rsidRPr="00DD067F">
        <w:t> </w:t>
      </w:r>
      <w:r w:rsidRPr="00D3476D">
        <w:rPr>
          <w:lang w:val="ru-RU"/>
        </w:rPr>
        <w:t>мая 2013</w:t>
      </w:r>
      <w:r w:rsidRPr="00DD067F">
        <w:t> </w:t>
      </w:r>
      <w:r w:rsidRPr="00D3476D">
        <w:rPr>
          <w:lang w:val="ru-RU"/>
        </w:rPr>
        <w:t xml:space="preserve">года, подробная информация размещена по адресу: </w:t>
      </w:r>
      <w:hyperlink r:id="rId1" w:history="1">
        <w:r w:rsidRPr="00DD067F">
          <w:rPr>
            <w:color w:val="0000E1"/>
            <w:u w:val="single"/>
          </w:rPr>
          <w:t>http</w:t>
        </w:r>
        <w:r w:rsidRPr="00D3476D">
          <w:rPr>
            <w:color w:val="0000E1"/>
            <w:u w:val="single"/>
            <w:lang w:val="ru-RU"/>
          </w:rPr>
          <w:t>://</w:t>
        </w:r>
        <w:r w:rsidRPr="00DD067F">
          <w:rPr>
            <w:color w:val="0000E1"/>
            <w:u w:val="single"/>
          </w:rPr>
          <w:t>www</w:t>
        </w:r>
        <w:r w:rsidRPr="00D3476D">
          <w:rPr>
            <w:color w:val="0000E1"/>
            <w:u w:val="single"/>
            <w:lang w:val="ru-RU"/>
          </w:rPr>
          <w:t>.</w:t>
        </w:r>
        <w:r w:rsidRPr="00DD067F">
          <w:rPr>
            <w:color w:val="0000E1"/>
            <w:u w:val="single"/>
          </w:rPr>
          <w:t>itu</w:t>
        </w:r>
        <w:r w:rsidRPr="00D3476D">
          <w:rPr>
            <w:color w:val="0000E1"/>
            <w:u w:val="single"/>
            <w:lang w:val="ru-RU"/>
          </w:rPr>
          <w:t>.</w:t>
        </w:r>
        <w:r w:rsidRPr="00DD067F">
          <w:rPr>
            <w:color w:val="0000E1"/>
            <w:u w:val="single"/>
          </w:rPr>
          <w:t>int</w:t>
        </w:r>
        <w:r w:rsidRPr="00D3476D">
          <w:rPr>
            <w:color w:val="0000E1"/>
            <w:u w:val="single"/>
            <w:lang w:val="ru-RU"/>
          </w:rPr>
          <w:t>/</w:t>
        </w:r>
        <w:r w:rsidRPr="00DD067F">
          <w:rPr>
            <w:color w:val="0000E1"/>
            <w:u w:val="single"/>
          </w:rPr>
          <w:t>en</w:t>
        </w:r>
        <w:r w:rsidRPr="00D3476D">
          <w:rPr>
            <w:color w:val="0000E1"/>
            <w:u w:val="single"/>
            <w:lang w:val="ru-RU"/>
          </w:rPr>
          <w:t>/</w:t>
        </w:r>
        <w:r w:rsidRPr="00DD067F">
          <w:rPr>
            <w:color w:val="0000E1"/>
            <w:u w:val="single"/>
          </w:rPr>
          <w:t>ITU</w:t>
        </w:r>
        <w:r w:rsidRPr="00D3476D">
          <w:rPr>
            <w:color w:val="0000E1"/>
            <w:u w:val="single"/>
            <w:lang w:val="ru-RU"/>
          </w:rPr>
          <w:t>-</w:t>
        </w:r>
        <w:r w:rsidRPr="00DD067F">
          <w:rPr>
            <w:color w:val="0000E1"/>
            <w:u w:val="single"/>
          </w:rPr>
          <w:t>T</w:t>
        </w:r>
        <w:r w:rsidRPr="00D3476D">
          <w:rPr>
            <w:color w:val="0000E1"/>
            <w:u w:val="single"/>
            <w:lang w:val="ru-RU"/>
          </w:rPr>
          <w:t>/</w:t>
        </w:r>
        <w:r w:rsidRPr="00DD067F">
          <w:rPr>
            <w:color w:val="0000E1"/>
            <w:u w:val="single"/>
          </w:rPr>
          <w:t>climatechange</w:t>
        </w:r>
        <w:r w:rsidRPr="00D3476D">
          <w:rPr>
            <w:color w:val="0000E1"/>
            <w:u w:val="single"/>
            <w:lang w:val="ru-RU"/>
          </w:rPr>
          <w:t>/</w:t>
        </w:r>
        <w:r w:rsidRPr="00DD067F">
          <w:rPr>
            <w:color w:val="0000E1"/>
            <w:u w:val="single"/>
          </w:rPr>
          <w:t>emf</w:t>
        </w:r>
        <w:r w:rsidRPr="00D3476D">
          <w:rPr>
            <w:color w:val="0000E1"/>
            <w:u w:val="single"/>
            <w:lang w:val="ru-RU"/>
          </w:rPr>
          <w:t>-1305/</w:t>
        </w:r>
        <w:r w:rsidRPr="00DD067F">
          <w:rPr>
            <w:color w:val="0000E1"/>
            <w:u w:val="single"/>
          </w:rPr>
          <w:t>Documents</w:t>
        </w:r>
        <w:r w:rsidRPr="00D3476D">
          <w:rPr>
            <w:color w:val="0000E1"/>
            <w:u w:val="single"/>
            <w:lang w:val="ru-RU"/>
          </w:rPr>
          <w:t>/</w:t>
        </w:r>
        <w:r w:rsidRPr="00DD067F">
          <w:rPr>
            <w:color w:val="0000E1"/>
            <w:u w:val="single"/>
          </w:rPr>
          <w:t>Turin</w:t>
        </w:r>
        <w:r w:rsidRPr="00D3476D">
          <w:rPr>
            <w:color w:val="0000E1"/>
            <w:u w:val="single"/>
            <w:lang w:val="ru-RU"/>
          </w:rPr>
          <w:t>-</w:t>
        </w:r>
        <w:r w:rsidRPr="00DD067F">
          <w:rPr>
            <w:color w:val="0000E1"/>
            <w:u w:val="single"/>
          </w:rPr>
          <w:t>Call</w:t>
        </w:r>
        <w:r w:rsidRPr="00D3476D">
          <w:rPr>
            <w:color w:val="0000E1"/>
            <w:u w:val="single"/>
            <w:lang w:val="ru-RU"/>
          </w:rPr>
          <w:t>-</w:t>
        </w:r>
        <w:r w:rsidRPr="00DD067F">
          <w:rPr>
            <w:color w:val="0000E1"/>
            <w:u w:val="single"/>
          </w:rPr>
          <w:t>to</w:t>
        </w:r>
        <w:r w:rsidRPr="00D3476D">
          <w:rPr>
            <w:color w:val="0000E1"/>
            <w:u w:val="single"/>
            <w:lang w:val="ru-RU"/>
          </w:rPr>
          <w:t>-</w:t>
        </w:r>
        <w:r w:rsidRPr="00DD067F">
          <w:rPr>
            <w:color w:val="0000E1"/>
            <w:u w:val="single"/>
          </w:rPr>
          <w:t>Action</w:t>
        </w:r>
        <w:r w:rsidRPr="00D3476D">
          <w:rPr>
            <w:color w:val="0000E1"/>
            <w:u w:val="single"/>
            <w:lang w:val="ru-RU"/>
          </w:rPr>
          <w:t>.</w:t>
        </w:r>
        <w:r w:rsidRPr="00DD067F">
          <w:rPr>
            <w:color w:val="0000E1"/>
            <w:u w:val="single"/>
          </w:rPr>
          <w:t>pdf</w:t>
        </w:r>
      </w:hyperlink>
      <w:r w:rsidRPr="00D3476D">
        <w:rPr>
          <w:color w:val="0000E1"/>
          <w:u w:val="single"/>
          <w:lang w:val="ru-RU"/>
        </w:rPr>
        <w:t>.</w:t>
      </w:r>
      <w:r w:rsidRPr="00D3476D">
        <w:rPr>
          <w:color w:val="0000E1"/>
          <w:lang w:val="ru-RU"/>
        </w:rPr>
        <w:t xml:space="preserve"> </w:t>
      </w:r>
    </w:p>
  </w:footnote>
  <w:footnote w:id="4">
    <w:p w:rsidR="00EF06F2" w:rsidRPr="00D3476D" w:rsidRDefault="00EF06F2" w:rsidP="001B6FDC">
      <w:pPr>
        <w:pStyle w:val="FootnoteText"/>
        <w:rPr>
          <w:lang w:val="ru-RU"/>
        </w:rPr>
      </w:pPr>
      <w:r w:rsidRPr="00AF4436">
        <w:rPr>
          <w:rStyle w:val="FootnoteReference"/>
        </w:rPr>
        <w:footnoteRef/>
      </w:r>
      <w:r w:rsidRPr="00A534F6">
        <w:rPr>
          <w:lang w:val="ru-RU"/>
        </w:rPr>
        <w:tab/>
      </w:r>
      <w:r w:rsidRPr="00D3476D">
        <w:rPr>
          <w:lang w:val="ru-RU"/>
        </w:rPr>
        <w:t>Информационный бюллетень № 193 ВОЗ, Электромагнитные поля и общественное здравоохранение: мобильные телефоны, июнь 2011</w:t>
      </w:r>
      <w:r w:rsidRPr="001B6FDC">
        <w:t> </w:t>
      </w:r>
      <w:r w:rsidRPr="00D3476D">
        <w:rPr>
          <w:lang w:val="ru-RU"/>
        </w:rPr>
        <w:t>года.</w:t>
      </w:r>
    </w:p>
  </w:footnote>
  <w:footnote w:id="5">
    <w:p w:rsidR="00EF06F2" w:rsidRPr="00D3476D" w:rsidRDefault="00EF06F2" w:rsidP="001B6FDC">
      <w:pPr>
        <w:pStyle w:val="FootnoteText"/>
        <w:rPr>
          <w:lang w:val="ru-RU"/>
        </w:rPr>
      </w:pPr>
      <w:r w:rsidRPr="00AF4436">
        <w:rPr>
          <w:rStyle w:val="FootnoteReference"/>
        </w:rPr>
        <w:footnoteRef/>
      </w:r>
      <w:r w:rsidRPr="00A534F6">
        <w:rPr>
          <w:lang w:val="ru-RU"/>
        </w:rPr>
        <w:tab/>
      </w:r>
      <w:r w:rsidRPr="00D3476D">
        <w:rPr>
          <w:lang w:val="ru-RU"/>
        </w:rPr>
        <w:t>Информационный бюллетень № 304 ВОЗ, Базовые станции и беспроводные технологии, май 2006 года.</w:t>
      </w:r>
    </w:p>
  </w:footnote>
  <w:footnote w:id="6">
    <w:p w:rsidR="00EF06F2" w:rsidRPr="008A4889" w:rsidRDefault="00EF06F2" w:rsidP="001B6FDC">
      <w:pPr>
        <w:pStyle w:val="FootnoteText"/>
      </w:pPr>
      <w:r w:rsidRPr="00931782">
        <w:rPr>
          <w:rStyle w:val="FootnoteReference"/>
          <w:szCs w:val="18"/>
        </w:rPr>
        <w:footnoteRef/>
      </w:r>
      <w:r w:rsidRPr="00884F01">
        <w:rPr>
          <w:lang w:val="en-US"/>
        </w:rPr>
        <w:tab/>
      </w:r>
      <w:r w:rsidRPr="00931782">
        <w:t xml:space="preserve">Summary Analysis of the 2012 WHO Survey on Risk </w:t>
      </w:r>
      <w:r w:rsidRPr="00AF4436">
        <w:t>Management</w:t>
      </w:r>
      <w:r w:rsidRPr="00931782">
        <w:t xml:space="preserve"> Policies regarding Radiofrequency Electromagnetic Fie</w:t>
      </w:r>
      <w:r>
        <w:rPr>
          <w:lang w:val="en-US"/>
        </w:rPr>
        <w:t>lds</w:t>
      </w:r>
      <w:r w:rsidRPr="00884F01">
        <w:rPr>
          <w:lang w:val="en-US"/>
        </w:rPr>
        <w:t xml:space="preserve">. </w:t>
      </w:r>
      <w:r>
        <w:rPr>
          <w:lang w:val="ru-RU"/>
        </w:rPr>
        <w:t xml:space="preserve">Справочный документ, представленный для обсуждения на международном семинаре ВОЗ для заинтересованных сторон по вопросам политики в области радиочастот, </w:t>
      </w:r>
      <w:r w:rsidRPr="00264267">
        <w:rPr>
          <w:lang w:val="ru-RU"/>
        </w:rPr>
        <w:t>5</w:t>
      </w:r>
      <w:r>
        <w:rPr>
          <w:lang w:val="ru-RU"/>
        </w:rPr>
        <w:t> июня</w:t>
      </w:r>
      <w:r w:rsidRPr="00264267">
        <w:rPr>
          <w:lang w:val="ru-RU"/>
        </w:rPr>
        <w:t xml:space="preserve"> 2013</w:t>
      </w:r>
      <w:r>
        <w:rPr>
          <w:lang w:val="ru-RU"/>
        </w:rPr>
        <w:t> года</w:t>
      </w:r>
      <w:r w:rsidRPr="00264267">
        <w:rPr>
          <w:lang w:val="ru-RU"/>
        </w:rPr>
        <w:t xml:space="preserve">, </w:t>
      </w:r>
      <w:r>
        <w:rPr>
          <w:lang w:val="ru-RU"/>
        </w:rPr>
        <w:t>Париж</w:t>
      </w:r>
      <w:r w:rsidRPr="00264267">
        <w:rPr>
          <w:lang w:val="ru-RU"/>
        </w:rPr>
        <w:t xml:space="preserve">, </w:t>
      </w:r>
      <w:r>
        <w:rPr>
          <w:lang w:val="ru-RU"/>
        </w:rPr>
        <w:t>Франция</w:t>
      </w:r>
      <w:r w:rsidRPr="00264267">
        <w:rPr>
          <w:lang w:val="ru-RU"/>
        </w:rPr>
        <w:t xml:space="preserve">, </w:t>
      </w:r>
      <w:r>
        <w:rPr>
          <w:lang w:val="ru-RU"/>
        </w:rPr>
        <w:t>май</w:t>
      </w:r>
      <w:r w:rsidRPr="00264267">
        <w:rPr>
          <w:lang w:val="ru-RU"/>
        </w:rPr>
        <w:t xml:space="preserve"> 2013</w:t>
      </w:r>
      <w:r>
        <w:rPr>
          <w:lang w:val="ru-RU"/>
        </w:rPr>
        <w:t> года</w:t>
      </w:r>
      <w:r w:rsidRPr="00264267">
        <w:rPr>
          <w:lang w:val="ru-RU"/>
        </w:rPr>
        <w:t xml:space="preserve">. </w:t>
      </w:r>
      <w:r>
        <w:rPr>
          <w:lang w:val="ru-RU"/>
        </w:rPr>
        <w:t>Авторы</w:t>
      </w:r>
      <w:r w:rsidRPr="00931782">
        <w:t>: Denis Zmirou-Navier, Amit</w:t>
      </w:r>
      <w:r>
        <w:t xml:space="preserve"> </w:t>
      </w:r>
      <w:r w:rsidRPr="008A4889">
        <w:t>Dhungel and Clémence</w:t>
      </w:r>
      <w:r>
        <w:t xml:space="preserve"> </w:t>
      </w:r>
      <w:r w:rsidRPr="008A4889">
        <w:t>Varret, Department of Environmental and Occupational HealthEHESP School of Public HealthRennes, France and Lorraine University Medical School, Nancy, France.</w:t>
      </w:r>
    </w:p>
  </w:footnote>
  <w:footnote w:id="7">
    <w:p w:rsidR="00EF06F2" w:rsidRPr="0035437C" w:rsidRDefault="00EF06F2" w:rsidP="001B6FDC">
      <w:pPr>
        <w:pStyle w:val="FootnoteText"/>
        <w:rPr>
          <w:lang w:val="ru-RU"/>
        </w:rPr>
      </w:pPr>
      <w:r w:rsidRPr="0035437C">
        <w:rPr>
          <w:rStyle w:val="FootnoteReference"/>
        </w:rPr>
        <w:footnoteRef/>
      </w:r>
      <w:r w:rsidRPr="00146FEE">
        <w:rPr>
          <w:lang w:val="ru-RU"/>
        </w:rPr>
        <w:tab/>
      </w:r>
      <w:r>
        <w:t>ALARA</w:t>
      </w:r>
      <w:r w:rsidRPr="00146FEE">
        <w:rPr>
          <w:lang w:val="ru-RU"/>
        </w:rPr>
        <w:t xml:space="preserve"> = </w:t>
      </w:r>
      <w:r w:rsidRPr="0035437C">
        <w:rPr>
          <w:lang w:val="ru-RU"/>
        </w:rPr>
        <w:t>наиболее низкий разумно достижимый уровень.</w:t>
      </w:r>
    </w:p>
  </w:footnote>
  <w:footnote w:id="8">
    <w:p w:rsidR="00EF06F2" w:rsidRPr="00CB47AE" w:rsidRDefault="00EF06F2" w:rsidP="001B6FDC">
      <w:pPr>
        <w:pStyle w:val="FootnoteText"/>
        <w:rPr>
          <w:lang w:val="ru-RU"/>
        </w:rPr>
      </w:pPr>
      <w:r w:rsidRPr="0035437C">
        <w:rPr>
          <w:rStyle w:val="FootnoteReference"/>
          <w:szCs w:val="18"/>
        </w:rPr>
        <w:footnoteRef/>
      </w:r>
      <w:r w:rsidRPr="0035437C">
        <w:rPr>
          <w:lang w:val="ru-RU"/>
        </w:rPr>
        <w:tab/>
        <w:t xml:space="preserve">В заявлении об ограничении ответственности, предваряющем </w:t>
      </w:r>
      <w:r>
        <w:rPr>
          <w:lang w:val="ru-RU"/>
        </w:rPr>
        <w:t>проект</w:t>
      </w:r>
      <w:r w:rsidRPr="00CB47AE">
        <w:rPr>
          <w:lang w:val="ru-RU"/>
        </w:rPr>
        <w:t xml:space="preserve"> </w:t>
      </w:r>
      <w:r>
        <w:rPr>
          <w:lang w:val="ru-RU"/>
        </w:rPr>
        <w:t>доклада,</w:t>
      </w:r>
      <w:r w:rsidRPr="00CB47AE">
        <w:rPr>
          <w:lang w:val="ru-RU"/>
        </w:rPr>
        <w:t xml:space="preserve"> </w:t>
      </w:r>
      <w:r>
        <w:rPr>
          <w:lang w:val="ru-RU"/>
        </w:rPr>
        <w:t>указано, что</w:t>
      </w:r>
      <w:r w:rsidRPr="00CB47AE">
        <w:rPr>
          <w:lang w:val="ru-RU"/>
        </w:rPr>
        <w:t xml:space="preserve"> "</w:t>
      </w:r>
      <w:r>
        <w:rPr>
          <w:lang w:val="ru-RU"/>
        </w:rPr>
        <w:t>информация,</w:t>
      </w:r>
      <w:r w:rsidRPr="00CB47AE">
        <w:rPr>
          <w:lang w:val="ru-RU"/>
        </w:rPr>
        <w:t xml:space="preserve"> </w:t>
      </w:r>
      <w:r>
        <w:rPr>
          <w:lang w:val="ru-RU"/>
        </w:rPr>
        <w:t>содержащаяся</w:t>
      </w:r>
      <w:r w:rsidRPr="00A344A3">
        <w:rPr>
          <w:lang w:val="ru-RU"/>
        </w:rPr>
        <w:t xml:space="preserve"> </w:t>
      </w:r>
      <w:r>
        <w:rPr>
          <w:lang w:val="ru-RU"/>
        </w:rPr>
        <w:t>в</w:t>
      </w:r>
      <w:r w:rsidRPr="00A344A3">
        <w:rPr>
          <w:lang w:val="ru-RU"/>
        </w:rPr>
        <w:t xml:space="preserve"> </w:t>
      </w:r>
      <w:r>
        <w:rPr>
          <w:lang w:val="ru-RU"/>
        </w:rPr>
        <w:t>проекте</w:t>
      </w:r>
      <w:r w:rsidRPr="00A344A3">
        <w:rPr>
          <w:lang w:val="ru-RU"/>
        </w:rPr>
        <w:t xml:space="preserve"> </w:t>
      </w:r>
      <w:r>
        <w:rPr>
          <w:lang w:val="ru-RU"/>
        </w:rPr>
        <w:t>настоящего</w:t>
      </w:r>
      <w:r w:rsidRPr="00A344A3">
        <w:rPr>
          <w:lang w:val="ru-RU"/>
        </w:rPr>
        <w:t xml:space="preserve"> </w:t>
      </w:r>
      <w:r>
        <w:rPr>
          <w:lang w:val="ru-RU"/>
        </w:rPr>
        <w:t>доклада,</w:t>
      </w:r>
      <w:r w:rsidRPr="00A344A3">
        <w:rPr>
          <w:lang w:val="ru-RU"/>
        </w:rPr>
        <w:t xml:space="preserve"> </w:t>
      </w:r>
      <w:r>
        <w:rPr>
          <w:lang w:val="ru-RU"/>
        </w:rPr>
        <w:t>основана</w:t>
      </w:r>
      <w:r w:rsidRPr="00A344A3">
        <w:rPr>
          <w:lang w:val="ru-RU"/>
        </w:rPr>
        <w:t xml:space="preserve"> </w:t>
      </w:r>
      <w:r>
        <w:rPr>
          <w:lang w:val="ru-RU"/>
        </w:rPr>
        <w:t>на</w:t>
      </w:r>
      <w:r w:rsidRPr="00A344A3">
        <w:rPr>
          <w:lang w:val="ru-RU"/>
        </w:rPr>
        <w:t xml:space="preserve"> </w:t>
      </w:r>
      <w:r>
        <w:rPr>
          <w:lang w:val="ru-RU"/>
        </w:rPr>
        <w:t>ответах</w:t>
      </w:r>
      <w:r w:rsidRPr="00A344A3">
        <w:rPr>
          <w:lang w:val="ru-RU"/>
        </w:rPr>
        <w:t xml:space="preserve">, </w:t>
      </w:r>
      <w:r>
        <w:rPr>
          <w:lang w:val="ru-RU"/>
        </w:rPr>
        <w:t>представленных</w:t>
      </w:r>
      <w:r w:rsidRPr="00A344A3">
        <w:rPr>
          <w:lang w:val="ru-RU"/>
        </w:rPr>
        <w:t xml:space="preserve"> </w:t>
      </w:r>
      <w:r>
        <w:rPr>
          <w:lang w:val="ru-RU"/>
        </w:rPr>
        <w:t>в</w:t>
      </w:r>
      <w:r w:rsidRPr="00A344A3">
        <w:rPr>
          <w:lang w:val="ru-RU"/>
        </w:rPr>
        <w:t xml:space="preserve"> </w:t>
      </w:r>
      <w:r>
        <w:rPr>
          <w:lang w:val="ru-RU"/>
        </w:rPr>
        <w:t>рамках</w:t>
      </w:r>
      <w:r w:rsidRPr="00A344A3">
        <w:rPr>
          <w:lang w:val="ru-RU"/>
        </w:rPr>
        <w:t xml:space="preserve"> </w:t>
      </w:r>
      <w:r>
        <w:rPr>
          <w:lang w:val="ru-RU"/>
        </w:rPr>
        <w:t>международного</w:t>
      </w:r>
      <w:r w:rsidRPr="00A344A3">
        <w:rPr>
          <w:lang w:val="ru-RU"/>
        </w:rPr>
        <w:t xml:space="preserve"> </w:t>
      </w:r>
      <w:r>
        <w:rPr>
          <w:lang w:val="ru-RU"/>
        </w:rPr>
        <w:t>обследования</w:t>
      </w:r>
      <w:r w:rsidRPr="00A344A3">
        <w:rPr>
          <w:lang w:val="ru-RU"/>
        </w:rPr>
        <w:t xml:space="preserve">, </w:t>
      </w:r>
      <w:r>
        <w:rPr>
          <w:lang w:val="ru-RU"/>
        </w:rPr>
        <w:t>проведенного</w:t>
      </w:r>
      <w:r w:rsidRPr="00A344A3">
        <w:rPr>
          <w:lang w:val="ru-RU"/>
        </w:rPr>
        <w:t xml:space="preserve"> </w:t>
      </w:r>
      <w:r>
        <w:rPr>
          <w:lang w:val="ru-RU"/>
        </w:rPr>
        <w:t>в</w:t>
      </w:r>
      <w:r w:rsidRPr="00A344A3">
        <w:rPr>
          <w:lang w:val="ru-RU"/>
        </w:rPr>
        <w:t xml:space="preserve"> 2012</w:t>
      </w:r>
      <w:r w:rsidRPr="00A344A3">
        <w:rPr>
          <w:lang w:val="en-US"/>
        </w:rPr>
        <w:t> </w:t>
      </w:r>
      <w:r>
        <w:rPr>
          <w:lang w:val="ru-RU"/>
        </w:rPr>
        <w:t>году</w:t>
      </w:r>
      <w:r w:rsidRPr="00A344A3">
        <w:rPr>
          <w:lang w:val="ru-RU"/>
        </w:rPr>
        <w:t xml:space="preserve">; </w:t>
      </w:r>
      <w:r>
        <w:rPr>
          <w:lang w:val="ru-RU"/>
        </w:rPr>
        <w:t>эта информация подлежит проверке. Материал распространяется</w:t>
      </w:r>
      <w:r w:rsidRPr="00CB47AE">
        <w:rPr>
          <w:rFonts w:eastAsia="SimHei" w:cs="Times New Roman"/>
          <w:bCs/>
          <w:szCs w:val="28"/>
          <w:lang w:val="ru-RU" w:eastAsia="zh-CN"/>
        </w:rPr>
        <w:t xml:space="preserve"> </w:t>
      </w:r>
      <w:r w:rsidRPr="00CB47AE">
        <w:rPr>
          <w:bCs/>
          <w:lang w:val="ru-RU"/>
        </w:rPr>
        <w:t>без какой-либо четко выраженной или подразумеваемой гарантии.</w:t>
      </w:r>
      <w:r w:rsidRPr="00CB47AE">
        <w:rPr>
          <w:rFonts w:eastAsia="SimHei" w:cs="Times New Roman"/>
          <w:bCs/>
          <w:szCs w:val="28"/>
          <w:lang w:val="ru-RU" w:eastAsia="zh-CN"/>
        </w:rPr>
        <w:t xml:space="preserve"> </w:t>
      </w:r>
      <w:r w:rsidRPr="00CB47AE">
        <w:rPr>
          <w:bCs/>
          <w:lang w:val="ru-RU"/>
        </w:rPr>
        <w:t>Ответственность за интерпретацию и использование мате</w:t>
      </w:r>
      <w:r>
        <w:rPr>
          <w:bCs/>
          <w:lang w:val="ru-RU"/>
        </w:rPr>
        <w:t>риалов ложится на пользователей".</w:t>
      </w:r>
    </w:p>
  </w:footnote>
  <w:footnote w:id="9">
    <w:p w:rsidR="00EF06F2" w:rsidRPr="0065646E" w:rsidRDefault="00EF06F2" w:rsidP="001B6FDC">
      <w:pPr>
        <w:pStyle w:val="FootnoteText"/>
        <w:rPr>
          <w:lang w:val="ru-RU"/>
        </w:rPr>
      </w:pPr>
      <w:r w:rsidRPr="00F453D0">
        <w:rPr>
          <w:rStyle w:val="FootnoteReference"/>
          <w:szCs w:val="18"/>
        </w:rPr>
        <w:footnoteRef/>
      </w:r>
      <w:r w:rsidRPr="006F1C9D">
        <w:rPr>
          <w:lang w:val="ru-RU"/>
        </w:rPr>
        <w:tab/>
      </w:r>
      <w:r>
        <w:rPr>
          <w:lang w:val="ru-RU"/>
        </w:rPr>
        <w:t>ФКС</w:t>
      </w:r>
      <w:r w:rsidRPr="006F1C9D">
        <w:rPr>
          <w:lang w:val="ru-RU"/>
        </w:rPr>
        <w:t xml:space="preserve"> = </w:t>
      </w:r>
      <w:r>
        <w:rPr>
          <w:lang w:val="ru-RU"/>
        </w:rPr>
        <w:t>Федеральная</w:t>
      </w:r>
      <w:r w:rsidRPr="006F1C9D">
        <w:rPr>
          <w:lang w:val="ru-RU"/>
        </w:rPr>
        <w:t xml:space="preserve"> </w:t>
      </w:r>
      <w:r>
        <w:rPr>
          <w:lang w:val="ru-RU"/>
        </w:rPr>
        <w:t>комиссия</w:t>
      </w:r>
      <w:r w:rsidRPr="006F1C9D">
        <w:rPr>
          <w:lang w:val="ru-RU"/>
        </w:rPr>
        <w:t xml:space="preserve"> </w:t>
      </w:r>
      <w:r>
        <w:rPr>
          <w:lang w:val="ru-RU"/>
        </w:rPr>
        <w:t>по</w:t>
      </w:r>
      <w:r w:rsidRPr="006F1C9D">
        <w:rPr>
          <w:lang w:val="ru-RU"/>
        </w:rPr>
        <w:t xml:space="preserve"> </w:t>
      </w:r>
      <w:r>
        <w:rPr>
          <w:lang w:val="ru-RU"/>
        </w:rPr>
        <w:t>связи.</w:t>
      </w:r>
    </w:p>
  </w:footnote>
  <w:footnote w:id="10">
    <w:p w:rsidR="00EF06F2" w:rsidRPr="008920E3" w:rsidDel="002B4D3F" w:rsidRDefault="00EF06F2" w:rsidP="001B6FDC">
      <w:pPr>
        <w:pStyle w:val="FootnoteText"/>
        <w:rPr>
          <w:szCs w:val="18"/>
          <w:lang w:val="ru-RU"/>
        </w:rPr>
      </w:pPr>
      <w:r w:rsidRPr="00F453D0">
        <w:rPr>
          <w:rStyle w:val="FootnoteReference"/>
          <w:szCs w:val="18"/>
        </w:rPr>
        <w:footnoteRef/>
      </w:r>
      <w:r w:rsidRPr="006F1C9D">
        <w:rPr>
          <w:lang w:val="ru-RU"/>
        </w:rPr>
        <w:tab/>
      </w:r>
      <w:r>
        <w:rPr>
          <w:lang w:val="ru-RU"/>
        </w:rPr>
        <w:t>Электромагнитные поля и общественное здравоохранение</w:t>
      </w:r>
      <w:r w:rsidRPr="006F1C9D">
        <w:rPr>
          <w:lang w:val="ru-RU"/>
        </w:rPr>
        <w:t xml:space="preserve">: </w:t>
      </w:r>
      <w:r>
        <w:rPr>
          <w:lang w:val="ru-RU"/>
        </w:rPr>
        <w:t>стратегии на основе предосторожности</w:t>
      </w:r>
      <w:r w:rsidRPr="006F1C9D">
        <w:rPr>
          <w:lang w:val="ru-RU"/>
        </w:rPr>
        <w:t xml:space="preserve"> (</w:t>
      </w:r>
      <w:r w:rsidRPr="00F453D0">
        <w:t>WHO</w:t>
      </w:r>
      <w:r w:rsidRPr="006F1C9D">
        <w:rPr>
          <w:lang w:val="ru-RU"/>
        </w:rPr>
        <w:t xml:space="preserve"> </w:t>
      </w:r>
      <w:r w:rsidRPr="00F453D0">
        <w:t>Backgrounder</w:t>
      </w:r>
      <w:r w:rsidRPr="00AF4436">
        <w:rPr>
          <w:szCs w:val="16"/>
          <w:lang w:val="ru-RU"/>
        </w:rPr>
        <w:t xml:space="preserve">, </w:t>
      </w:r>
      <w:r w:rsidRPr="00AF4436">
        <w:rPr>
          <w:szCs w:val="16"/>
        </w:rPr>
        <w:t>March</w:t>
      </w:r>
      <w:r w:rsidRPr="00AF4436">
        <w:rPr>
          <w:szCs w:val="16"/>
          <w:lang w:val="ru-RU"/>
        </w:rPr>
        <w:t xml:space="preserve"> 2000), доступно по адресу: </w:t>
      </w:r>
      <w:hyperlink r:id="rId2" w:history="1">
        <w:r w:rsidRPr="008920E3">
          <w:rPr>
            <w:rStyle w:val="Hyperlink"/>
            <w:szCs w:val="18"/>
          </w:rPr>
          <w:t>http</w:t>
        </w:r>
        <w:r w:rsidRPr="008920E3">
          <w:rPr>
            <w:rStyle w:val="Hyperlink"/>
            <w:szCs w:val="18"/>
            <w:lang w:val="ru-RU"/>
          </w:rPr>
          <w:t>://</w:t>
        </w:r>
        <w:r w:rsidRPr="008920E3">
          <w:rPr>
            <w:rStyle w:val="Hyperlink"/>
            <w:szCs w:val="18"/>
          </w:rPr>
          <w:t>www</w:t>
        </w:r>
        <w:r w:rsidRPr="008920E3">
          <w:rPr>
            <w:rStyle w:val="Hyperlink"/>
            <w:szCs w:val="18"/>
            <w:lang w:val="ru-RU"/>
          </w:rPr>
          <w:t>.</w:t>
        </w:r>
        <w:r w:rsidRPr="008920E3">
          <w:rPr>
            <w:rStyle w:val="Hyperlink"/>
            <w:szCs w:val="18"/>
          </w:rPr>
          <w:t>who</w:t>
        </w:r>
        <w:r w:rsidRPr="008920E3">
          <w:rPr>
            <w:rStyle w:val="Hyperlink"/>
            <w:szCs w:val="18"/>
            <w:lang w:val="ru-RU"/>
          </w:rPr>
          <w:t>.</w:t>
        </w:r>
        <w:r w:rsidRPr="008920E3">
          <w:rPr>
            <w:rStyle w:val="Hyperlink"/>
            <w:szCs w:val="18"/>
          </w:rPr>
          <w:t>int</w:t>
        </w:r>
        <w:r w:rsidRPr="008920E3">
          <w:rPr>
            <w:rStyle w:val="Hyperlink"/>
            <w:szCs w:val="18"/>
            <w:lang w:val="ru-RU"/>
          </w:rPr>
          <w:t>/</w:t>
        </w:r>
        <w:r w:rsidRPr="008920E3">
          <w:rPr>
            <w:rStyle w:val="Hyperlink"/>
            <w:szCs w:val="18"/>
          </w:rPr>
          <w:t>docstore</w:t>
        </w:r>
        <w:r w:rsidRPr="008920E3">
          <w:rPr>
            <w:rStyle w:val="Hyperlink"/>
            <w:szCs w:val="18"/>
            <w:lang w:val="ru-RU"/>
          </w:rPr>
          <w:t>/</w:t>
        </w:r>
        <w:r w:rsidRPr="008920E3">
          <w:rPr>
            <w:rStyle w:val="Hyperlink"/>
            <w:szCs w:val="18"/>
          </w:rPr>
          <w:t>peh</w:t>
        </w:r>
        <w:r w:rsidRPr="008920E3">
          <w:rPr>
            <w:rStyle w:val="Hyperlink"/>
            <w:szCs w:val="18"/>
            <w:lang w:val="ru-RU"/>
          </w:rPr>
          <w:t>-</w:t>
        </w:r>
        <w:r w:rsidRPr="008920E3">
          <w:rPr>
            <w:rStyle w:val="Hyperlink"/>
            <w:szCs w:val="18"/>
          </w:rPr>
          <w:t>emf</w:t>
        </w:r>
        <w:r w:rsidRPr="008920E3">
          <w:rPr>
            <w:rStyle w:val="Hyperlink"/>
            <w:szCs w:val="18"/>
            <w:lang w:val="ru-RU"/>
          </w:rPr>
          <w:t>/</w:t>
        </w:r>
        <w:r w:rsidRPr="008920E3">
          <w:rPr>
            <w:rStyle w:val="Hyperlink"/>
            <w:szCs w:val="18"/>
          </w:rPr>
          <w:t>publications</w:t>
        </w:r>
        <w:r w:rsidRPr="008920E3">
          <w:rPr>
            <w:rStyle w:val="Hyperlink"/>
            <w:szCs w:val="18"/>
            <w:lang w:val="ru-RU"/>
          </w:rPr>
          <w:t>/</w:t>
        </w:r>
        <w:r w:rsidRPr="008920E3">
          <w:rPr>
            <w:rStyle w:val="Hyperlink"/>
            <w:szCs w:val="18"/>
          </w:rPr>
          <w:t>facts</w:t>
        </w:r>
        <w:r w:rsidRPr="008920E3">
          <w:rPr>
            <w:rStyle w:val="Hyperlink"/>
            <w:szCs w:val="18"/>
            <w:lang w:val="ru-RU"/>
          </w:rPr>
          <w:t>_</w:t>
        </w:r>
        <w:r w:rsidRPr="008920E3">
          <w:rPr>
            <w:rStyle w:val="Hyperlink"/>
            <w:szCs w:val="18"/>
          </w:rPr>
          <w:t>press</w:t>
        </w:r>
        <w:r w:rsidRPr="008920E3">
          <w:rPr>
            <w:rStyle w:val="Hyperlink"/>
            <w:szCs w:val="18"/>
            <w:lang w:val="ru-RU"/>
          </w:rPr>
          <w:t>/</w:t>
        </w:r>
        <w:r w:rsidRPr="008920E3">
          <w:rPr>
            <w:rStyle w:val="Hyperlink"/>
            <w:szCs w:val="18"/>
          </w:rPr>
          <w:t>EMF</w:t>
        </w:r>
        <w:r w:rsidRPr="008920E3">
          <w:rPr>
            <w:rStyle w:val="Hyperlink"/>
            <w:szCs w:val="18"/>
            <w:lang w:val="ru-RU"/>
          </w:rPr>
          <w:t>-</w:t>
        </w:r>
        <w:r w:rsidRPr="008920E3">
          <w:rPr>
            <w:rStyle w:val="Hyperlink"/>
            <w:szCs w:val="18"/>
          </w:rPr>
          <w:t>Precaution</w:t>
        </w:r>
        <w:r w:rsidRPr="008920E3">
          <w:rPr>
            <w:rStyle w:val="Hyperlink"/>
            <w:szCs w:val="18"/>
            <w:lang w:val="ru-RU"/>
          </w:rPr>
          <w:t>.</w:t>
        </w:r>
        <w:r w:rsidRPr="008920E3">
          <w:rPr>
            <w:rStyle w:val="Hyperlink"/>
            <w:szCs w:val="18"/>
          </w:rPr>
          <w:t>htm</w:t>
        </w:r>
      </w:hyperlink>
      <w:r w:rsidRPr="008920E3">
        <w:rPr>
          <w:szCs w:val="18"/>
          <w:lang w:val="ru-RU"/>
        </w:rPr>
        <w:t>.</w:t>
      </w:r>
    </w:p>
  </w:footnote>
  <w:footnote w:id="11">
    <w:p w:rsidR="00EF06F2" w:rsidRPr="00D3476D" w:rsidRDefault="00EF06F2" w:rsidP="00D3476D">
      <w:pPr>
        <w:pStyle w:val="FootnoteText"/>
        <w:rPr>
          <w:spacing w:val="-4"/>
          <w:szCs w:val="18"/>
          <w:lang w:val="ru-RU"/>
        </w:rPr>
      </w:pPr>
      <w:r w:rsidRPr="00AF4436">
        <w:rPr>
          <w:rStyle w:val="FootnoteReference"/>
        </w:rPr>
        <w:footnoteRef/>
      </w:r>
      <w:r w:rsidRPr="0035437C">
        <w:rPr>
          <w:szCs w:val="18"/>
          <w:lang w:val="ru-RU"/>
        </w:rPr>
        <w:tab/>
      </w:r>
      <w:hyperlink r:id="rId3" w:history="1">
        <w:r w:rsidRPr="00443018">
          <w:rPr>
            <w:rStyle w:val="Hyperlink"/>
            <w:spacing w:val="-4"/>
            <w:szCs w:val="18"/>
          </w:rPr>
          <w:t>http</w:t>
        </w:r>
        <w:r w:rsidRPr="00443018">
          <w:rPr>
            <w:rStyle w:val="Hyperlink"/>
            <w:spacing w:val="-4"/>
            <w:szCs w:val="18"/>
            <w:lang w:val="ru-RU"/>
          </w:rPr>
          <w:t>://</w:t>
        </w:r>
        <w:r w:rsidRPr="00443018">
          <w:rPr>
            <w:rStyle w:val="Hyperlink"/>
            <w:spacing w:val="-4"/>
            <w:szCs w:val="18"/>
          </w:rPr>
          <w:t>www</w:t>
        </w:r>
        <w:r w:rsidRPr="00443018">
          <w:rPr>
            <w:rStyle w:val="Hyperlink"/>
            <w:spacing w:val="-4"/>
            <w:szCs w:val="18"/>
            <w:lang w:val="ru-RU"/>
          </w:rPr>
          <w:t>.</w:t>
        </w:r>
        <w:r w:rsidRPr="00443018">
          <w:rPr>
            <w:rStyle w:val="Hyperlink"/>
            <w:spacing w:val="-4"/>
            <w:szCs w:val="18"/>
          </w:rPr>
          <w:t>sviva</w:t>
        </w:r>
        <w:r w:rsidRPr="00443018">
          <w:rPr>
            <w:rStyle w:val="Hyperlink"/>
            <w:spacing w:val="-4"/>
            <w:szCs w:val="18"/>
            <w:lang w:val="ru-RU"/>
          </w:rPr>
          <w:t>.</w:t>
        </w:r>
        <w:r w:rsidRPr="00443018">
          <w:rPr>
            <w:rStyle w:val="Hyperlink"/>
            <w:spacing w:val="-4"/>
            <w:szCs w:val="18"/>
          </w:rPr>
          <w:t>gov</w:t>
        </w:r>
        <w:r w:rsidRPr="00443018">
          <w:rPr>
            <w:rStyle w:val="Hyperlink"/>
            <w:spacing w:val="-4"/>
            <w:szCs w:val="18"/>
            <w:lang w:val="ru-RU"/>
          </w:rPr>
          <w:t>.</w:t>
        </w:r>
        <w:r w:rsidRPr="00443018">
          <w:rPr>
            <w:rStyle w:val="Hyperlink"/>
            <w:spacing w:val="-4"/>
            <w:szCs w:val="18"/>
          </w:rPr>
          <w:t>il</w:t>
        </w:r>
        <w:r w:rsidRPr="00443018">
          <w:rPr>
            <w:rStyle w:val="Hyperlink"/>
            <w:spacing w:val="-4"/>
            <w:szCs w:val="18"/>
            <w:lang w:val="ru-RU"/>
          </w:rPr>
          <w:t>/</w:t>
        </w:r>
        <w:r w:rsidRPr="00443018">
          <w:rPr>
            <w:rStyle w:val="Hyperlink"/>
            <w:spacing w:val="-4"/>
            <w:szCs w:val="18"/>
          </w:rPr>
          <w:t>subjectsEnv</w:t>
        </w:r>
        <w:r w:rsidRPr="00443018">
          <w:rPr>
            <w:rStyle w:val="Hyperlink"/>
            <w:spacing w:val="-4"/>
            <w:szCs w:val="18"/>
            <w:lang w:val="ru-RU"/>
          </w:rPr>
          <w:t>/</w:t>
        </w:r>
        <w:r w:rsidRPr="00443018">
          <w:rPr>
            <w:rStyle w:val="Hyperlink"/>
            <w:spacing w:val="-4"/>
            <w:szCs w:val="18"/>
          </w:rPr>
          <w:t>Radiation</w:t>
        </w:r>
        <w:r w:rsidRPr="00443018">
          <w:rPr>
            <w:rStyle w:val="Hyperlink"/>
            <w:spacing w:val="-4"/>
            <w:szCs w:val="18"/>
            <w:lang w:val="ru-RU"/>
          </w:rPr>
          <w:t>/</w:t>
        </w:r>
        <w:r w:rsidRPr="00443018">
          <w:rPr>
            <w:rStyle w:val="Hyperlink"/>
            <w:spacing w:val="-4"/>
            <w:szCs w:val="18"/>
          </w:rPr>
          <w:t>Communication</w:t>
        </w:r>
        <w:r w:rsidRPr="00443018">
          <w:rPr>
            <w:rStyle w:val="Hyperlink"/>
            <w:spacing w:val="-4"/>
            <w:szCs w:val="18"/>
            <w:lang w:val="ru-RU"/>
          </w:rPr>
          <w:t>_</w:t>
        </w:r>
        <w:r w:rsidRPr="00443018">
          <w:rPr>
            <w:rStyle w:val="Hyperlink"/>
            <w:spacing w:val="-4"/>
            <w:szCs w:val="18"/>
          </w:rPr>
          <w:t>Facilities</w:t>
        </w:r>
        <w:r w:rsidRPr="00443018">
          <w:rPr>
            <w:rStyle w:val="Hyperlink"/>
            <w:spacing w:val="-4"/>
            <w:szCs w:val="18"/>
            <w:lang w:val="ru-RU"/>
          </w:rPr>
          <w:t>/</w:t>
        </w:r>
        <w:r w:rsidRPr="00443018">
          <w:rPr>
            <w:rStyle w:val="Hyperlink"/>
            <w:spacing w:val="-4"/>
            <w:szCs w:val="18"/>
          </w:rPr>
          <w:t>cellular</w:t>
        </w:r>
        <w:r w:rsidRPr="00443018">
          <w:rPr>
            <w:rStyle w:val="Hyperlink"/>
            <w:spacing w:val="-4"/>
            <w:szCs w:val="18"/>
            <w:lang w:val="ru-RU"/>
          </w:rPr>
          <w:t>/</w:t>
        </w:r>
        <w:r w:rsidRPr="00443018">
          <w:rPr>
            <w:rStyle w:val="Hyperlink"/>
            <w:spacing w:val="-4"/>
            <w:szCs w:val="18"/>
          </w:rPr>
          <w:t>Documents</w:t>
        </w:r>
        <w:r w:rsidRPr="00443018">
          <w:rPr>
            <w:rStyle w:val="Hyperlink"/>
            <w:spacing w:val="-4"/>
            <w:szCs w:val="18"/>
            <w:lang w:val="ru-RU"/>
          </w:rPr>
          <w:t>/</w:t>
        </w:r>
        <w:r w:rsidRPr="00443018">
          <w:rPr>
            <w:rStyle w:val="Hyperlink"/>
            <w:spacing w:val="-4"/>
            <w:szCs w:val="18"/>
          </w:rPr>
          <w:t>shidur</w:t>
        </w:r>
        <w:r w:rsidRPr="00443018">
          <w:rPr>
            <w:rStyle w:val="Hyperlink"/>
            <w:spacing w:val="-4"/>
            <w:szCs w:val="18"/>
            <w:lang w:val="ru-RU"/>
          </w:rPr>
          <w:t>_</w:t>
        </w:r>
        <w:r w:rsidRPr="00443018">
          <w:rPr>
            <w:rStyle w:val="Hyperlink"/>
            <w:spacing w:val="-4"/>
            <w:szCs w:val="18"/>
          </w:rPr>
          <w:t>selulariim</w:t>
        </w:r>
        <w:r w:rsidRPr="00443018">
          <w:rPr>
            <w:rStyle w:val="Hyperlink"/>
            <w:spacing w:val="-4"/>
            <w:szCs w:val="18"/>
            <w:lang w:val="ru-RU"/>
          </w:rPr>
          <w:t>_</w:t>
        </w:r>
        <w:r w:rsidRPr="00443018">
          <w:rPr>
            <w:rStyle w:val="Hyperlink"/>
            <w:spacing w:val="-4"/>
            <w:szCs w:val="18"/>
          </w:rPr>
          <w:t>peilim</w:t>
        </w:r>
        <w:r w:rsidRPr="00443018">
          <w:rPr>
            <w:rStyle w:val="Hyperlink"/>
            <w:spacing w:val="-4"/>
            <w:szCs w:val="18"/>
            <w:lang w:val="ru-RU"/>
          </w:rPr>
          <w:t>_1.</w:t>
        </w:r>
        <w:r w:rsidRPr="00443018">
          <w:rPr>
            <w:rStyle w:val="Hyperlink"/>
            <w:spacing w:val="-4"/>
            <w:szCs w:val="18"/>
          </w:rPr>
          <w:t>xls</w:t>
        </w:r>
      </w:hyperlink>
      <w:r w:rsidRPr="00D3476D">
        <w:rPr>
          <w:spacing w:val="-4"/>
          <w:szCs w:val="18"/>
          <w:lang w:val="ru-RU"/>
        </w:rPr>
        <w:t>.</w:t>
      </w:r>
    </w:p>
  </w:footnote>
  <w:footnote w:id="12">
    <w:p w:rsidR="00EF06F2" w:rsidRPr="008920E3" w:rsidRDefault="00EF06F2" w:rsidP="004D64A1">
      <w:pPr>
        <w:pStyle w:val="FootnoteText"/>
        <w:spacing w:before="40"/>
        <w:rPr>
          <w:szCs w:val="18"/>
          <w:lang w:val="ru-RU"/>
        </w:rPr>
      </w:pPr>
      <w:r w:rsidRPr="007F5412">
        <w:rPr>
          <w:rStyle w:val="FootnoteReference"/>
          <w:szCs w:val="18"/>
        </w:rPr>
        <w:footnoteRef/>
      </w:r>
      <w:r w:rsidRPr="00A70B7E">
        <w:rPr>
          <w:lang w:val="ru-RU"/>
        </w:rPr>
        <w:tab/>
      </w:r>
      <w:r w:rsidRPr="00AF4436">
        <w:rPr>
          <w:szCs w:val="16"/>
        </w:rPr>
        <w:t>a</w:t>
      </w:r>
      <w:r w:rsidRPr="00AF4436">
        <w:rPr>
          <w:szCs w:val="16"/>
          <w:lang w:val="ru-RU"/>
        </w:rPr>
        <w:t>)</w:t>
      </w:r>
      <w:r w:rsidRPr="00AF4436">
        <w:rPr>
          <w:szCs w:val="16"/>
          <w:lang w:val="ru-RU"/>
        </w:rPr>
        <w:tab/>
        <w:t xml:space="preserve">Введение в ЭМП, доступно по адресу: </w:t>
      </w:r>
      <w:hyperlink r:id="rId4" w:history="1">
        <w:r w:rsidRPr="008920E3">
          <w:rPr>
            <w:rStyle w:val="Hyperlink"/>
            <w:szCs w:val="18"/>
          </w:rPr>
          <w:t>http</w:t>
        </w:r>
        <w:r w:rsidRPr="008920E3">
          <w:rPr>
            <w:rStyle w:val="Hyperlink"/>
            <w:szCs w:val="18"/>
            <w:lang w:val="ru-RU"/>
          </w:rPr>
          <w:t>://</w:t>
        </w:r>
        <w:r w:rsidRPr="008920E3">
          <w:rPr>
            <w:rStyle w:val="Hyperlink"/>
            <w:szCs w:val="18"/>
          </w:rPr>
          <w:t>www</w:t>
        </w:r>
        <w:r w:rsidRPr="008920E3">
          <w:rPr>
            <w:rStyle w:val="Hyperlink"/>
            <w:szCs w:val="18"/>
            <w:lang w:val="ru-RU"/>
          </w:rPr>
          <w:t>.</w:t>
        </w:r>
        <w:r w:rsidRPr="008920E3">
          <w:rPr>
            <w:rStyle w:val="Hyperlink"/>
            <w:szCs w:val="18"/>
          </w:rPr>
          <w:t>dot</w:t>
        </w:r>
        <w:r w:rsidRPr="008920E3">
          <w:rPr>
            <w:rStyle w:val="Hyperlink"/>
            <w:szCs w:val="18"/>
            <w:lang w:val="ru-RU"/>
          </w:rPr>
          <w:t>.</w:t>
        </w:r>
        <w:r w:rsidRPr="008920E3">
          <w:rPr>
            <w:rStyle w:val="Hyperlink"/>
            <w:szCs w:val="18"/>
          </w:rPr>
          <w:t>gov</w:t>
        </w:r>
        <w:r w:rsidRPr="008920E3">
          <w:rPr>
            <w:rStyle w:val="Hyperlink"/>
            <w:szCs w:val="18"/>
            <w:lang w:val="ru-RU"/>
          </w:rPr>
          <w:t>.</w:t>
        </w:r>
        <w:r w:rsidRPr="008920E3">
          <w:rPr>
            <w:rStyle w:val="Hyperlink"/>
            <w:szCs w:val="18"/>
          </w:rPr>
          <w:t>in</w:t>
        </w:r>
        <w:r w:rsidRPr="008920E3">
          <w:rPr>
            <w:rStyle w:val="Hyperlink"/>
            <w:szCs w:val="18"/>
            <w:lang w:val="ru-RU"/>
          </w:rPr>
          <w:t>/</w:t>
        </w:r>
        <w:r w:rsidRPr="008920E3">
          <w:rPr>
            <w:rStyle w:val="Hyperlink"/>
            <w:szCs w:val="18"/>
          </w:rPr>
          <w:t>access</w:t>
        </w:r>
        <w:r w:rsidRPr="008920E3">
          <w:rPr>
            <w:rStyle w:val="Hyperlink"/>
            <w:szCs w:val="18"/>
            <w:lang w:val="ru-RU"/>
          </w:rPr>
          <w:t>-</w:t>
        </w:r>
        <w:r w:rsidRPr="008920E3">
          <w:rPr>
            <w:rStyle w:val="Hyperlink"/>
            <w:szCs w:val="18"/>
          </w:rPr>
          <w:t>services</w:t>
        </w:r>
        <w:r w:rsidRPr="008920E3">
          <w:rPr>
            <w:rStyle w:val="Hyperlink"/>
            <w:szCs w:val="18"/>
            <w:lang w:val="ru-RU"/>
          </w:rPr>
          <w:t>/</w:t>
        </w:r>
        <w:r w:rsidRPr="008920E3">
          <w:rPr>
            <w:rStyle w:val="Hyperlink"/>
            <w:szCs w:val="18"/>
          </w:rPr>
          <w:t>journey</w:t>
        </w:r>
        <w:r w:rsidRPr="008920E3">
          <w:rPr>
            <w:rStyle w:val="Hyperlink"/>
            <w:szCs w:val="18"/>
            <w:lang w:val="ru-RU"/>
          </w:rPr>
          <w:t>-</w:t>
        </w:r>
        <w:r w:rsidRPr="008920E3">
          <w:rPr>
            <w:rStyle w:val="Hyperlink"/>
            <w:szCs w:val="18"/>
          </w:rPr>
          <w:t>emf</w:t>
        </w:r>
      </w:hyperlink>
      <w:r w:rsidRPr="008920E3">
        <w:rPr>
          <w:szCs w:val="18"/>
          <w:lang w:val="ru-RU"/>
        </w:rPr>
        <w:t>.</w:t>
      </w:r>
    </w:p>
    <w:p w:rsidR="00EF06F2" w:rsidRPr="008920E3" w:rsidRDefault="00EF06F2" w:rsidP="004D64A1">
      <w:pPr>
        <w:pStyle w:val="FootnoteText"/>
        <w:spacing w:before="40"/>
        <w:rPr>
          <w:szCs w:val="18"/>
          <w:lang w:val="ru-RU"/>
        </w:rPr>
      </w:pPr>
      <w:r w:rsidRPr="00AF4436">
        <w:rPr>
          <w:szCs w:val="16"/>
        </w:rPr>
        <w:t>b</w:t>
      </w:r>
      <w:r w:rsidRPr="00AF4436">
        <w:rPr>
          <w:szCs w:val="16"/>
          <w:lang w:val="ru-RU"/>
        </w:rPr>
        <w:t>)</w:t>
      </w:r>
      <w:r w:rsidRPr="00AF4436">
        <w:rPr>
          <w:szCs w:val="16"/>
          <w:lang w:val="ru-RU"/>
        </w:rPr>
        <w:tab/>
        <w:t xml:space="preserve">Новые значения </w:t>
      </w:r>
      <w:r w:rsidRPr="00AF4436">
        <w:rPr>
          <w:szCs w:val="16"/>
        </w:rPr>
        <w:t>SAR</w:t>
      </w:r>
      <w:r w:rsidRPr="00AF4436">
        <w:rPr>
          <w:szCs w:val="16"/>
          <w:lang w:val="ru-RU"/>
        </w:rPr>
        <w:t>, вступившие в силу с 1</w:t>
      </w:r>
      <w:r w:rsidRPr="009B385A">
        <w:rPr>
          <w:szCs w:val="16"/>
          <w:lang w:val="ru-RU"/>
        </w:rPr>
        <w:t xml:space="preserve"> </w:t>
      </w:r>
      <w:r>
        <w:rPr>
          <w:szCs w:val="16"/>
          <w:lang w:val="ru-RU"/>
        </w:rPr>
        <w:t xml:space="preserve">сентября </w:t>
      </w:r>
      <w:r w:rsidRPr="00AF4436">
        <w:rPr>
          <w:szCs w:val="16"/>
          <w:lang w:val="ru-RU"/>
        </w:rPr>
        <w:t xml:space="preserve">2012 года, доступно по адресу: </w:t>
      </w:r>
      <w:hyperlink r:id="rId5" w:history="1">
        <w:r w:rsidRPr="008920E3">
          <w:rPr>
            <w:rStyle w:val="Hyperlink"/>
            <w:szCs w:val="18"/>
          </w:rPr>
          <w:t>http</w:t>
        </w:r>
        <w:r w:rsidRPr="008920E3">
          <w:rPr>
            <w:rStyle w:val="Hyperlink"/>
            <w:szCs w:val="18"/>
            <w:lang w:val="ru-RU"/>
          </w:rPr>
          <w:t>://</w:t>
        </w:r>
        <w:r w:rsidRPr="008920E3">
          <w:rPr>
            <w:rStyle w:val="Hyperlink"/>
            <w:szCs w:val="18"/>
          </w:rPr>
          <w:t>www</w:t>
        </w:r>
        <w:r w:rsidRPr="008920E3">
          <w:rPr>
            <w:rStyle w:val="Hyperlink"/>
            <w:szCs w:val="18"/>
            <w:lang w:val="ru-RU"/>
          </w:rPr>
          <w:t>.</w:t>
        </w:r>
        <w:r w:rsidRPr="008920E3">
          <w:rPr>
            <w:rStyle w:val="Hyperlink"/>
            <w:szCs w:val="18"/>
          </w:rPr>
          <w:t>dot</w:t>
        </w:r>
        <w:r w:rsidRPr="008920E3">
          <w:rPr>
            <w:rStyle w:val="Hyperlink"/>
            <w:szCs w:val="18"/>
            <w:lang w:val="ru-RU"/>
          </w:rPr>
          <w:t>.</w:t>
        </w:r>
        <w:r w:rsidRPr="008920E3">
          <w:rPr>
            <w:rStyle w:val="Hyperlink"/>
            <w:szCs w:val="18"/>
          </w:rPr>
          <w:t>gov</w:t>
        </w:r>
        <w:r w:rsidRPr="008920E3">
          <w:rPr>
            <w:rStyle w:val="Hyperlink"/>
            <w:szCs w:val="18"/>
            <w:lang w:val="ru-RU"/>
          </w:rPr>
          <w:t>.</w:t>
        </w:r>
        <w:r w:rsidRPr="008920E3">
          <w:rPr>
            <w:rStyle w:val="Hyperlink"/>
            <w:szCs w:val="18"/>
          </w:rPr>
          <w:t>in</w:t>
        </w:r>
        <w:r w:rsidRPr="008920E3">
          <w:rPr>
            <w:rStyle w:val="Hyperlink"/>
            <w:szCs w:val="18"/>
            <w:lang w:val="ru-RU"/>
          </w:rPr>
          <w:t>/</w:t>
        </w:r>
        <w:r w:rsidRPr="008920E3">
          <w:rPr>
            <w:rStyle w:val="Hyperlink"/>
            <w:szCs w:val="18"/>
          </w:rPr>
          <w:t>sites</w:t>
        </w:r>
        <w:r w:rsidRPr="008920E3">
          <w:rPr>
            <w:rStyle w:val="Hyperlink"/>
            <w:szCs w:val="18"/>
            <w:lang w:val="ru-RU"/>
          </w:rPr>
          <w:t>/</w:t>
        </w:r>
        <w:r w:rsidRPr="008920E3">
          <w:rPr>
            <w:rStyle w:val="Hyperlink"/>
            <w:szCs w:val="18"/>
          </w:rPr>
          <w:t>default</w:t>
        </w:r>
        <w:r w:rsidRPr="008920E3">
          <w:rPr>
            <w:rStyle w:val="Hyperlink"/>
            <w:szCs w:val="18"/>
            <w:lang w:val="ru-RU"/>
          </w:rPr>
          <w:t>/</w:t>
        </w:r>
        <w:r w:rsidRPr="008920E3">
          <w:rPr>
            <w:rStyle w:val="Hyperlink"/>
            <w:szCs w:val="18"/>
          </w:rPr>
          <w:t>files</w:t>
        </w:r>
        <w:r w:rsidRPr="008920E3">
          <w:rPr>
            <w:rStyle w:val="Hyperlink"/>
            <w:szCs w:val="18"/>
            <w:lang w:val="ru-RU"/>
          </w:rPr>
          <w:t>/</w:t>
        </w:r>
        <w:r w:rsidRPr="008920E3">
          <w:rPr>
            <w:rStyle w:val="Hyperlink"/>
            <w:szCs w:val="18"/>
          </w:rPr>
          <w:t>Revision</w:t>
        </w:r>
        <w:r w:rsidRPr="008920E3">
          <w:rPr>
            <w:rStyle w:val="Hyperlink"/>
            <w:szCs w:val="18"/>
            <w:lang w:val="ru-RU"/>
          </w:rPr>
          <w:t>%20</w:t>
        </w:r>
        <w:r w:rsidRPr="008920E3">
          <w:rPr>
            <w:rStyle w:val="Hyperlink"/>
            <w:szCs w:val="18"/>
          </w:rPr>
          <w:t>of</w:t>
        </w:r>
        <w:r w:rsidRPr="008920E3">
          <w:rPr>
            <w:rStyle w:val="Hyperlink"/>
            <w:szCs w:val="18"/>
            <w:lang w:val="ru-RU"/>
          </w:rPr>
          <w:t>%20</w:t>
        </w:r>
        <w:r w:rsidRPr="008920E3">
          <w:rPr>
            <w:rStyle w:val="Hyperlink"/>
            <w:szCs w:val="18"/>
          </w:rPr>
          <w:t>SAR</w:t>
        </w:r>
        <w:r w:rsidRPr="008920E3">
          <w:rPr>
            <w:rStyle w:val="Hyperlink"/>
            <w:szCs w:val="18"/>
            <w:lang w:val="ru-RU"/>
          </w:rPr>
          <w:t>%20</w:t>
        </w:r>
        <w:r w:rsidRPr="008920E3">
          <w:rPr>
            <w:rStyle w:val="Hyperlink"/>
            <w:szCs w:val="18"/>
          </w:rPr>
          <w:t>Limit</w:t>
        </w:r>
        <w:r w:rsidRPr="008920E3">
          <w:rPr>
            <w:rStyle w:val="Hyperlink"/>
            <w:szCs w:val="18"/>
            <w:lang w:val="ru-RU"/>
          </w:rPr>
          <w:t>%20</w:t>
        </w:r>
        <w:r w:rsidRPr="008920E3">
          <w:rPr>
            <w:rStyle w:val="Hyperlink"/>
            <w:szCs w:val="18"/>
          </w:rPr>
          <w:t>mobile</w:t>
        </w:r>
        <w:r w:rsidRPr="008920E3">
          <w:rPr>
            <w:rStyle w:val="Hyperlink"/>
            <w:szCs w:val="18"/>
            <w:lang w:val="ru-RU"/>
          </w:rPr>
          <w:t>%20</w:t>
        </w:r>
        <w:r w:rsidRPr="008920E3">
          <w:rPr>
            <w:rStyle w:val="Hyperlink"/>
            <w:szCs w:val="18"/>
          </w:rPr>
          <w:t>handsets</w:t>
        </w:r>
        <w:r w:rsidRPr="008920E3">
          <w:rPr>
            <w:rStyle w:val="Hyperlink"/>
            <w:szCs w:val="18"/>
            <w:lang w:val="ru-RU"/>
          </w:rPr>
          <w:t>.</w:t>
        </w:r>
        <w:r w:rsidRPr="008920E3">
          <w:rPr>
            <w:rStyle w:val="Hyperlink"/>
            <w:szCs w:val="18"/>
          </w:rPr>
          <w:t>pdf</w:t>
        </w:r>
      </w:hyperlink>
      <w:r w:rsidRPr="008920E3">
        <w:rPr>
          <w:szCs w:val="18"/>
          <w:lang w:val="ru-RU"/>
        </w:rPr>
        <w:t>.</w:t>
      </w:r>
    </w:p>
    <w:p w:rsidR="00EF06F2" w:rsidRPr="009B385A" w:rsidRDefault="00EF06F2" w:rsidP="004D64A1">
      <w:pPr>
        <w:pStyle w:val="FootnoteText"/>
        <w:spacing w:before="40"/>
        <w:rPr>
          <w:szCs w:val="16"/>
          <w:lang w:val="ru-RU"/>
        </w:rPr>
      </w:pPr>
      <w:r w:rsidRPr="00AF4436">
        <w:rPr>
          <w:szCs w:val="16"/>
        </w:rPr>
        <w:t>c</w:t>
      </w:r>
      <w:r w:rsidRPr="009B385A">
        <w:rPr>
          <w:szCs w:val="16"/>
          <w:lang w:val="ru-RU"/>
        </w:rPr>
        <w:t>)</w:t>
      </w:r>
      <w:r w:rsidRPr="009B385A">
        <w:rPr>
          <w:szCs w:val="16"/>
          <w:lang w:val="ru-RU"/>
        </w:rPr>
        <w:tab/>
        <w:t>Пересмотр предельных значений воздействия, вступивший в силу с 1</w:t>
      </w:r>
      <w:r>
        <w:rPr>
          <w:szCs w:val="16"/>
          <w:lang w:val="ru-RU"/>
        </w:rPr>
        <w:t xml:space="preserve"> сентября </w:t>
      </w:r>
      <w:r w:rsidRPr="009B385A">
        <w:rPr>
          <w:szCs w:val="16"/>
          <w:lang w:val="ru-RU"/>
        </w:rPr>
        <w:t>2012</w:t>
      </w:r>
      <w:r w:rsidRPr="00AF4436">
        <w:rPr>
          <w:szCs w:val="16"/>
        </w:rPr>
        <w:t> </w:t>
      </w:r>
      <w:r w:rsidRPr="009B385A">
        <w:rPr>
          <w:szCs w:val="16"/>
          <w:lang w:val="ru-RU"/>
        </w:rPr>
        <w:t xml:space="preserve">года. </w:t>
      </w:r>
    </w:p>
    <w:p w:rsidR="00EF06F2" w:rsidRPr="008920E3" w:rsidRDefault="00EF06F2" w:rsidP="004D64A1">
      <w:pPr>
        <w:pStyle w:val="FootnoteText"/>
        <w:spacing w:before="40"/>
        <w:rPr>
          <w:szCs w:val="18"/>
          <w:lang w:val="ru-RU"/>
        </w:rPr>
      </w:pPr>
      <w:r w:rsidRPr="00AF4436">
        <w:rPr>
          <w:szCs w:val="16"/>
        </w:rPr>
        <w:t>d</w:t>
      </w:r>
      <w:r>
        <w:rPr>
          <w:szCs w:val="16"/>
          <w:lang w:val="ru-RU"/>
        </w:rPr>
        <w:t>)</w:t>
      </w:r>
      <w:r w:rsidRPr="00AF4436">
        <w:rPr>
          <w:szCs w:val="16"/>
          <w:lang w:val="ru-RU"/>
        </w:rPr>
        <w:tab/>
        <w:t>Пересмотренные рекомендательные руководящие принципы по установке башен подвижн</w:t>
      </w:r>
      <w:r>
        <w:rPr>
          <w:szCs w:val="16"/>
          <w:lang w:val="ru-RU"/>
        </w:rPr>
        <w:t>ой связи, вступившие в силу с 1 августа 2013</w:t>
      </w:r>
      <w:r w:rsidRPr="00AF4436">
        <w:rPr>
          <w:szCs w:val="16"/>
        </w:rPr>
        <w:t> </w:t>
      </w:r>
      <w:r w:rsidRPr="00AF4436">
        <w:rPr>
          <w:szCs w:val="16"/>
          <w:lang w:val="ru-RU"/>
        </w:rPr>
        <w:t>года</w:t>
      </w:r>
      <w:r>
        <w:rPr>
          <w:szCs w:val="16"/>
          <w:lang w:val="ru-RU"/>
        </w:rPr>
        <w:t>,</w:t>
      </w:r>
      <w:r w:rsidRPr="00AF4436">
        <w:rPr>
          <w:szCs w:val="16"/>
          <w:lang w:val="ru-RU"/>
        </w:rPr>
        <w:t xml:space="preserve"> </w:t>
      </w:r>
      <w:hyperlink r:id="rId6" w:history="1">
        <w:r w:rsidRPr="008920E3">
          <w:rPr>
            <w:rStyle w:val="Hyperlink"/>
            <w:szCs w:val="18"/>
          </w:rPr>
          <w:t>http</w:t>
        </w:r>
        <w:r w:rsidRPr="008920E3">
          <w:rPr>
            <w:rStyle w:val="Hyperlink"/>
            <w:szCs w:val="18"/>
            <w:lang w:val="ru-RU"/>
          </w:rPr>
          <w:t>://</w:t>
        </w:r>
        <w:r w:rsidRPr="008920E3">
          <w:rPr>
            <w:rStyle w:val="Hyperlink"/>
            <w:szCs w:val="18"/>
          </w:rPr>
          <w:t>www</w:t>
        </w:r>
        <w:r w:rsidRPr="008920E3">
          <w:rPr>
            <w:rStyle w:val="Hyperlink"/>
            <w:szCs w:val="18"/>
            <w:lang w:val="ru-RU"/>
          </w:rPr>
          <w:t>.</w:t>
        </w:r>
        <w:r w:rsidRPr="008920E3">
          <w:rPr>
            <w:rStyle w:val="Hyperlink"/>
            <w:szCs w:val="18"/>
          </w:rPr>
          <w:t>dot</w:t>
        </w:r>
        <w:r w:rsidRPr="008920E3">
          <w:rPr>
            <w:rStyle w:val="Hyperlink"/>
            <w:szCs w:val="18"/>
            <w:lang w:val="ru-RU"/>
          </w:rPr>
          <w:t>.</w:t>
        </w:r>
        <w:r w:rsidRPr="008920E3">
          <w:rPr>
            <w:rStyle w:val="Hyperlink"/>
            <w:szCs w:val="18"/>
          </w:rPr>
          <w:t>gov</w:t>
        </w:r>
        <w:r w:rsidRPr="008920E3">
          <w:rPr>
            <w:rStyle w:val="Hyperlink"/>
            <w:szCs w:val="18"/>
            <w:lang w:val="ru-RU"/>
          </w:rPr>
          <w:t>.</w:t>
        </w:r>
        <w:r w:rsidRPr="008920E3">
          <w:rPr>
            <w:rStyle w:val="Hyperlink"/>
            <w:szCs w:val="18"/>
          </w:rPr>
          <w:t>in</w:t>
        </w:r>
        <w:r w:rsidRPr="008920E3">
          <w:rPr>
            <w:rStyle w:val="Hyperlink"/>
            <w:szCs w:val="18"/>
            <w:lang w:val="ru-RU"/>
          </w:rPr>
          <w:t>/</w:t>
        </w:r>
        <w:r w:rsidRPr="008920E3">
          <w:rPr>
            <w:rStyle w:val="Hyperlink"/>
            <w:szCs w:val="18"/>
          </w:rPr>
          <w:t>sites</w:t>
        </w:r>
        <w:r w:rsidRPr="008920E3">
          <w:rPr>
            <w:rStyle w:val="Hyperlink"/>
            <w:szCs w:val="18"/>
            <w:lang w:val="ru-RU"/>
          </w:rPr>
          <w:t>/</w:t>
        </w:r>
        <w:r w:rsidRPr="008920E3">
          <w:rPr>
            <w:rStyle w:val="Hyperlink"/>
            <w:szCs w:val="18"/>
          </w:rPr>
          <w:t>default</w:t>
        </w:r>
        <w:r w:rsidRPr="008920E3">
          <w:rPr>
            <w:rStyle w:val="Hyperlink"/>
            <w:szCs w:val="18"/>
            <w:lang w:val="ru-RU"/>
          </w:rPr>
          <w:t>/</w:t>
        </w:r>
        <w:r w:rsidRPr="008920E3">
          <w:rPr>
            <w:rStyle w:val="Hyperlink"/>
            <w:szCs w:val="18"/>
          </w:rPr>
          <w:t>files</w:t>
        </w:r>
        <w:r w:rsidRPr="008920E3">
          <w:rPr>
            <w:rStyle w:val="Hyperlink"/>
            <w:szCs w:val="18"/>
            <w:lang w:val="ru-RU"/>
          </w:rPr>
          <w:t>/</w:t>
        </w:r>
        <w:r w:rsidRPr="008920E3">
          <w:rPr>
            <w:rStyle w:val="Hyperlink"/>
            <w:szCs w:val="18"/>
          </w:rPr>
          <w:t>Advisory</w:t>
        </w:r>
        <w:r w:rsidRPr="008920E3">
          <w:rPr>
            <w:rStyle w:val="Hyperlink"/>
            <w:szCs w:val="18"/>
            <w:lang w:val="ru-RU"/>
          </w:rPr>
          <w:t>%20</w:t>
        </w:r>
        <w:r w:rsidRPr="008920E3">
          <w:rPr>
            <w:rStyle w:val="Hyperlink"/>
            <w:szCs w:val="18"/>
          </w:rPr>
          <w:t>Guidelines</w:t>
        </w:r>
        <w:r w:rsidRPr="008920E3">
          <w:rPr>
            <w:rStyle w:val="Hyperlink"/>
            <w:szCs w:val="18"/>
            <w:lang w:val="ru-RU"/>
          </w:rPr>
          <w:t>%20</w:t>
        </w:r>
        <w:r w:rsidRPr="008920E3">
          <w:rPr>
            <w:rStyle w:val="Hyperlink"/>
            <w:szCs w:val="18"/>
          </w:rPr>
          <w:t>For</w:t>
        </w:r>
        <w:r w:rsidRPr="008920E3">
          <w:rPr>
            <w:rStyle w:val="Hyperlink"/>
            <w:szCs w:val="18"/>
            <w:lang w:val="ru-RU"/>
          </w:rPr>
          <w:t>%20</w:t>
        </w:r>
        <w:r w:rsidRPr="008920E3">
          <w:rPr>
            <w:rStyle w:val="Hyperlink"/>
            <w:szCs w:val="18"/>
          </w:rPr>
          <w:t>State</w:t>
        </w:r>
        <w:r w:rsidRPr="008920E3">
          <w:rPr>
            <w:rStyle w:val="Hyperlink"/>
            <w:szCs w:val="18"/>
            <w:lang w:val="ru-RU"/>
          </w:rPr>
          <w:t>%20</w:t>
        </w:r>
        <w:r w:rsidRPr="008920E3">
          <w:rPr>
            <w:rStyle w:val="Hyperlink"/>
            <w:szCs w:val="18"/>
          </w:rPr>
          <w:t>Govts</w:t>
        </w:r>
        <w:r w:rsidRPr="008920E3">
          <w:rPr>
            <w:rStyle w:val="Hyperlink"/>
            <w:szCs w:val="18"/>
            <w:lang w:val="ru-RU"/>
          </w:rPr>
          <w:t>%20</w:t>
        </w:r>
        <w:r w:rsidRPr="008920E3">
          <w:rPr>
            <w:rStyle w:val="Hyperlink"/>
            <w:szCs w:val="18"/>
          </w:rPr>
          <w:t>effective</w:t>
        </w:r>
        <w:r w:rsidRPr="008920E3">
          <w:rPr>
            <w:rStyle w:val="Hyperlink"/>
            <w:szCs w:val="18"/>
            <w:lang w:val="ru-RU"/>
          </w:rPr>
          <w:t>%20</w:t>
        </w:r>
        <w:r w:rsidRPr="008920E3">
          <w:rPr>
            <w:rStyle w:val="Hyperlink"/>
            <w:szCs w:val="18"/>
          </w:rPr>
          <w:t>from</w:t>
        </w:r>
        <w:r w:rsidRPr="008920E3">
          <w:rPr>
            <w:rStyle w:val="Hyperlink"/>
            <w:szCs w:val="18"/>
            <w:lang w:val="ru-RU"/>
          </w:rPr>
          <w:t>%2001-08-13.</w:t>
        </w:r>
        <w:r w:rsidRPr="008920E3">
          <w:rPr>
            <w:rStyle w:val="Hyperlink"/>
            <w:szCs w:val="18"/>
          </w:rPr>
          <w:t>pdf</w:t>
        </w:r>
      </w:hyperlink>
      <w:r w:rsidRPr="008920E3">
        <w:rPr>
          <w:szCs w:val="18"/>
          <w:lang w:val="ru-RU"/>
        </w:rPr>
        <w:t>.</w:t>
      </w:r>
    </w:p>
    <w:p w:rsidR="00EF06F2" w:rsidRPr="008920E3" w:rsidRDefault="00EF06F2" w:rsidP="004D64A1">
      <w:pPr>
        <w:pStyle w:val="FootnoteText"/>
        <w:spacing w:before="40"/>
        <w:rPr>
          <w:szCs w:val="18"/>
          <w:lang w:val="ru-RU"/>
        </w:rPr>
      </w:pPr>
      <w:r w:rsidRPr="00AF4436">
        <w:rPr>
          <w:szCs w:val="16"/>
        </w:rPr>
        <w:t>e</w:t>
      </w:r>
      <w:r>
        <w:rPr>
          <w:szCs w:val="16"/>
          <w:lang w:val="ru-RU"/>
        </w:rPr>
        <w:t>)</w:t>
      </w:r>
      <w:r w:rsidRPr="00AF4436">
        <w:rPr>
          <w:szCs w:val="16"/>
          <w:lang w:val="ru-RU"/>
        </w:rPr>
        <w:tab/>
        <w:t>Руководящие указания по мерам предосторожности при использовании мобильных телефонов</w:t>
      </w:r>
      <w:r>
        <w:rPr>
          <w:szCs w:val="16"/>
          <w:lang w:val="ru-RU"/>
        </w:rPr>
        <w:t>,</w:t>
      </w:r>
      <w:r w:rsidRPr="00AF4436">
        <w:rPr>
          <w:szCs w:val="16"/>
          <w:lang w:val="ru-RU"/>
        </w:rPr>
        <w:t xml:space="preserve"> </w:t>
      </w:r>
      <w:hyperlink r:id="rId7" w:history="1">
        <w:r w:rsidRPr="008920E3">
          <w:rPr>
            <w:rStyle w:val="Hyperlink"/>
            <w:szCs w:val="18"/>
          </w:rPr>
          <w:t>http</w:t>
        </w:r>
        <w:r w:rsidRPr="008920E3">
          <w:rPr>
            <w:rStyle w:val="Hyperlink"/>
            <w:szCs w:val="18"/>
            <w:lang w:val="ru-RU"/>
          </w:rPr>
          <w:t>://</w:t>
        </w:r>
        <w:r w:rsidRPr="008920E3">
          <w:rPr>
            <w:rStyle w:val="Hyperlink"/>
            <w:szCs w:val="18"/>
          </w:rPr>
          <w:t>www</w:t>
        </w:r>
        <w:r w:rsidRPr="008920E3">
          <w:rPr>
            <w:rStyle w:val="Hyperlink"/>
            <w:szCs w:val="18"/>
            <w:lang w:val="ru-RU"/>
          </w:rPr>
          <w:t>.</w:t>
        </w:r>
        <w:r w:rsidRPr="008920E3">
          <w:rPr>
            <w:rStyle w:val="Hyperlink"/>
            <w:szCs w:val="18"/>
          </w:rPr>
          <w:t>dot</w:t>
        </w:r>
        <w:r w:rsidRPr="008920E3">
          <w:rPr>
            <w:rStyle w:val="Hyperlink"/>
            <w:szCs w:val="18"/>
            <w:lang w:val="ru-RU"/>
          </w:rPr>
          <w:t>.</w:t>
        </w:r>
        <w:r w:rsidRPr="008920E3">
          <w:rPr>
            <w:rStyle w:val="Hyperlink"/>
            <w:szCs w:val="18"/>
          </w:rPr>
          <w:t>gov</w:t>
        </w:r>
        <w:r w:rsidRPr="008920E3">
          <w:rPr>
            <w:rStyle w:val="Hyperlink"/>
            <w:szCs w:val="18"/>
            <w:lang w:val="ru-RU"/>
          </w:rPr>
          <w:t>.</w:t>
        </w:r>
        <w:r w:rsidRPr="008920E3">
          <w:rPr>
            <w:rStyle w:val="Hyperlink"/>
            <w:szCs w:val="18"/>
          </w:rPr>
          <w:t>in</w:t>
        </w:r>
        <w:r w:rsidRPr="008920E3">
          <w:rPr>
            <w:rStyle w:val="Hyperlink"/>
            <w:szCs w:val="18"/>
            <w:lang w:val="ru-RU"/>
          </w:rPr>
          <w:t>/</w:t>
        </w:r>
        <w:r w:rsidRPr="008920E3">
          <w:rPr>
            <w:rStyle w:val="Hyperlink"/>
            <w:szCs w:val="18"/>
          </w:rPr>
          <w:t>sites</w:t>
        </w:r>
        <w:r w:rsidRPr="008920E3">
          <w:rPr>
            <w:rStyle w:val="Hyperlink"/>
            <w:szCs w:val="18"/>
            <w:lang w:val="ru-RU"/>
          </w:rPr>
          <w:t>/</w:t>
        </w:r>
        <w:r w:rsidRPr="008920E3">
          <w:rPr>
            <w:rStyle w:val="Hyperlink"/>
            <w:szCs w:val="18"/>
          </w:rPr>
          <w:t>default</w:t>
        </w:r>
        <w:r w:rsidRPr="008920E3">
          <w:rPr>
            <w:rStyle w:val="Hyperlink"/>
            <w:szCs w:val="18"/>
            <w:lang w:val="ru-RU"/>
          </w:rPr>
          <w:t>/</w:t>
        </w:r>
        <w:r w:rsidRPr="008920E3">
          <w:rPr>
            <w:rStyle w:val="Hyperlink"/>
            <w:szCs w:val="18"/>
          </w:rPr>
          <w:t>files</w:t>
        </w:r>
        <w:r w:rsidRPr="008920E3">
          <w:rPr>
            <w:rStyle w:val="Hyperlink"/>
            <w:szCs w:val="18"/>
            <w:lang w:val="ru-RU"/>
          </w:rPr>
          <w:t>/</w:t>
        </w:r>
        <w:r w:rsidRPr="008920E3">
          <w:rPr>
            <w:rStyle w:val="Hyperlink"/>
            <w:szCs w:val="18"/>
          </w:rPr>
          <w:t>Precautionary</w:t>
        </w:r>
        <w:r w:rsidRPr="008920E3">
          <w:rPr>
            <w:rStyle w:val="Hyperlink"/>
            <w:szCs w:val="18"/>
            <w:lang w:val="ru-RU"/>
          </w:rPr>
          <w:t>%20</w:t>
        </w:r>
        <w:r w:rsidRPr="008920E3">
          <w:rPr>
            <w:rStyle w:val="Hyperlink"/>
            <w:szCs w:val="18"/>
          </w:rPr>
          <w:t>Guidelines</w:t>
        </w:r>
        <w:r w:rsidRPr="008920E3">
          <w:rPr>
            <w:rStyle w:val="Hyperlink"/>
            <w:szCs w:val="18"/>
            <w:lang w:val="ru-RU"/>
          </w:rPr>
          <w:t>%20</w:t>
        </w:r>
        <w:r w:rsidRPr="008920E3">
          <w:rPr>
            <w:rStyle w:val="Hyperlink"/>
            <w:szCs w:val="18"/>
          </w:rPr>
          <w:t>for</w:t>
        </w:r>
        <w:r w:rsidRPr="008920E3">
          <w:rPr>
            <w:rStyle w:val="Hyperlink"/>
            <w:szCs w:val="18"/>
            <w:lang w:val="ru-RU"/>
          </w:rPr>
          <w:t>%20</w:t>
        </w:r>
        <w:r w:rsidRPr="008920E3">
          <w:rPr>
            <w:rStyle w:val="Hyperlink"/>
            <w:szCs w:val="18"/>
          </w:rPr>
          <w:t>mobile</w:t>
        </w:r>
        <w:r w:rsidRPr="008920E3">
          <w:rPr>
            <w:rStyle w:val="Hyperlink"/>
            <w:szCs w:val="18"/>
            <w:lang w:val="ru-RU"/>
          </w:rPr>
          <w:t>%20</w:t>
        </w:r>
        <w:r w:rsidRPr="008920E3">
          <w:rPr>
            <w:rStyle w:val="Hyperlink"/>
            <w:szCs w:val="18"/>
          </w:rPr>
          <w:t>Users</w:t>
        </w:r>
        <w:r w:rsidRPr="008920E3">
          <w:rPr>
            <w:rStyle w:val="Hyperlink"/>
            <w:szCs w:val="18"/>
            <w:lang w:val="ru-RU"/>
          </w:rPr>
          <w:t>.</w:t>
        </w:r>
        <w:r w:rsidRPr="008920E3">
          <w:rPr>
            <w:rStyle w:val="Hyperlink"/>
            <w:szCs w:val="18"/>
          </w:rPr>
          <w:t>pdf</w:t>
        </w:r>
      </w:hyperlink>
      <w:r w:rsidRPr="008920E3">
        <w:rPr>
          <w:szCs w:val="18"/>
          <w:lang w:val="ru-RU"/>
        </w:rPr>
        <w:t>.</w:t>
      </w:r>
    </w:p>
    <w:p w:rsidR="00EF06F2" w:rsidRPr="008920E3" w:rsidRDefault="00EF06F2" w:rsidP="004D64A1">
      <w:pPr>
        <w:pStyle w:val="FootnoteText"/>
        <w:spacing w:before="40"/>
        <w:rPr>
          <w:szCs w:val="18"/>
          <w:lang w:val="ru-RU"/>
        </w:rPr>
      </w:pPr>
      <w:r w:rsidRPr="00AF4436">
        <w:rPr>
          <w:szCs w:val="16"/>
        </w:rPr>
        <w:t>f</w:t>
      </w:r>
      <w:r>
        <w:rPr>
          <w:szCs w:val="16"/>
          <w:lang w:val="ru-RU"/>
        </w:rPr>
        <w:t>)</w:t>
      </w:r>
      <w:r w:rsidRPr="00AF4436">
        <w:rPr>
          <w:szCs w:val="16"/>
          <w:lang w:val="ru-RU"/>
        </w:rPr>
        <w:tab/>
        <w:t>Справочник по подвижной связи</w:t>
      </w:r>
      <w:r w:rsidRPr="00AF4436">
        <w:rPr>
          <w:szCs w:val="16"/>
          <w:lang w:val="en-US"/>
        </w:rPr>
        <w:t> </w:t>
      </w:r>
      <w:r w:rsidRPr="00AF4436">
        <w:rPr>
          <w:szCs w:val="16"/>
          <w:lang w:val="ru-RU"/>
        </w:rPr>
        <w:t>– радиоволны и безопасность</w:t>
      </w:r>
      <w:r>
        <w:rPr>
          <w:szCs w:val="16"/>
          <w:lang w:val="ru-RU"/>
        </w:rPr>
        <w:t>,</w:t>
      </w:r>
      <w:r w:rsidRPr="00AF4436">
        <w:rPr>
          <w:szCs w:val="16"/>
          <w:lang w:val="ru-RU"/>
        </w:rPr>
        <w:t xml:space="preserve"> </w:t>
      </w:r>
      <w:hyperlink r:id="rId8" w:history="1">
        <w:r w:rsidRPr="008920E3">
          <w:rPr>
            <w:rStyle w:val="Hyperlink"/>
            <w:szCs w:val="18"/>
          </w:rPr>
          <w:t>http</w:t>
        </w:r>
        <w:r w:rsidRPr="008920E3">
          <w:rPr>
            <w:rStyle w:val="Hyperlink"/>
            <w:szCs w:val="18"/>
            <w:lang w:val="ru-RU"/>
          </w:rPr>
          <w:t>://</w:t>
        </w:r>
        <w:r w:rsidRPr="008920E3">
          <w:rPr>
            <w:rStyle w:val="Hyperlink"/>
            <w:szCs w:val="18"/>
          </w:rPr>
          <w:t>www</w:t>
        </w:r>
        <w:r w:rsidRPr="008920E3">
          <w:rPr>
            <w:rStyle w:val="Hyperlink"/>
            <w:szCs w:val="18"/>
            <w:lang w:val="ru-RU"/>
          </w:rPr>
          <w:t>.</w:t>
        </w:r>
        <w:r w:rsidRPr="008920E3">
          <w:rPr>
            <w:rStyle w:val="Hyperlink"/>
            <w:szCs w:val="18"/>
          </w:rPr>
          <w:t>dot</w:t>
        </w:r>
        <w:r w:rsidRPr="008920E3">
          <w:rPr>
            <w:rStyle w:val="Hyperlink"/>
            <w:szCs w:val="18"/>
            <w:lang w:val="ru-RU"/>
          </w:rPr>
          <w:t>.</w:t>
        </w:r>
        <w:r w:rsidRPr="008920E3">
          <w:rPr>
            <w:rStyle w:val="Hyperlink"/>
            <w:szCs w:val="18"/>
          </w:rPr>
          <w:t>gov</w:t>
        </w:r>
        <w:r w:rsidRPr="008920E3">
          <w:rPr>
            <w:rStyle w:val="Hyperlink"/>
            <w:szCs w:val="18"/>
            <w:lang w:val="ru-RU"/>
          </w:rPr>
          <w:t>.</w:t>
        </w:r>
        <w:r w:rsidRPr="008920E3">
          <w:rPr>
            <w:rStyle w:val="Hyperlink"/>
            <w:szCs w:val="18"/>
          </w:rPr>
          <w:t>in</w:t>
        </w:r>
        <w:r w:rsidRPr="008920E3">
          <w:rPr>
            <w:rStyle w:val="Hyperlink"/>
            <w:szCs w:val="18"/>
            <w:lang w:val="ru-RU"/>
          </w:rPr>
          <w:t>/</w:t>
        </w:r>
        <w:r w:rsidRPr="008920E3">
          <w:rPr>
            <w:rStyle w:val="Hyperlink"/>
            <w:szCs w:val="18"/>
          </w:rPr>
          <w:t>sites</w:t>
        </w:r>
        <w:r w:rsidRPr="008920E3">
          <w:rPr>
            <w:rStyle w:val="Hyperlink"/>
            <w:szCs w:val="18"/>
            <w:lang w:val="ru-RU"/>
          </w:rPr>
          <w:t>/</w:t>
        </w:r>
        <w:r w:rsidRPr="008920E3">
          <w:rPr>
            <w:rStyle w:val="Hyperlink"/>
            <w:szCs w:val="18"/>
          </w:rPr>
          <w:t>default</w:t>
        </w:r>
        <w:r w:rsidRPr="008920E3">
          <w:rPr>
            <w:rStyle w:val="Hyperlink"/>
            <w:szCs w:val="18"/>
            <w:lang w:val="ru-RU"/>
          </w:rPr>
          <w:t>/</w:t>
        </w:r>
        <w:r w:rsidRPr="008920E3">
          <w:rPr>
            <w:rStyle w:val="Hyperlink"/>
            <w:szCs w:val="18"/>
          </w:rPr>
          <w:t>files</w:t>
        </w:r>
        <w:r w:rsidRPr="008920E3">
          <w:rPr>
            <w:rStyle w:val="Hyperlink"/>
            <w:szCs w:val="18"/>
            <w:lang w:val="ru-RU"/>
          </w:rPr>
          <w:t>/</w:t>
        </w:r>
        <w:r w:rsidRPr="008920E3">
          <w:rPr>
            <w:rStyle w:val="Hyperlink"/>
            <w:szCs w:val="18"/>
          </w:rPr>
          <w:t>Mobile</w:t>
        </w:r>
        <w:r w:rsidRPr="008920E3">
          <w:rPr>
            <w:rStyle w:val="Hyperlink"/>
            <w:szCs w:val="18"/>
            <w:lang w:val="ru-RU"/>
          </w:rPr>
          <w:t>%20</w:t>
        </w:r>
        <w:r w:rsidRPr="008920E3">
          <w:rPr>
            <w:rStyle w:val="Hyperlink"/>
            <w:szCs w:val="18"/>
          </w:rPr>
          <w:t>Communication</w:t>
        </w:r>
        <w:r w:rsidRPr="008920E3">
          <w:rPr>
            <w:rStyle w:val="Hyperlink"/>
            <w:szCs w:val="18"/>
            <w:lang w:val="ru-RU"/>
          </w:rPr>
          <w:t>-</w:t>
        </w:r>
        <w:r w:rsidRPr="008920E3">
          <w:rPr>
            <w:rStyle w:val="Hyperlink"/>
            <w:szCs w:val="18"/>
          </w:rPr>
          <w:t>Radio</w:t>
        </w:r>
        <w:r w:rsidRPr="008920E3">
          <w:rPr>
            <w:rStyle w:val="Hyperlink"/>
            <w:szCs w:val="18"/>
            <w:lang w:val="ru-RU"/>
          </w:rPr>
          <w:t>%20</w:t>
        </w:r>
        <w:r w:rsidRPr="008920E3">
          <w:rPr>
            <w:rStyle w:val="Hyperlink"/>
            <w:szCs w:val="18"/>
          </w:rPr>
          <w:t>Waves</w:t>
        </w:r>
        <w:r w:rsidRPr="008920E3">
          <w:rPr>
            <w:rStyle w:val="Hyperlink"/>
            <w:szCs w:val="18"/>
            <w:lang w:val="ru-RU"/>
          </w:rPr>
          <w:t>%20</w:t>
        </w:r>
        <w:r w:rsidRPr="008920E3">
          <w:rPr>
            <w:rStyle w:val="Hyperlink"/>
            <w:szCs w:val="18"/>
          </w:rPr>
          <w:t>and</w:t>
        </w:r>
        <w:r w:rsidRPr="008920E3">
          <w:rPr>
            <w:rStyle w:val="Hyperlink"/>
            <w:szCs w:val="18"/>
            <w:lang w:val="ru-RU"/>
          </w:rPr>
          <w:t>%20</w:t>
        </w:r>
        <w:r w:rsidRPr="008920E3">
          <w:rPr>
            <w:rStyle w:val="Hyperlink"/>
            <w:szCs w:val="18"/>
          </w:rPr>
          <w:t>Safety</w:t>
        </w:r>
        <w:r w:rsidRPr="008920E3">
          <w:rPr>
            <w:rStyle w:val="Hyperlink"/>
            <w:szCs w:val="18"/>
            <w:lang w:val="ru-RU"/>
          </w:rPr>
          <w:t>%2010</w:t>
        </w:r>
        <w:r w:rsidRPr="008920E3">
          <w:rPr>
            <w:rStyle w:val="Hyperlink"/>
            <w:szCs w:val="18"/>
          </w:rPr>
          <w:t>th</w:t>
        </w:r>
        <w:r w:rsidRPr="008920E3">
          <w:rPr>
            <w:rStyle w:val="Hyperlink"/>
            <w:szCs w:val="18"/>
            <w:lang w:val="ru-RU"/>
          </w:rPr>
          <w:t>%20</w:t>
        </w:r>
        <w:r w:rsidRPr="008920E3">
          <w:rPr>
            <w:rStyle w:val="Hyperlink"/>
            <w:szCs w:val="18"/>
          </w:rPr>
          <w:t>sept</w:t>
        </w:r>
        <w:r w:rsidRPr="008920E3">
          <w:rPr>
            <w:rStyle w:val="Hyperlink"/>
            <w:szCs w:val="18"/>
            <w:lang w:val="ru-RU"/>
          </w:rPr>
          <w:t>%2012%20</w:t>
        </w:r>
        <w:r w:rsidRPr="008920E3">
          <w:rPr>
            <w:rStyle w:val="Hyperlink"/>
            <w:szCs w:val="18"/>
          </w:rPr>
          <w:t>final</w:t>
        </w:r>
        <w:r w:rsidRPr="008920E3">
          <w:rPr>
            <w:rStyle w:val="Hyperlink"/>
            <w:szCs w:val="18"/>
            <w:lang w:val="ru-RU"/>
          </w:rPr>
          <w:t>.</w:t>
        </w:r>
        <w:r w:rsidRPr="008920E3">
          <w:rPr>
            <w:rStyle w:val="Hyperlink"/>
            <w:szCs w:val="18"/>
          </w:rPr>
          <w:t>pdf</w:t>
        </w:r>
      </w:hyperlink>
      <w:r w:rsidRPr="008920E3">
        <w:rPr>
          <w:szCs w:val="18"/>
          <w:lang w:val="ru-RU"/>
        </w:rPr>
        <w:t>.</w:t>
      </w:r>
    </w:p>
    <w:p w:rsidR="00EF06F2" w:rsidRPr="00AF4436" w:rsidRDefault="00EF06F2" w:rsidP="004D64A1">
      <w:pPr>
        <w:pStyle w:val="FootnoteText"/>
        <w:spacing w:before="40"/>
        <w:rPr>
          <w:szCs w:val="16"/>
          <w:lang w:val="ru-RU"/>
        </w:rPr>
      </w:pPr>
      <w:r w:rsidRPr="00AF4436">
        <w:rPr>
          <w:szCs w:val="16"/>
        </w:rPr>
        <w:t>g</w:t>
      </w:r>
      <w:r>
        <w:rPr>
          <w:szCs w:val="16"/>
          <w:lang w:val="ru-RU"/>
        </w:rPr>
        <w:t>)</w:t>
      </w:r>
      <w:r w:rsidRPr="00AF4436">
        <w:rPr>
          <w:szCs w:val="16"/>
          <w:lang w:val="ru-RU"/>
        </w:rPr>
        <w:tab/>
        <w:t xml:space="preserve">Тестовые процедуры </w:t>
      </w:r>
      <w:r w:rsidRPr="00AF4436">
        <w:rPr>
          <w:szCs w:val="16"/>
        </w:rPr>
        <w:t>TEC</w:t>
      </w:r>
      <w:r w:rsidRPr="00AF4436">
        <w:rPr>
          <w:szCs w:val="16"/>
          <w:lang w:val="ru-RU"/>
        </w:rPr>
        <w:t xml:space="preserve"> для мобильных телефонов, </w:t>
      </w:r>
      <w:hyperlink r:id="rId9" w:history="1">
        <w:r w:rsidRPr="008920E3">
          <w:rPr>
            <w:rStyle w:val="Hyperlink"/>
            <w:szCs w:val="18"/>
          </w:rPr>
          <w:t>http</w:t>
        </w:r>
        <w:r w:rsidRPr="008920E3">
          <w:rPr>
            <w:rStyle w:val="Hyperlink"/>
            <w:szCs w:val="18"/>
            <w:lang w:val="ru-RU"/>
          </w:rPr>
          <w:t>://</w:t>
        </w:r>
        <w:r w:rsidRPr="008920E3">
          <w:rPr>
            <w:rStyle w:val="Hyperlink"/>
            <w:szCs w:val="18"/>
          </w:rPr>
          <w:t>www</w:t>
        </w:r>
        <w:r w:rsidRPr="008920E3">
          <w:rPr>
            <w:rStyle w:val="Hyperlink"/>
            <w:szCs w:val="18"/>
            <w:lang w:val="ru-RU"/>
          </w:rPr>
          <w:t>.</w:t>
        </w:r>
        <w:r w:rsidRPr="008920E3">
          <w:rPr>
            <w:rStyle w:val="Hyperlink"/>
            <w:szCs w:val="18"/>
          </w:rPr>
          <w:t>dot</w:t>
        </w:r>
        <w:r w:rsidRPr="008920E3">
          <w:rPr>
            <w:rStyle w:val="Hyperlink"/>
            <w:szCs w:val="18"/>
            <w:lang w:val="ru-RU"/>
          </w:rPr>
          <w:t>.</w:t>
        </w:r>
        <w:r w:rsidRPr="008920E3">
          <w:rPr>
            <w:rStyle w:val="Hyperlink"/>
            <w:szCs w:val="18"/>
          </w:rPr>
          <w:t>gov</w:t>
        </w:r>
        <w:r w:rsidRPr="008920E3">
          <w:rPr>
            <w:rStyle w:val="Hyperlink"/>
            <w:szCs w:val="18"/>
            <w:lang w:val="ru-RU"/>
          </w:rPr>
          <w:t>.</w:t>
        </w:r>
        <w:r w:rsidRPr="008920E3">
          <w:rPr>
            <w:rStyle w:val="Hyperlink"/>
            <w:szCs w:val="18"/>
          </w:rPr>
          <w:t>in</w:t>
        </w:r>
        <w:r w:rsidRPr="008920E3">
          <w:rPr>
            <w:rStyle w:val="Hyperlink"/>
            <w:szCs w:val="18"/>
            <w:lang w:val="ru-RU"/>
          </w:rPr>
          <w:t>/</w:t>
        </w:r>
        <w:r w:rsidRPr="008920E3">
          <w:rPr>
            <w:rStyle w:val="Hyperlink"/>
            <w:szCs w:val="18"/>
          </w:rPr>
          <w:t>sites</w:t>
        </w:r>
        <w:r w:rsidRPr="008920E3">
          <w:rPr>
            <w:rStyle w:val="Hyperlink"/>
            <w:szCs w:val="18"/>
            <w:lang w:val="ru-RU"/>
          </w:rPr>
          <w:t>/</w:t>
        </w:r>
        <w:r w:rsidRPr="008920E3">
          <w:rPr>
            <w:rStyle w:val="Hyperlink"/>
            <w:szCs w:val="18"/>
          </w:rPr>
          <w:t>default</w:t>
        </w:r>
        <w:r w:rsidRPr="008920E3">
          <w:rPr>
            <w:rStyle w:val="Hyperlink"/>
            <w:szCs w:val="18"/>
            <w:lang w:val="ru-RU"/>
          </w:rPr>
          <w:t>/</w:t>
        </w:r>
        <w:r w:rsidRPr="008920E3">
          <w:rPr>
            <w:rStyle w:val="Hyperlink"/>
            <w:szCs w:val="18"/>
          </w:rPr>
          <w:t>files</w:t>
        </w:r>
        <w:r w:rsidRPr="008920E3">
          <w:rPr>
            <w:rStyle w:val="Hyperlink"/>
            <w:szCs w:val="18"/>
            <w:lang w:val="ru-RU"/>
          </w:rPr>
          <w:t>/</w:t>
        </w:r>
        <w:r w:rsidRPr="008920E3">
          <w:rPr>
            <w:rStyle w:val="Hyperlink"/>
            <w:szCs w:val="18"/>
          </w:rPr>
          <w:t>SAR</w:t>
        </w:r>
        <w:r w:rsidRPr="008920E3">
          <w:rPr>
            <w:rStyle w:val="Hyperlink"/>
            <w:szCs w:val="18"/>
            <w:lang w:val="ru-RU"/>
          </w:rPr>
          <w:t>%20</w:t>
        </w:r>
        <w:r w:rsidRPr="008920E3">
          <w:rPr>
            <w:rStyle w:val="Hyperlink"/>
            <w:szCs w:val="18"/>
          </w:rPr>
          <w:t>Testing</w:t>
        </w:r>
        <w:r w:rsidRPr="008920E3">
          <w:rPr>
            <w:rStyle w:val="Hyperlink"/>
            <w:szCs w:val="18"/>
            <w:lang w:val="ru-RU"/>
          </w:rPr>
          <w:t>.</w:t>
        </w:r>
        <w:r w:rsidRPr="008920E3">
          <w:rPr>
            <w:rStyle w:val="Hyperlink"/>
            <w:szCs w:val="18"/>
          </w:rPr>
          <w:t>pdf</w:t>
        </w:r>
      </w:hyperlink>
      <w:r w:rsidRPr="008920E3">
        <w:rPr>
          <w:szCs w:val="18"/>
          <w:lang w:val="ru-RU"/>
        </w:rPr>
        <w:t>.</w:t>
      </w:r>
    </w:p>
    <w:p w:rsidR="00EF06F2" w:rsidRPr="00AF4436" w:rsidRDefault="00EF06F2" w:rsidP="004D64A1">
      <w:pPr>
        <w:pStyle w:val="FootnoteText"/>
        <w:spacing w:before="40"/>
        <w:rPr>
          <w:szCs w:val="16"/>
          <w:lang w:val="ru-RU"/>
        </w:rPr>
      </w:pPr>
      <w:r w:rsidRPr="00AF4436">
        <w:rPr>
          <w:szCs w:val="16"/>
        </w:rPr>
        <w:t>h</w:t>
      </w:r>
      <w:r>
        <w:rPr>
          <w:szCs w:val="16"/>
          <w:lang w:val="ru-RU"/>
        </w:rPr>
        <w:t>)</w:t>
      </w:r>
      <w:r w:rsidRPr="00AF4436">
        <w:rPr>
          <w:szCs w:val="16"/>
          <w:lang w:val="ru-RU"/>
        </w:rPr>
        <w:tab/>
        <w:t xml:space="preserve">Измерение воздействия ЭМП для антенн </w:t>
      </w:r>
      <w:r w:rsidRPr="00AF4436">
        <w:rPr>
          <w:szCs w:val="16"/>
        </w:rPr>
        <w:t>BTS</w:t>
      </w:r>
      <w:r w:rsidRPr="00AF4436">
        <w:rPr>
          <w:szCs w:val="16"/>
          <w:lang w:val="ru-RU"/>
        </w:rPr>
        <w:t xml:space="preserve">, </w:t>
      </w:r>
      <w:hyperlink r:id="rId10" w:history="1">
        <w:r w:rsidRPr="008920E3">
          <w:rPr>
            <w:rStyle w:val="Hyperlink"/>
            <w:szCs w:val="18"/>
          </w:rPr>
          <w:t>http</w:t>
        </w:r>
        <w:r w:rsidRPr="008920E3">
          <w:rPr>
            <w:rStyle w:val="Hyperlink"/>
            <w:szCs w:val="18"/>
            <w:lang w:val="ru-RU"/>
          </w:rPr>
          <w:t>://</w:t>
        </w:r>
        <w:r w:rsidRPr="008920E3">
          <w:rPr>
            <w:rStyle w:val="Hyperlink"/>
            <w:szCs w:val="18"/>
          </w:rPr>
          <w:t>www</w:t>
        </w:r>
        <w:r w:rsidRPr="008920E3">
          <w:rPr>
            <w:rStyle w:val="Hyperlink"/>
            <w:szCs w:val="18"/>
            <w:lang w:val="ru-RU"/>
          </w:rPr>
          <w:t>.</w:t>
        </w:r>
        <w:r w:rsidRPr="008920E3">
          <w:rPr>
            <w:rStyle w:val="Hyperlink"/>
            <w:szCs w:val="18"/>
          </w:rPr>
          <w:t>dot</w:t>
        </w:r>
        <w:r w:rsidRPr="008920E3">
          <w:rPr>
            <w:rStyle w:val="Hyperlink"/>
            <w:szCs w:val="18"/>
            <w:lang w:val="ru-RU"/>
          </w:rPr>
          <w:t>.</w:t>
        </w:r>
        <w:r w:rsidRPr="008920E3">
          <w:rPr>
            <w:rStyle w:val="Hyperlink"/>
            <w:szCs w:val="18"/>
          </w:rPr>
          <w:t>gov</w:t>
        </w:r>
        <w:r w:rsidRPr="008920E3">
          <w:rPr>
            <w:rStyle w:val="Hyperlink"/>
            <w:szCs w:val="18"/>
            <w:lang w:val="ru-RU"/>
          </w:rPr>
          <w:t>.</w:t>
        </w:r>
        <w:r w:rsidRPr="008920E3">
          <w:rPr>
            <w:rStyle w:val="Hyperlink"/>
            <w:szCs w:val="18"/>
          </w:rPr>
          <w:t>in</w:t>
        </w:r>
        <w:r w:rsidRPr="008920E3">
          <w:rPr>
            <w:rStyle w:val="Hyperlink"/>
            <w:szCs w:val="18"/>
            <w:lang w:val="ru-RU"/>
          </w:rPr>
          <w:t>/</w:t>
        </w:r>
        <w:r w:rsidRPr="008920E3">
          <w:rPr>
            <w:rStyle w:val="Hyperlink"/>
            <w:szCs w:val="18"/>
          </w:rPr>
          <w:t>sites</w:t>
        </w:r>
        <w:r w:rsidRPr="008920E3">
          <w:rPr>
            <w:rStyle w:val="Hyperlink"/>
            <w:szCs w:val="18"/>
            <w:lang w:val="ru-RU"/>
          </w:rPr>
          <w:t>/</w:t>
        </w:r>
        <w:r w:rsidRPr="008920E3">
          <w:rPr>
            <w:rStyle w:val="Hyperlink"/>
            <w:szCs w:val="18"/>
          </w:rPr>
          <w:t>default</w:t>
        </w:r>
        <w:r w:rsidRPr="008920E3">
          <w:rPr>
            <w:rStyle w:val="Hyperlink"/>
            <w:szCs w:val="18"/>
            <w:lang w:val="ru-RU"/>
          </w:rPr>
          <w:t>/</w:t>
        </w:r>
        <w:r w:rsidRPr="008920E3">
          <w:rPr>
            <w:rStyle w:val="Hyperlink"/>
            <w:szCs w:val="18"/>
          </w:rPr>
          <w:t>files</w:t>
        </w:r>
        <w:r w:rsidRPr="008920E3">
          <w:rPr>
            <w:rStyle w:val="Hyperlink"/>
            <w:szCs w:val="18"/>
            <w:lang w:val="ru-RU"/>
          </w:rPr>
          <w:t>/</w:t>
        </w:r>
        <w:r w:rsidRPr="008920E3">
          <w:rPr>
            <w:rStyle w:val="Hyperlink"/>
            <w:szCs w:val="18"/>
          </w:rPr>
          <w:t>TEC</w:t>
        </w:r>
        <w:r w:rsidRPr="008920E3">
          <w:rPr>
            <w:rStyle w:val="Hyperlink"/>
            <w:szCs w:val="18"/>
            <w:lang w:val="ru-RU"/>
          </w:rPr>
          <w:t>%20</w:t>
        </w:r>
        <w:r w:rsidRPr="008920E3">
          <w:rPr>
            <w:rStyle w:val="Hyperlink"/>
            <w:szCs w:val="18"/>
          </w:rPr>
          <w:t>Test</w:t>
        </w:r>
        <w:r w:rsidRPr="008920E3">
          <w:rPr>
            <w:rStyle w:val="Hyperlink"/>
            <w:szCs w:val="18"/>
            <w:lang w:val="ru-RU"/>
          </w:rPr>
          <w:t>%20</w:t>
        </w:r>
        <w:r w:rsidRPr="008920E3">
          <w:rPr>
            <w:rStyle w:val="Hyperlink"/>
            <w:szCs w:val="18"/>
          </w:rPr>
          <w:t>Procedure</w:t>
        </w:r>
        <w:r w:rsidRPr="008920E3">
          <w:rPr>
            <w:rStyle w:val="Hyperlink"/>
            <w:szCs w:val="18"/>
            <w:lang w:val="ru-RU"/>
          </w:rPr>
          <w:t>%20</w:t>
        </w:r>
        <w:r w:rsidRPr="008920E3">
          <w:rPr>
            <w:rStyle w:val="Hyperlink"/>
            <w:szCs w:val="18"/>
          </w:rPr>
          <w:t>EMFields</w:t>
        </w:r>
        <w:r w:rsidRPr="008920E3">
          <w:rPr>
            <w:rStyle w:val="Hyperlink"/>
            <w:szCs w:val="18"/>
            <w:lang w:val="ru-RU"/>
          </w:rPr>
          <w:t>%20</w:t>
        </w:r>
        <w:r w:rsidRPr="008920E3">
          <w:rPr>
            <w:rStyle w:val="Hyperlink"/>
            <w:szCs w:val="18"/>
          </w:rPr>
          <w:t>From</w:t>
        </w:r>
        <w:r w:rsidRPr="008920E3">
          <w:rPr>
            <w:rStyle w:val="Hyperlink"/>
            <w:szCs w:val="18"/>
            <w:lang w:val="ru-RU"/>
          </w:rPr>
          <w:t>%20</w:t>
        </w:r>
        <w:r w:rsidRPr="008920E3">
          <w:rPr>
            <w:rStyle w:val="Hyperlink"/>
            <w:szCs w:val="18"/>
          </w:rPr>
          <w:t>BTS</w:t>
        </w:r>
        <w:r w:rsidRPr="008920E3">
          <w:rPr>
            <w:rStyle w:val="Hyperlink"/>
            <w:szCs w:val="18"/>
            <w:lang w:val="ru-RU"/>
          </w:rPr>
          <w:t>%20</w:t>
        </w:r>
        <w:r w:rsidRPr="008920E3">
          <w:rPr>
            <w:rStyle w:val="Hyperlink"/>
            <w:szCs w:val="18"/>
          </w:rPr>
          <w:t>Antennae</w:t>
        </w:r>
        <w:r w:rsidRPr="008920E3">
          <w:rPr>
            <w:rStyle w:val="Hyperlink"/>
            <w:szCs w:val="18"/>
            <w:lang w:val="ru-RU"/>
          </w:rPr>
          <w:t>.</w:t>
        </w:r>
        <w:r w:rsidRPr="008920E3">
          <w:rPr>
            <w:rStyle w:val="Hyperlink"/>
            <w:szCs w:val="18"/>
          </w:rPr>
          <w:t>pdf</w:t>
        </w:r>
      </w:hyperlink>
      <w:r w:rsidRPr="008920E3">
        <w:rPr>
          <w:szCs w:val="18"/>
          <w:lang w:val="ru-RU"/>
        </w:rPr>
        <w:t>.</w:t>
      </w:r>
    </w:p>
    <w:p w:rsidR="00EF06F2" w:rsidRPr="00AF4436" w:rsidRDefault="00EF06F2" w:rsidP="004D64A1">
      <w:pPr>
        <w:pStyle w:val="FootnoteText"/>
        <w:spacing w:before="40"/>
        <w:rPr>
          <w:szCs w:val="16"/>
          <w:lang w:val="ru-RU"/>
        </w:rPr>
      </w:pPr>
      <w:r w:rsidRPr="00AF4436">
        <w:rPr>
          <w:szCs w:val="16"/>
        </w:rPr>
        <w:t>i</w:t>
      </w:r>
      <w:r>
        <w:rPr>
          <w:szCs w:val="16"/>
          <w:lang w:val="ru-RU"/>
        </w:rPr>
        <w:t>)</w:t>
      </w:r>
      <w:r w:rsidRPr="00AF4436">
        <w:rPr>
          <w:szCs w:val="16"/>
          <w:lang w:val="ru-RU"/>
        </w:rPr>
        <w:tab/>
        <w:t>Система обработки жалоб в отношении ЭМП</w:t>
      </w:r>
      <w:r>
        <w:rPr>
          <w:szCs w:val="16"/>
          <w:lang w:val="ru-RU"/>
        </w:rPr>
        <w:t>.</w:t>
      </w:r>
    </w:p>
    <w:p w:rsidR="00EF06F2" w:rsidRPr="00AF4436" w:rsidRDefault="00EF06F2" w:rsidP="004D64A1">
      <w:pPr>
        <w:pStyle w:val="FootnoteText"/>
        <w:spacing w:before="40"/>
        <w:rPr>
          <w:szCs w:val="16"/>
          <w:lang w:val="ru-RU"/>
        </w:rPr>
      </w:pPr>
      <w:r w:rsidRPr="00AF4436">
        <w:rPr>
          <w:szCs w:val="16"/>
        </w:rPr>
        <w:t>j</w:t>
      </w:r>
      <w:r>
        <w:rPr>
          <w:szCs w:val="16"/>
          <w:lang w:val="ru-RU"/>
        </w:rPr>
        <w:t>)</w:t>
      </w:r>
      <w:r w:rsidRPr="00AF4436">
        <w:rPr>
          <w:szCs w:val="16"/>
          <w:lang w:val="ru-RU"/>
        </w:rPr>
        <w:tab/>
        <w:t>Извещение о представлении предложений по НИОКР в области ЭМП</w:t>
      </w:r>
      <w:r>
        <w:rPr>
          <w:szCs w:val="16"/>
          <w:lang w:val="ru-RU"/>
        </w:rPr>
        <w:t>,</w:t>
      </w:r>
      <w:r w:rsidRPr="00AF4436">
        <w:rPr>
          <w:szCs w:val="16"/>
          <w:lang w:val="ru-RU"/>
        </w:rPr>
        <w:t xml:space="preserve"> </w:t>
      </w:r>
      <w:hyperlink r:id="rId11" w:history="1">
        <w:r w:rsidRPr="008920E3">
          <w:rPr>
            <w:rStyle w:val="Hyperlink"/>
            <w:szCs w:val="18"/>
          </w:rPr>
          <w:t>http</w:t>
        </w:r>
        <w:r w:rsidRPr="008920E3">
          <w:rPr>
            <w:rStyle w:val="Hyperlink"/>
            <w:szCs w:val="18"/>
            <w:lang w:val="ru-RU"/>
          </w:rPr>
          <w:t>://</w:t>
        </w:r>
        <w:r w:rsidRPr="008920E3">
          <w:rPr>
            <w:rStyle w:val="Hyperlink"/>
            <w:szCs w:val="18"/>
          </w:rPr>
          <w:t>www</w:t>
        </w:r>
        <w:r w:rsidRPr="008920E3">
          <w:rPr>
            <w:rStyle w:val="Hyperlink"/>
            <w:szCs w:val="18"/>
            <w:lang w:val="ru-RU"/>
          </w:rPr>
          <w:t>.</w:t>
        </w:r>
        <w:r w:rsidRPr="008920E3">
          <w:rPr>
            <w:rStyle w:val="Hyperlink"/>
            <w:szCs w:val="18"/>
          </w:rPr>
          <w:t>dot</w:t>
        </w:r>
        <w:r w:rsidRPr="008920E3">
          <w:rPr>
            <w:rStyle w:val="Hyperlink"/>
            <w:szCs w:val="18"/>
            <w:lang w:val="ru-RU"/>
          </w:rPr>
          <w:t>.</w:t>
        </w:r>
        <w:r w:rsidRPr="008920E3">
          <w:rPr>
            <w:rStyle w:val="Hyperlink"/>
            <w:szCs w:val="18"/>
          </w:rPr>
          <w:t>gov</w:t>
        </w:r>
        <w:r w:rsidRPr="008920E3">
          <w:rPr>
            <w:rStyle w:val="Hyperlink"/>
            <w:szCs w:val="18"/>
            <w:lang w:val="ru-RU"/>
          </w:rPr>
          <w:t>.</w:t>
        </w:r>
        <w:r w:rsidRPr="008920E3">
          <w:rPr>
            <w:rStyle w:val="Hyperlink"/>
            <w:szCs w:val="18"/>
          </w:rPr>
          <w:t>in</w:t>
        </w:r>
        <w:r w:rsidRPr="008920E3">
          <w:rPr>
            <w:rStyle w:val="Hyperlink"/>
            <w:szCs w:val="18"/>
            <w:lang w:val="ru-RU"/>
          </w:rPr>
          <w:t>/</w:t>
        </w:r>
        <w:r w:rsidRPr="008920E3">
          <w:rPr>
            <w:rStyle w:val="Hyperlink"/>
            <w:szCs w:val="18"/>
          </w:rPr>
          <w:t>sites</w:t>
        </w:r>
        <w:r w:rsidRPr="008920E3">
          <w:rPr>
            <w:rStyle w:val="Hyperlink"/>
            <w:szCs w:val="18"/>
            <w:lang w:val="ru-RU"/>
          </w:rPr>
          <w:t>/</w:t>
        </w:r>
        <w:r w:rsidRPr="008920E3">
          <w:rPr>
            <w:rStyle w:val="Hyperlink"/>
            <w:szCs w:val="18"/>
          </w:rPr>
          <w:t>default</w:t>
        </w:r>
        <w:r w:rsidRPr="008920E3">
          <w:rPr>
            <w:rStyle w:val="Hyperlink"/>
            <w:szCs w:val="18"/>
            <w:lang w:val="ru-RU"/>
          </w:rPr>
          <w:t>/</w:t>
        </w:r>
        <w:r w:rsidRPr="008920E3">
          <w:rPr>
            <w:rStyle w:val="Hyperlink"/>
            <w:szCs w:val="18"/>
          </w:rPr>
          <w:t>files</w:t>
        </w:r>
        <w:r w:rsidRPr="008920E3">
          <w:rPr>
            <w:rStyle w:val="Hyperlink"/>
            <w:szCs w:val="18"/>
            <w:lang w:val="ru-RU"/>
          </w:rPr>
          <w:t>/748%20</w:t>
        </w:r>
        <w:r w:rsidRPr="008920E3">
          <w:rPr>
            <w:rStyle w:val="Hyperlink"/>
            <w:szCs w:val="18"/>
          </w:rPr>
          <w:t>circular</w:t>
        </w:r>
        <w:r w:rsidRPr="008920E3">
          <w:rPr>
            <w:rStyle w:val="Hyperlink"/>
            <w:szCs w:val="18"/>
            <w:lang w:val="ru-RU"/>
          </w:rPr>
          <w:t>.</w:t>
        </w:r>
        <w:r w:rsidRPr="008920E3">
          <w:rPr>
            <w:rStyle w:val="Hyperlink"/>
            <w:szCs w:val="18"/>
          </w:rPr>
          <w:t>pdf</w:t>
        </w:r>
      </w:hyperlink>
      <w:r w:rsidRPr="008920E3">
        <w:rPr>
          <w:szCs w:val="18"/>
          <w:lang w:val="ru-RU"/>
        </w:rPr>
        <w:t>.</w:t>
      </w:r>
    </w:p>
    <w:p w:rsidR="00EF06F2" w:rsidRPr="00AF4436" w:rsidRDefault="00EF06F2" w:rsidP="004D64A1">
      <w:pPr>
        <w:pStyle w:val="FootnoteText"/>
        <w:spacing w:before="40"/>
        <w:rPr>
          <w:szCs w:val="16"/>
          <w:lang w:val="ru-RU"/>
        </w:rPr>
      </w:pPr>
      <w:r w:rsidRPr="00AF4436">
        <w:rPr>
          <w:szCs w:val="16"/>
        </w:rPr>
        <w:t>k</w:t>
      </w:r>
      <w:r>
        <w:rPr>
          <w:szCs w:val="16"/>
          <w:lang w:val="ru-RU"/>
        </w:rPr>
        <w:t>)</w:t>
      </w:r>
      <w:r w:rsidRPr="00AF4436">
        <w:rPr>
          <w:szCs w:val="16"/>
          <w:lang w:val="ru-RU"/>
        </w:rPr>
        <w:tab/>
        <w:t>Презентации, проведенные Индией в Турине, Италия, на семинаре-практикуме МСЭ по ЭМП, состоявшемся 9</w:t>
      </w:r>
      <w:r w:rsidRPr="00AF4436">
        <w:rPr>
          <w:szCs w:val="16"/>
          <w:lang w:val="en-US"/>
        </w:rPr>
        <w:t> </w:t>
      </w:r>
      <w:r w:rsidRPr="00AF4436">
        <w:rPr>
          <w:szCs w:val="16"/>
          <w:lang w:val="ru-RU"/>
        </w:rPr>
        <w:t>мая, 2013</w:t>
      </w:r>
      <w:r w:rsidRPr="00AF4436">
        <w:rPr>
          <w:szCs w:val="16"/>
          <w:lang w:val="en-US"/>
        </w:rPr>
        <w:t> </w:t>
      </w:r>
      <w:r w:rsidRPr="00AF4436">
        <w:rPr>
          <w:szCs w:val="16"/>
          <w:lang w:val="ru-RU"/>
        </w:rPr>
        <w:t>года, на которые ниже дана ссылка, представляют также новый комплекс исходных данных в рамках обзора и соблюдения политики в области ЭМП </w:t>
      </w:r>
      <w:r>
        <w:rPr>
          <w:szCs w:val="16"/>
          <w:lang w:val="ru-RU"/>
        </w:rPr>
        <w:t>−</w:t>
      </w:r>
      <w:r w:rsidRPr="00AF4436">
        <w:rPr>
          <w:szCs w:val="16"/>
          <w:lang w:val="ru-RU"/>
        </w:rPr>
        <w:t xml:space="preserve"> Обзор политики Индии – "Электро-магнитное излучение от башен подвижной связи и мобильных телефонов", </w:t>
      </w:r>
      <w:hyperlink r:id="rId12" w:history="1">
        <w:r w:rsidRPr="00304D05">
          <w:rPr>
            <w:rStyle w:val="Hyperlink"/>
            <w:szCs w:val="18"/>
          </w:rPr>
          <w:t>http</w:t>
        </w:r>
        <w:r w:rsidRPr="00304D05">
          <w:rPr>
            <w:rStyle w:val="Hyperlink"/>
            <w:szCs w:val="18"/>
            <w:lang w:val="ru-RU"/>
          </w:rPr>
          <w:t>://</w:t>
        </w:r>
        <w:r w:rsidRPr="00304D05">
          <w:rPr>
            <w:rStyle w:val="Hyperlink"/>
            <w:szCs w:val="18"/>
          </w:rPr>
          <w:t>www</w:t>
        </w:r>
        <w:r w:rsidRPr="00304D05">
          <w:rPr>
            <w:rStyle w:val="Hyperlink"/>
            <w:szCs w:val="18"/>
            <w:lang w:val="ru-RU"/>
          </w:rPr>
          <w:t>.</w:t>
        </w:r>
        <w:r w:rsidRPr="00304D05">
          <w:rPr>
            <w:rStyle w:val="Hyperlink"/>
            <w:szCs w:val="18"/>
          </w:rPr>
          <w:t>itu</w:t>
        </w:r>
        <w:r w:rsidRPr="00304D05">
          <w:rPr>
            <w:rStyle w:val="Hyperlink"/>
            <w:szCs w:val="18"/>
            <w:lang w:val="ru-RU"/>
          </w:rPr>
          <w:t>.</w:t>
        </w:r>
        <w:r w:rsidRPr="00304D05">
          <w:rPr>
            <w:rStyle w:val="Hyperlink"/>
            <w:szCs w:val="18"/>
          </w:rPr>
          <w:t>int</w:t>
        </w:r>
        <w:r w:rsidRPr="00304D05">
          <w:rPr>
            <w:rStyle w:val="Hyperlink"/>
            <w:szCs w:val="18"/>
            <w:lang w:val="ru-RU"/>
          </w:rPr>
          <w:t>/</w:t>
        </w:r>
        <w:r w:rsidRPr="00304D05">
          <w:rPr>
            <w:rStyle w:val="Hyperlink"/>
            <w:szCs w:val="18"/>
          </w:rPr>
          <w:t>en</w:t>
        </w:r>
        <w:r w:rsidRPr="00304D05">
          <w:rPr>
            <w:rStyle w:val="Hyperlink"/>
            <w:szCs w:val="18"/>
            <w:lang w:val="ru-RU"/>
          </w:rPr>
          <w:t>/</w:t>
        </w:r>
        <w:r w:rsidRPr="00304D05">
          <w:rPr>
            <w:rStyle w:val="Hyperlink"/>
            <w:szCs w:val="18"/>
          </w:rPr>
          <w:t>ITU</w:t>
        </w:r>
        <w:r w:rsidRPr="00304D05">
          <w:rPr>
            <w:rStyle w:val="Hyperlink"/>
            <w:szCs w:val="18"/>
            <w:lang w:val="ru-RU"/>
          </w:rPr>
          <w:t>-</w:t>
        </w:r>
        <w:r w:rsidRPr="00304D05">
          <w:rPr>
            <w:rStyle w:val="Hyperlink"/>
            <w:szCs w:val="18"/>
          </w:rPr>
          <w:t>T</w:t>
        </w:r>
        <w:r w:rsidRPr="00304D05">
          <w:rPr>
            <w:rStyle w:val="Hyperlink"/>
            <w:szCs w:val="18"/>
            <w:lang w:val="ru-RU"/>
          </w:rPr>
          <w:t>/</w:t>
        </w:r>
        <w:r w:rsidRPr="00304D05">
          <w:rPr>
            <w:rStyle w:val="Hyperlink"/>
            <w:szCs w:val="18"/>
          </w:rPr>
          <w:t>climatechange</w:t>
        </w:r>
        <w:r w:rsidRPr="00304D05">
          <w:rPr>
            <w:rStyle w:val="Hyperlink"/>
            <w:szCs w:val="18"/>
            <w:lang w:val="ru-RU"/>
          </w:rPr>
          <w:t>/</w:t>
        </w:r>
        <w:r w:rsidRPr="00304D05">
          <w:rPr>
            <w:rStyle w:val="Hyperlink"/>
            <w:szCs w:val="18"/>
          </w:rPr>
          <w:t>emf</w:t>
        </w:r>
        <w:r w:rsidRPr="00304D05">
          <w:rPr>
            <w:rStyle w:val="Hyperlink"/>
            <w:szCs w:val="18"/>
            <w:lang w:val="ru-RU"/>
          </w:rPr>
          <w:t>-1305/</w:t>
        </w:r>
        <w:r w:rsidRPr="00304D05">
          <w:rPr>
            <w:rStyle w:val="Hyperlink"/>
            <w:szCs w:val="18"/>
          </w:rPr>
          <w:t>Documents</w:t>
        </w:r>
        <w:r w:rsidRPr="00304D05">
          <w:rPr>
            <w:rStyle w:val="Hyperlink"/>
            <w:szCs w:val="18"/>
            <w:lang w:val="ru-RU"/>
          </w:rPr>
          <w:t>/</w:t>
        </w:r>
        <w:r w:rsidRPr="00304D05">
          <w:rPr>
            <w:rStyle w:val="Hyperlink"/>
            <w:szCs w:val="18"/>
          </w:rPr>
          <w:t>Presentations</w:t>
        </w:r>
        <w:r w:rsidRPr="00304D05">
          <w:rPr>
            <w:rStyle w:val="Hyperlink"/>
            <w:szCs w:val="18"/>
            <w:lang w:val="ru-RU"/>
          </w:rPr>
          <w:t>/</w:t>
        </w:r>
        <w:r w:rsidRPr="00304D05">
          <w:rPr>
            <w:rStyle w:val="Hyperlink"/>
            <w:szCs w:val="18"/>
          </w:rPr>
          <w:t>s</w:t>
        </w:r>
        <w:r w:rsidRPr="00304D05">
          <w:rPr>
            <w:rStyle w:val="Hyperlink"/>
            <w:szCs w:val="18"/>
            <w:lang w:val="ru-RU"/>
          </w:rPr>
          <w:t>2</w:t>
        </w:r>
        <w:r w:rsidRPr="00304D05">
          <w:rPr>
            <w:rStyle w:val="Hyperlink"/>
            <w:szCs w:val="18"/>
          </w:rPr>
          <w:t>part</w:t>
        </w:r>
        <w:r w:rsidRPr="00304D05">
          <w:rPr>
            <w:rStyle w:val="Hyperlink"/>
            <w:szCs w:val="18"/>
            <w:lang w:val="ru-RU"/>
          </w:rPr>
          <w:t>2</w:t>
        </w:r>
        <w:r w:rsidRPr="00304D05">
          <w:rPr>
            <w:rStyle w:val="Hyperlink"/>
            <w:szCs w:val="18"/>
          </w:rPr>
          <w:t>p</w:t>
        </w:r>
        <w:r w:rsidRPr="00304D05">
          <w:rPr>
            <w:rStyle w:val="Hyperlink"/>
            <w:szCs w:val="18"/>
            <w:lang w:val="ru-RU"/>
          </w:rPr>
          <w:t>3-</w:t>
        </w:r>
        <w:r w:rsidRPr="00304D05">
          <w:rPr>
            <w:rStyle w:val="Hyperlink"/>
            <w:szCs w:val="18"/>
          </w:rPr>
          <w:t>RKBhatnagar</w:t>
        </w:r>
        <w:r w:rsidRPr="00304D05">
          <w:rPr>
            <w:rStyle w:val="Hyperlink"/>
            <w:szCs w:val="18"/>
            <w:lang w:val="ru-RU"/>
          </w:rPr>
          <w:t>.</w:t>
        </w:r>
        <w:r w:rsidRPr="00304D05">
          <w:rPr>
            <w:rStyle w:val="Hyperlink"/>
            <w:szCs w:val="18"/>
          </w:rPr>
          <w:t>pdf</w:t>
        </w:r>
      </w:hyperlink>
      <w:r w:rsidRPr="00AF4436">
        <w:rPr>
          <w:szCs w:val="16"/>
          <w:lang w:val="ru-RU"/>
        </w:rPr>
        <w:t xml:space="preserve"> </w:t>
      </w:r>
      <w:r>
        <w:rPr>
          <w:szCs w:val="16"/>
          <w:lang w:val="ru-RU"/>
        </w:rPr>
        <w:t>и</w:t>
      </w:r>
      <w:r w:rsidRPr="00AF4436">
        <w:rPr>
          <w:szCs w:val="16"/>
          <w:lang w:val="ru-RU"/>
        </w:rPr>
        <w:t xml:space="preserve"> − </w:t>
      </w:r>
      <w:r>
        <w:rPr>
          <w:szCs w:val="16"/>
          <w:lang w:val="ru-RU"/>
        </w:rPr>
        <w:t>Результаты индийского исследования соответствия ЭМП сетей и устройств</w:t>
      </w:r>
      <w:r w:rsidRPr="00AF4436">
        <w:rPr>
          <w:szCs w:val="16"/>
          <w:lang w:val="ru-RU"/>
        </w:rPr>
        <w:t xml:space="preserve">, </w:t>
      </w:r>
      <w:hyperlink r:id="rId13" w:history="1">
        <w:r w:rsidRPr="00304D05">
          <w:rPr>
            <w:rStyle w:val="Hyperlink"/>
            <w:szCs w:val="18"/>
          </w:rPr>
          <w:t>http</w:t>
        </w:r>
        <w:r w:rsidRPr="00304D05">
          <w:rPr>
            <w:rStyle w:val="Hyperlink"/>
            <w:szCs w:val="18"/>
            <w:lang w:val="ru-RU"/>
          </w:rPr>
          <w:t>://</w:t>
        </w:r>
        <w:r w:rsidRPr="00304D05">
          <w:rPr>
            <w:rStyle w:val="Hyperlink"/>
            <w:szCs w:val="18"/>
          </w:rPr>
          <w:t>www</w:t>
        </w:r>
        <w:r w:rsidRPr="00304D05">
          <w:rPr>
            <w:rStyle w:val="Hyperlink"/>
            <w:szCs w:val="18"/>
            <w:lang w:val="ru-RU"/>
          </w:rPr>
          <w:t>.</w:t>
        </w:r>
        <w:r w:rsidRPr="00304D05">
          <w:rPr>
            <w:rStyle w:val="Hyperlink"/>
            <w:szCs w:val="18"/>
          </w:rPr>
          <w:t>itu</w:t>
        </w:r>
        <w:r w:rsidRPr="00304D05">
          <w:rPr>
            <w:rStyle w:val="Hyperlink"/>
            <w:szCs w:val="18"/>
            <w:lang w:val="ru-RU"/>
          </w:rPr>
          <w:t>.</w:t>
        </w:r>
        <w:r w:rsidRPr="00304D05">
          <w:rPr>
            <w:rStyle w:val="Hyperlink"/>
            <w:szCs w:val="18"/>
          </w:rPr>
          <w:t>int</w:t>
        </w:r>
        <w:r w:rsidRPr="00304D05">
          <w:rPr>
            <w:rStyle w:val="Hyperlink"/>
            <w:szCs w:val="18"/>
            <w:lang w:val="ru-RU"/>
          </w:rPr>
          <w:t>/</w:t>
        </w:r>
        <w:r w:rsidRPr="00304D05">
          <w:rPr>
            <w:rStyle w:val="Hyperlink"/>
            <w:szCs w:val="18"/>
          </w:rPr>
          <w:t>en</w:t>
        </w:r>
        <w:r w:rsidRPr="00304D05">
          <w:rPr>
            <w:rStyle w:val="Hyperlink"/>
            <w:szCs w:val="18"/>
            <w:lang w:val="ru-RU"/>
          </w:rPr>
          <w:t>/</w:t>
        </w:r>
        <w:r w:rsidRPr="00304D05">
          <w:rPr>
            <w:rStyle w:val="Hyperlink"/>
            <w:szCs w:val="18"/>
          </w:rPr>
          <w:t>ITU</w:t>
        </w:r>
        <w:r w:rsidRPr="00304D05">
          <w:rPr>
            <w:rStyle w:val="Hyperlink"/>
            <w:szCs w:val="18"/>
            <w:lang w:val="ru-RU"/>
          </w:rPr>
          <w:t>-</w:t>
        </w:r>
        <w:r w:rsidRPr="00304D05">
          <w:rPr>
            <w:rStyle w:val="Hyperlink"/>
            <w:szCs w:val="18"/>
          </w:rPr>
          <w:t>T</w:t>
        </w:r>
        <w:r w:rsidRPr="00304D05">
          <w:rPr>
            <w:rStyle w:val="Hyperlink"/>
            <w:szCs w:val="18"/>
            <w:lang w:val="ru-RU"/>
          </w:rPr>
          <w:t>/</w:t>
        </w:r>
        <w:r w:rsidRPr="00304D05">
          <w:rPr>
            <w:rStyle w:val="Hyperlink"/>
            <w:szCs w:val="18"/>
          </w:rPr>
          <w:t>climatechange</w:t>
        </w:r>
        <w:r w:rsidRPr="00304D05">
          <w:rPr>
            <w:rStyle w:val="Hyperlink"/>
            <w:szCs w:val="18"/>
            <w:lang w:val="ru-RU"/>
          </w:rPr>
          <w:t>/</w:t>
        </w:r>
        <w:r w:rsidRPr="00304D05">
          <w:rPr>
            <w:rStyle w:val="Hyperlink"/>
            <w:szCs w:val="18"/>
          </w:rPr>
          <w:t>emf</w:t>
        </w:r>
        <w:r w:rsidRPr="00304D05">
          <w:rPr>
            <w:rStyle w:val="Hyperlink"/>
            <w:szCs w:val="18"/>
            <w:lang w:val="ru-RU"/>
          </w:rPr>
          <w:t>-1305/</w:t>
        </w:r>
        <w:r w:rsidRPr="00304D05">
          <w:rPr>
            <w:rStyle w:val="Hyperlink"/>
            <w:szCs w:val="18"/>
          </w:rPr>
          <w:t>Documents</w:t>
        </w:r>
        <w:r w:rsidRPr="00304D05">
          <w:rPr>
            <w:rStyle w:val="Hyperlink"/>
            <w:szCs w:val="18"/>
            <w:lang w:val="ru-RU"/>
          </w:rPr>
          <w:t>/</w:t>
        </w:r>
        <w:r w:rsidRPr="00304D05">
          <w:rPr>
            <w:rStyle w:val="Hyperlink"/>
            <w:szCs w:val="18"/>
          </w:rPr>
          <w:t>Presentations</w:t>
        </w:r>
        <w:r w:rsidRPr="00304D05">
          <w:rPr>
            <w:rStyle w:val="Hyperlink"/>
            <w:szCs w:val="18"/>
            <w:lang w:val="ru-RU"/>
          </w:rPr>
          <w:t>/</w:t>
        </w:r>
        <w:r w:rsidRPr="00304D05">
          <w:rPr>
            <w:rStyle w:val="Hyperlink"/>
            <w:szCs w:val="18"/>
          </w:rPr>
          <w:t>s</w:t>
        </w:r>
        <w:r w:rsidRPr="00304D05">
          <w:rPr>
            <w:rStyle w:val="Hyperlink"/>
            <w:szCs w:val="18"/>
            <w:lang w:val="ru-RU"/>
          </w:rPr>
          <w:t>3</w:t>
        </w:r>
        <w:r w:rsidRPr="00304D05">
          <w:rPr>
            <w:rStyle w:val="Hyperlink"/>
            <w:szCs w:val="18"/>
          </w:rPr>
          <w:t>p</w:t>
        </w:r>
        <w:r w:rsidRPr="00304D05">
          <w:rPr>
            <w:rStyle w:val="Hyperlink"/>
            <w:szCs w:val="18"/>
            <w:lang w:val="ru-RU"/>
          </w:rPr>
          <w:t>5-</w:t>
        </w:r>
        <w:r w:rsidRPr="00304D05">
          <w:rPr>
            <w:rStyle w:val="Hyperlink"/>
            <w:szCs w:val="18"/>
          </w:rPr>
          <w:t>RKBhatnagar</w:t>
        </w:r>
        <w:r w:rsidRPr="00304D05">
          <w:rPr>
            <w:rStyle w:val="Hyperlink"/>
            <w:szCs w:val="18"/>
            <w:lang w:val="ru-RU"/>
          </w:rPr>
          <w:t>.</w:t>
        </w:r>
        <w:r w:rsidRPr="00304D05">
          <w:rPr>
            <w:rStyle w:val="Hyperlink"/>
            <w:szCs w:val="18"/>
          </w:rPr>
          <w:t>pdf</w:t>
        </w:r>
      </w:hyperlink>
      <w:r w:rsidRPr="00304D05">
        <w:rPr>
          <w:szCs w:val="18"/>
          <w:lang w:val="ru-RU"/>
        </w:rPr>
        <w:t>.</w:t>
      </w:r>
    </w:p>
  </w:footnote>
  <w:footnote w:id="13">
    <w:p w:rsidR="00EF06F2" w:rsidRPr="00304D05" w:rsidRDefault="00EF06F2" w:rsidP="0059063E">
      <w:pPr>
        <w:pStyle w:val="FootnoteText"/>
        <w:rPr>
          <w:szCs w:val="18"/>
          <w:lang w:val="ru-RU"/>
        </w:rPr>
      </w:pPr>
      <w:r w:rsidRPr="00B9534B">
        <w:rPr>
          <w:rStyle w:val="FootnoteReference"/>
          <w:szCs w:val="18"/>
        </w:rPr>
        <w:footnoteRef/>
      </w:r>
      <w:r w:rsidRPr="00CD44C6">
        <w:rPr>
          <w:lang w:val="ru-RU"/>
        </w:rPr>
        <w:tab/>
      </w:r>
      <w:r>
        <w:rPr>
          <w:lang w:val="ru-RU"/>
        </w:rPr>
        <w:t>ВОЗ</w:t>
      </w:r>
      <w:r w:rsidRPr="00CD44C6">
        <w:rPr>
          <w:lang w:val="ru-RU"/>
        </w:rPr>
        <w:t xml:space="preserve">, </w:t>
      </w:r>
      <w:r>
        <w:rPr>
          <w:bCs/>
          <w:lang w:val="ru-RU"/>
        </w:rPr>
        <w:t>О</w:t>
      </w:r>
      <w:r w:rsidRPr="00CD44C6">
        <w:rPr>
          <w:bCs/>
          <w:lang w:val="ru-RU"/>
        </w:rPr>
        <w:t>снов</w:t>
      </w:r>
      <w:r>
        <w:rPr>
          <w:bCs/>
          <w:lang w:val="ru-RU"/>
        </w:rPr>
        <w:t>а</w:t>
      </w:r>
      <w:r w:rsidRPr="00CD44C6">
        <w:rPr>
          <w:bCs/>
          <w:lang w:val="ru-RU"/>
        </w:rPr>
        <w:t xml:space="preserve"> для разработки стандартов ЭМП </w:t>
      </w:r>
      <w:r>
        <w:rPr>
          <w:bCs/>
          <w:lang w:val="ru-RU"/>
        </w:rPr>
        <w:t>в аспекте воздействия на</w:t>
      </w:r>
      <w:r w:rsidRPr="00CD44C6">
        <w:rPr>
          <w:bCs/>
          <w:lang w:val="ru-RU"/>
        </w:rPr>
        <w:t xml:space="preserve"> здоровь</w:t>
      </w:r>
      <w:r>
        <w:rPr>
          <w:bCs/>
          <w:lang w:val="ru-RU"/>
        </w:rPr>
        <w:t>е</w:t>
      </w:r>
      <w:r w:rsidRPr="00CD44C6">
        <w:rPr>
          <w:lang w:val="ru-RU"/>
        </w:rPr>
        <w:t>, 2006</w:t>
      </w:r>
      <w:r>
        <w:rPr>
          <w:lang w:val="ru-RU"/>
        </w:rPr>
        <w:t> год</w:t>
      </w:r>
      <w:r w:rsidRPr="00CD44C6">
        <w:rPr>
          <w:lang w:val="ru-RU"/>
        </w:rPr>
        <w:t xml:space="preserve">, доступно по адресу: </w:t>
      </w:r>
      <w:hyperlink r:id="rId14" w:history="1">
        <w:r w:rsidRPr="00304D05">
          <w:rPr>
            <w:rStyle w:val="Hyperlink"/>
            <w:szCs w:val="18"/>
          </w:rPr>
          <w:t>http</w:t>
        </w:r>
        <w:r w:rsidRPr="00304D05">
          <w:rPr>
            <w:rStyle w:val="Hyperlink"/>
            <w:szCs w:val="18"/>
            <w:lang w:val="ru-RU"/>
          </w:rPr>
          <w:t>://</w:t>
        </w:r>
        <w:r w:rsidRPr="00304D05">
          <w:rPr>
            <w:rStyle w:val="Hyperlink"/>
            <w:szCs w:val="18"/>
          </w:rPr>
          <w:t>www</w:t>
        </w:r>
        <w:r w:rsidRPr="00304D05">
          <w:rPr>
            <w:rStyle w:val="Hyperlink"/>
            <w:szCs w:val="18"/>
            <w:lang w:val="ru-RU"/>
          </w:rPr>
          <w:t>.</w:t>
        </w:r>
        <w:r w:rsidRPr="00304D05">
          <w:rPr>
            <w:rStyle w:val="Hyperlink"/>
            <w:szCs w:val="18"/>
          </w:rPr>
          <w:t>who</w:t>
        </w:r>
        <w:r w:rsidRPr="00304D05">
          <w:rPr>
            <w:rStyle w:val="Hyperlink"/>
            <w:szCs w:val="18"/>
            <w:lang w:val="ru-RU"/>
          </w:rPr>
          <w:t>.</w:t>
        </w:r>
        <w:r w:rsidRPr="00304D05">
          <w:rPr>
            <w:rStyle w:val="Hyperlink"/>
            <w:szCs w:val="18"/>
          </w:rPr>
          <w:t>int</w:t>
        </w:r>
        <w:r w:rsidRPr="00304D05">
          <w:rPr>
            <w:rStyle w:val="Hyperlink"/>
            <w:szCs w:val="18"/>
            <w:lang w:val="ru-RU"/>
          </w:rPr>
          <w:t>/</w:t>
        </w:r>
        <w:r w:rsidRPr="00304D05">
          <w:rPr>
            <w:rStyle w:val="Hyperlink"/>
            <w:szCs w:val="18"/>
          </w:rPr>
          <w:t>peh</w:t>
        </w:r>
        <w:r w:rsidRPr="00304D05">
          <w:rPr>
            <w:rStyle w:val="Hyperlink"/>
            <w:szCs w:val="18"/>
            <w:lang w:val="ru-RU"/>
          </w:rPr>
          <w:t>-</w:t>
        </w:r>
        <w:r w:rsidRPr="00304D05">
          <w:rPr>
            <w:rStyle w:val="Hyperlink"/>
            <w:szCs w:val="18"/>
          </w:rPr>
          <w:t>emf</w:t>
        </w:r>
        <w:r w:rsidRPr="00304D05">
          <w:rPr>
            <w:rStyle w:val="Hyperlink"/>
            <w:szCs w:val="18"/>
            <w:lang w:val="ru-RU"/>
          </w:rPr>
          <w:t>/</w:t>
        </w:r>
        <w:r w:rsidRPr="00304D05">
          <w:rPr>
            <w:rStyle w:val="Hyperlink"/>
            <w:szCs w:val="18"/>
          </w:rPr>
          <w:t>standards</w:t>
        </w:r>
        <w:r w:rsidRPr="00304D05">
          <w:rPr>
            <w:rStyle w:val="Hyperlink"/>
            <w:szCs w:val="18"/>
            <w:lang w:val="ru-RU"/>
          </w:rPr>
          <w:t>/</w:t>
        </w:r>
        <w:r w:rsidRPr="00304D05">
          <w:rPr>
            <w:rStyle w:val="Hyperlink"/>
            <w:szCs w:val="18"/>
          </w:rPr>
          <w:t>framework</w:t>
        </w:r>
        <w:r w:rsidRPr="00304D05">
          <w:rPr>
            <w:rStyle w:val="Hyperlink"/>
            <w:szCs w:val="18"/>
            <w:lang w:val="ru-RU"/>
          </w:rPr>
          <w:t>/</w:t>
        </w:r>
        <w:r w:rsidRPr="00304D05">
          <w:rPr>
            <w:rStyle w:val="Hyperlink"/>
            <w:szCs w:val="18"/>
          </w:rPr>
          <w:t>en</w:t>
        </w:r>
        <w:r w:rsidRPr="00304D05">
          <w:rPr>
            <w:rStyle w:val="Hyperlink"/>
            <w:szCs w:val="18"/>
            <w:lang w:val="ru-RU"/>
          </w:rPr>
          <w:t>/</w:t>
        </w:r>
        <w:r w:rsidRPr="00304D05">
          <w:rPr>
            <w:rStyle w:val="Hyperlink"/>
            <w:szCs w:val="18"/>
          </w:rPr>
          <w:t>index</w:t>
        </w:r>
        <w:r w:rsidRPr="00304D05">
          <w:rPr>
            <w:rStyle w:val="Hyperlink"/>
            <w:szCs w:val="18"/>
            <w:lang w:val="ru-RU"/>
          </w:rPr>
          <w:t>.</w:t>
        </w:r>
        <w:r w:rsidRPr="00304D05">
          <w:rPr>
            <w:rStyle w:val="Hyperlink"/>
            <w:szCs w:val="18"/>
          </w:rPr>
          <w:t>html</w:t>
        </w:r>
      </w:hyperlink>
      <w:r w:rsidRPr="00304D05">
        <w:rPr>
          <w:szCs w:val="18"/>
          <w:lang w:val="ru-RU"/>
        </w:rPr>
        <w:t>.</w:t>
      </w:r>
    </w:p>
  </w:footnote>
  <w:footnote w:id="14">
    <w:p w:rsidR="00EF06F2" w:rsidRPr="00BA512B" w:rsidRDefault="00EF06F2" w:rsidP="0059063E">
      <w:pPr>
        <w:pStyle w:val="FootnoteText"/>
        <w:rPr>
          <w:lang w:val="ru-RU"/>
        </w:rPr>
      </w:pPr>
      <w:r w:rsidRPr="001A5CAA">
        <w:rPr>
          <w:rStyle w:val="FootnoteReference"/>
          <w:szCs w:val="18"/>
        </w:rPr>
        <w:footnoteRef/>
      </w:r>
      <w:r w:rsidRPr="00BD0093">
        <w:rPr>
          <w:lang w:val="ru-RU"/>
        </w:rPr>
        <w:tab/>
      </w:r>
      <w:r>
        <w:rPr>
          <w:lang w:val="ru-RU"/>
        </w:rPr>
        <w:t>МСЭ</w:t>
      </w:r>
      <w:r w:rsidRPr="00BA512B">
        <w:rPr>
          <w:lang w:val="ru-RU"/>
        </w:rPr>
        <w:t xml:space="preserve">, Руководство по соответствию предельным уровням воздействия электромагнитных полей </w:t>
      </w:r>
      <w:r w:rsidRPr="00BA512B">
        <w:rPr>
          <w:bCs/>
          <w:lang w:val="ru-RU"/>
        </w:rPr>
        <w:t>на человека</w:t>
      </w:r>
      <w:r w:rsidRPr="00BA512B">
        <w:rPr>
          <w:lang w:val="ru-RU"/>
        </w:rPr>
        <w:t>, К.52, декабрь 2004 года.</w:t>
      </w:r>
    </w:p>
  </w:footnote>
  <w:footnote w:id="15">
    <w:p w:rsidR="00EF06F2" w:rsidRPr="00CD44C6" w:rsidRDefault="00EF06F2" w:rsidP="0059063E">
      <w:pPr>
        <w:pStyle w:val="FootnoteText"/>
        <w:rPr>
          <w:lang w:val="ru-RU"/>
        </w:rPr>
      </w:pPr>
      <w:r w:rsidRPr="00950D1D">
        <w:rPr>
          <w:rStyle w:val="FootnoteReference"/>
        </w:rPr>
        <w:footnoteRef/>
      </w:r>
      <w:r w:rsidRPr="00CD44C6">
        <w:rPr>
          <w:color w:val="000000" w:themeColor="text1"/>
          <w:lang w:val="ru-RU"/>
        </w:rPr>
        <w:tab/>
      </w:r>
      <w:r>
        <w:rPr>
          <w:lang w:val="ru-RU"/>
        </w:rPr>
        <w:t>ВОЗ</w:t>
      </w:r>
      <w:r w:rsidRPr="00CD44C6">
        <w:rPr>
          <w:lang w:val="ru-RU"/>
        </w:rPr>
        <w:t xml:space="preserve">, </w:t>
      </w:r>
      <w:r>
        <w:rPr>
          <w:lang w:val="ru-RU"/>
        </w:rPr>
        <w:t>О</w:t>
      </w:r>
      <w:r w:rsidRPr="00CD44C6">
        <w:rPr>
          <w:lang w:val="ru-RU"/>
        </w:rPr>
        <w:t>снов</w:t>
      </w:r>
      <w:r>
        <w:rPr>
          <w:lang w:val="ru-RU"/>
        </w:rPr>
        <w:t>а</w:t>
      </w:r>
      <w:r w:rsidRPr="00CD44C6">
        <w:rPr>
          <w:lang w:val="ru-RU"/>
        </w:rPr>
        <w:t xml:space="preserve"> для разработки стандартов ЭМП </w:t>
      </w:r>
      <w:r>
        <w:rPr>
          <w:lang w:val="ru-RU"/>
        </w:rPr>
        <w:t xml:space="preserve">в аспекте </w:t>
      </w:r>
      <w:r w:rsidRPr="009B385A">
        <w:rPr>
          <w:lang w:val="ru-RU"/>
        </w:rPr>
        <w:t>воздействия</w:t>
      </w:r>
      <w:r>
        <w:rPr>
          <w:lang w:val="ru-RU"/>
        </w:rPr>
        <w:t xml:space="preserve"> на</w:t>
      </w:r>
      <w:r w:rsidRPr="00CD44C6">
        <w:rPr>
          <w:lang w:val="ru-RU"/>
        </w:rPr>
        <w:t xml:space="preserve"> здоровь</w:t>
      </w:r>
      <w:r>
        <w:rPr>
          <w:lang w:val="ru-RU"/>
        </w:rPr>
        <w:t>е.</w:t>
      </w:r>
    </w:p>
  </w:footnote>
  <w:footnote w:id="16">
    <w:p w:rsidR="00EF06F2" w:rsidRPr="00304D05" w:rsidRDefault="00EF06F2" w:rsidP="0059063E">
      <w:pPr>
        <w:pStyle w:val="FootnoteText"/>
        <w:rPr>
          <w:szCs w:val="18"/>
          <w:lang w:val="ru-RU"/>
        </w:rPr>
      </w:pPr>
      <w:r w:rsidRPr="00BA512B">
        <w:rPr>
          <w:rStyle w:val="FootnoteReference"/>
          <w:szCs w:val="18"/>
        </w:rPr>
        <w:footnoteRef/>
      </w:r>
      <w:r>
        <w:rPr>
          <w:lang w:val="ru-RU"/>
        </w:rPr>
        <w:tab/>
      </w:r>
      <w:r w:rsidRPr="00BA512B">
        <w:rPr>
          <w:lang w:val="ru-RU"/>
        </w:rPr>
        <w:t xml:space="preserve">Типовое законодательство ВОЗ в области защиты от электромагнитных полей, 2006 год, доступно по адресу: </w:t>
      </w:r>
      <w:hyperlink r:id="rId15" w:history="1">
        <w:r w:rsidRPr="00304D05">
          <w:rPr>
            <w:rStyle w:val="Hyperlink"/>
            <w:szCs w:val="18"/>
          </w:rPr>
          <w:t>http</w:t>
        </w:r>
        <w:r w:rsidRPr="00304D05">
          <w:rPr>
            <w:rStyle w:val="Hyperlink"/>
            <w:szCs w:val="18"/>
            <w:lang w:val="ru-RU"/>
          </w:rPr>
          <w:t>://</w:t>
        </w:r>
        <w:r w:rsidRPr="00304D05">
          <w:rPr>
            <w:rStyle w:val="Hyperlink"/>
            <w:szCs w:val="18"/>
          </w:rPr>
          <w:t>www</w:t>
        </w:r>
        <w:r w:rsidRPr="00304D05">
          <w:rPr>
            <w:rStyle w:val="Hyperlink"/>
            <w:szCs w:val="18"/>
            <w:lang w:val="ru-RU"/>
          </w:rPr>
          <w:t>.</w:t>
        </w:r>
        <w:r w:rsidRPr="00304D05">
          <w:rPr>
            <w:rStyle w:val="Hyperlink"/>
            <w:szCs w:val="18"/>
          </w:rPr>
          <w:t>who</w:t>
        </w:r>
        <w:r w:rsidRPr="00304D05">
          <w:rPr>
            <w:rStyle w:val="Hyperlink"/>
            <w:szCs w:val="18"/>
            <w:lang w:val="ru-RU"/>
          </w:rPr>
          <w:t>.</w:t>
        </w:r>
        <w:r w:rsidRPr="00304D05">
          <w:rPr>
            <w:rStyle w:val="Hyperlink"/>
            <w:szCs w:val="18"/>
          </w:rPr>
          <w:t>int</w:t>
        </w:r>
        <w:r w:rsidRPr="00304D05">
          <w:rPr>
            <w:rStyle w:val="Hyperlink"/>
            <w:szCs w:val="18"/>
            <w:lang w:val="ru-RU"/>
          </w:rPr>
          <w:t>/</w:t>
        </w:r>
        <w:r w:rsidRPr="00304D05">
          <w:rPr>
            <w:rStyle w:val="Hyperlink"/>
            <w:szCs w:val="18"/>
          </w:rPr>
          <w:t>entity</w:t>
        </w:r>
        <w:r w:rsidRPr="00304D05">
          <w:rPr>
            <w:rStyle w:val="Hyperlink"/>
            <w:szCs w:val="18"/>
            <w:lang w:val="ru-RU"/>
          </w:rPr>
          <w:t>/</w:t>
        </w:r>
        <w:r w:rsidRPr="00304D05">
          <w:rPr>
            <w:rStyle w:val="Hyperlink"/>
            <w:szCs w:val="18"/>
          </w:rPr>
          <w:t>peh</w:t>
        </w:r>
        <w:r w:rsidRPr="00304D05">
          <w:rPr>
            <w:rStyle w:val="Hyperlink"/>
            <w:szCs w:val="18"/>
            <w:lang w:val="ru-RU"/>
          </w:rPr>
          <w:t>-</w:t>
        </w:r>
        <w:r w:rsidRPr="00304D05">
          <w:rPr>
            <w:rStyle w:val="Hyperlink"/>
            <w:szCs w:val="18"/>
          </w:rPr>
          <w:t>emf</w:t>
        </w:r>
        <w:r w:rsidRPr="00304D05">
          <w:rPr>
            <w:rStyle w:val="Hyperlink"/>
            <w:szCs w:val="18"/>
            <w:lang w:val="ru-RU"/>
          </w:rPr>
          <w:t>/</w:t>
        </w:r>
        <w:r w:rsidRPr="00304D05">
          <w:rPr>
            <w:rStyle w:val="Hyperlink"/>
            <w:szCs w:val="18"/>
          </w:rPr>
          <w:t>standards</w:t>
        </w:r>
        <w:r w:rsidRPr="00304D05">
          <w:rPr>
            <w:rStyle w:val="Hyperlink"/>
            <w:szCs w:val="18"/>
            <w:lang w:val="ru-RU"/>
          </w:rPr>
          <w:t>/</w:t>
        </w:r>
        <w:r w:rsidRPr="00304D05">
          <w:rPr>
            <w:rStyle w:val="Hyperlink"/>
            <w:szCs w:val="18"/>
          </w:rPr>
          <w:t>emf</w:t>
        </w:r>
        <w:r w:rsidRPr="00304D05">
          <w:rPr>
            <w:rStyle w:val="Hyperlink"/>
            <w:szCs w:val="18"/>
            <w:lang w:val="ru-RU"/>
          </w:rPr>
          <w:t>_</w:t>
        </w:r>
        <w:r w:rsidRPr="00304D05">
          <w:rPr>
            <w:rStyle w:val="Hyperlink"/>
            <w:szCs w:val="18"/>
          </w:rPr>
          <w:t>model</w:t>
        </w:r>
        <w:r w:rsidRPr="00304D05">
          <w:rPr>
            <w:rStyle w:val="Hyperlink"/>
            <w:szCs w:val="18"/>
            <w:lang w:val="ru-RU"/>
          </w:rPr>
          <w:t>/</w:t>
        </w:r>
        <w:r w:rsidRPr="00304D05">
          <w:rPr>
            <w:rStyle w:val="Hyperlink"/>
            <w:szCs w:val="18"/>
          </w:rPr>
          <w:t>en</w:t>
        </w:r>
        <w:r w:rsidRPr="00304D05">
          <w:rPr>
            <w:rStyle w:val="Hyperlink"/>
            <w:szCs w:val="18"/>
            <w:lang w:val="ru-RU"/>
          </w:rPr>
          <w:t>/</w:t>
        </w:r>
        <w:r w:rsidRPr="00304D05">
          <w:rPr>
            <w:rStyle w:val="Hyperlink"/>
            <w:szCs w:val="18"/>
          </w:rPr>
          <w:t>index</w:t>
        </w:r>
        <w:r w:rsidRPr="00304D05">
          <w:rPr>
            <w:rStyle w:val="Hyperlink"/>
            <w:szCs w:val="18"/>
            <w:lang w:val="ru-RU"/>
          </w:rPr>
          <w:t>.</w:t>
        </w:r>
        <w:r w:rsidRPr="00304D05">
          <w:rPr>
            <w:rStyle w:val="Hyperlink"/>
            <w:szCs w:val="18"/>
          </w:rPr>
          <w:t>html</w:t>
        </w:r>
      </w:hyperlink>
      <w:r w:rsidRPr="00304D05">
        <w:rPr>
          <w:szCs w:val="18"/>
          <w:lang w:val="ru-RU"/>
        </w:rPr>
        <w:t>.</w:t>
      </w:r>
    </w:p>
  </w:footnote>
  <w:footnote w:id="17">
    <w:p w:rsidR="00EF06F2" w:rsidRPr="00D778BC" w:rsidRDefault="00EF06F2" w:rsidP="0059063E">
      <w:pPr>
        <w:pStyle w:val="FootnoteText"/>
        <w:rPr>
          <w:lang w:val="ru-RU"/>
        </w:rPr>
      </w:pPr>
      <w:r w:rsidRPr="00E71630">
        <w:rPr>
          <w:rStyle w:val="FootnoteReference"/>
        </w:rPr>
        <w:footnoteRef/>
      </w:r>
      <w:r w:rsidRPr="00D778BC">
        <w:rPr>
          <w:color w:val="000000" w:themeColor="text1"/>
          <w:lang w:val="ru-RU"/>
        </w:rPr>
        <w:tab/>
      </w:r>
      <w:r w:rsidRPr="00D778BC">
        <w:rPr>
          <w:lang w:val="ru-RU"/>
        </w:rPr>
        <w:t xml:space="preserve">Справочник МСЭ по контролю за использованием спектра, </w:t>
      </w:r>
      <w:r w:rsidRPr="009B385A">
        <w:rPr>
          <w:lang w:val="ru-RU"/>
        </w:rPr>
        <w:t>2011</w:t>
      </w:r>
      <w:r w:rsidRPr="00D778BC">
        <w:t> </w:t>
      </w:r>
      <w:r w:rsidRPr="00D778BC">
        <w:rPr>
          <w:lang w:val="ru-RU"/>
        </w:rPr>
        <w:t>год.</w:t>
      </w:r>
    </w:p>
  </w:footnote>
  <w:footnote w:id="18">
    <w:p w:rsidR="00EF06F2" w:rsidRPr="000D65AF" w:rsidRDefault="00EF06F2" w:rsidP="0059063E">
      <w:pPr>
        <w:pStyle w:val="FootnoteText"/>
        <w:rPr>
          <w:lang w:val="ru-RU"/>
        </w:rPr>
      </w:pPr>
      <w:r w:rsidRPr="00E71630">
        <w:rPr>
          <w:rStyle w:val="FootnoteReference"/>
        </w:rPr>
        <w:footnoteRef/>
      </w:r>
      <w:r w:rsidRPr="000D65AF">
        <w:rPr>
          <w:rFonts w:cs="Consolas"/>
          <w:lang w:val="ru-RU"/>
        </w:rPr>
        <w:tab/>
      </w:r>
      <w:r w:rsidRPr="000D65AF">
        <w:rPr>
          <w:lang w:val="ru-RU"/>
        </w:rPr>
        <w:t xml:space="preserve">Глава 5.6 Справочника МСЭ по контролю за использованием </w:t>
      </w:r>
      <w:r w:rsidRPr="009B385A">
        <w:rPr>
          <w:lang w:val="ru-RU"/>
        </w:rPr>
        <w:t>спектра</w:t>
      </w:r>
      <w:r w:rsidRPr="000D65AF">
        <w:rPr>
          <w:lang w:val="ru-RU"/>
        </w:rPr>
        <w:t>.</w:t>
      </w:r>
    </w:p>
  </w:footnote>
  <w:footnote w:id="19">
    <w:p w:rsidR="00EF06F2" w:rsidRPr="000D65AF" w:rsidRDefault="00EF06F2" w:rsidP="0059063E">
      <w:pPr>
        <w:pStyle w:val="FootnoteText"/>
        <w:rPr>
          <w:lang w:val="ru-RU"/>
        </w:rPr>
      </w:pPr>
      <w:r w:rsidRPr="00E71630">
        <w:rPr>
          <w:rStyle w:val="FootnoteReference"/>
        </w:rPr>
        <w:footnoteRef/>
      </w:r>
      <w:r w:rsidRPr="000D65AF">
        <w:rPr>
          <w:rFonts w:cs="Consolas"/>
          <w:lang w:val="ru-RU"/>
        </w:rPr>
        <w:tab/>
      </w:r>
      <w:r w:rsidRPr="000D65AF">
        <w:rPr>
          <w:lang w:val="ru-RU"/>
        </w:rPr>
        <w:t xml:space="preserve">Глава 5.6 Справочника МСЭ по контролю за использованием </w:t>
      </w:r>
      <w:r w:rsidRPr="009B385A">
        <w:rPr>
          <w:lang w:val="ru-RU"/>
        </w:rPr>
        <w:t>спектра</w:t>
      </w:r>
      <w:r w:rsidRPr="000D65AF">
        <w:rPr>
          <w:lang w:val="ru-RU"/>
        </w:rPr>
        <w:t>.</w:t>
      </w:r>
    </w:p>
  </w:footnote>
  <w:footnote w:id="20">
    <w:p w:rsidR="00EF06F2" w:rsidRPr="00304D05" w:rsidRDefault="00EF06F2" w:rsidP="0059063E">
      <w:pPr>
        <w:pStyle w:val="FootnoteText"/>
        <w:rPr>
          <w:szCs w:val="18"/>
        </w:rPr>
      </w:pPr>
      <w:r w:rsidRPr="00B9534B">
        <w:rPr>
          <w:rStyle w:val="FootnoteReference"/>
          <w:szCs w:val="18"/>
        </w:rPr>
        <w:footnoteRef/>
      </w:r>
      <w:r w:rsidRPr="0059063E">
        <w:rPr>
          <w:lang w:val="en-US"/>
        </w:rPr>
        <w:tab/>
      </w:r>
      <w:hyperlink r:id="rId16" w:history="1">
        <w:r w:rsidRPr="00304D05">
          <w:rPr>
            <w:rStyle w:val="Hyperlink"/>
            <w:szCs w:val="18"/>
          </w:rPr>
          <w:t>http://www.sartick.com/</w:t>
        </w:r>
      </w:hyperlink>
      <w:r w:rsidRPr="00304D05">
        <w:rPr>
          <w:szCs w:val="18"/>
          <w:lang w:val="en-US"/>
        </w:rPr>
        <w:t>.</w:t>
      </w:r>
    </w:p>
  </w:footnote>
  <w:footnote w:id="21">
    <w:p w:rsidR="00EF06F2" w:rsidRPr="00CB5D12" w:rsidRDefault="00EF06F2" w:rsidP="00637721">
      <w:pPr>
        <w:pStyle w:val="FootnoteText"/>
        <w:rPr>
          <w:szCs w:val="18"/>
        </w:rPr>
      </w:pPr>
      <w:r w:rsidRPr="00FA6CE1">
        <w:rPr>
          <w:rStyle w:val="FootnoteReference"/>
          <w:lang w:val="en-US"/>
        </w:rPr>
        <w:t>1</w:t>
      </w:r>
      <w:r>
        <w:t xml:space="preserve"> </w:t>
      </w:r>
      <w:r>
        <w:rPr>
          <w:szCs w:val="18"/>
        </w:rPr>
        <w:tab/>
      </w:r>
      <w:r w:rsidRPr="00CB5D12">
        <w:rPr>
          <w:szCs w:val="18"/>
        </w:rPr>
        <w:t xml:space="preserve">See Mazar H. 2009a </w:t>
      </w:r>
      <w:hyperlink r:id="rId17" w:history="1">
        <w:r w:rsidRPr="0060799F">
          <w:rPr>
            <w:rStyle w:val="Hyperlink"/>
            <w:szCs w:val="18"/>
            <w:lang w:val="en-US"/>
          </w:rPr>
          <w:t>An Analysis of Regulatory Frameworks for Wireless Communications, Societal Concerns and Risk: the Case of Radio Frequency (RF) Allocation and Licensing</w:t>
        </w:r>
      </w:hyperlink>
    </w:p>
  </w:footnote>
  <w:footnote w:id="22">
    <w:p w:rsidR="00EF06F2" w:rsidRPr="00CB5D12" w:rsidRDefault="00EF06F2" w:rsidP="00061F17">
      <w:pPr>
        <w:pStyle w:val="FootnoteText"/>
      </w:pPr>
      <w:r w:rsidRPr="001970D2">
        <w:rPr>
          <w:rStyle w:val="FootnoteReference"/>
          <w:lang w:val="en-US"/>
        </w:rPr>
        <w:t>1</w:t>
      </w:r>
      <w:r>
        <w:t xml:space="preserve"> </w:t>
      </w:r>
      <w:r>
        <w:rPr>
          <w:szCs w:val="18"/>
        </w:rPr>
        <w:tab/>
      </w:r>
      <w:r w:rsidRPr="00CB5D12">
        <w:rPr>
          <w:szCs w:val="18"/>
        </w:rPr>
        <w:t xml:space="preserve">See </w:t>
      </w:r>
      <w:r w:rsidRPr="00CB5D12">
        <w:rPr>
          <w:snapToGrid w:val="0"/>
          <w:szCs w:val="18"/>
        </w:rPr>
        <w:t>Mazar H. 2009a and a forthcoming John Wiley &amp; Sons publication, ‘Radio Spectrum Management:  Policies, Regulations, Standards and Techniques’, chapter 13 - Limitations to Radio Frequency Human Exposure.</w:t>
      </w:r>
    </w:p>
  </w:footnote>
  <w:footnote w:id="23">
    <w:p w:rsidR="00EF06F2" w:rsidRPr="00D25AD1" w:rsidRDefault="00EF06F2" w:rsidP="00061F17">
      <w:pPr>
        <w:pStyle w:val="FootnoteText"/>
        <w:rPr>
          <w:szCs w:val="18"/>
          <w:lang w:eastAsia="en-GB"/>
        </w:rPr>
      </w:pPr>
      <w:r w:rsidRPr="001970D2">
        <w:rPr>
          <w:rStyle w:val="FootnoteReference"/>
          <w:lang w:val="en-US"/>
        </w:rPr>
        <w:t>2</w:t>
      </w:r>
      <w:r>
        <w:t xml:space="preserve"> </w:t>
      </w:r>
      <w:r>
        <w:rPr>
          <w:szCs w:val="18"/>
          <w:lang w:eastAsia="en-GB"/>
        </w:rPr>
        <w:tab/>
      </w:r>
      <w:r w:rsidRPr="00D25AD1">
        <w:rPr>
          <w:szCs w:val="18"/>
          <w:lang w:eastAsia="en-GB"/>
        </w:rPr>
        <w:t xml:space="preserve">ICNIRP1998:509 table 4; EC 1999/519, Annex III, Table 1; FCC 1997:75 (and </w:t>
      </w:r>
      <w:r w:rsidRPr="00D25AD1">
        <w:rPr>
          <w:szCs w:val="18"/>
        </w:rPr>
        <w:t>FCC 2006 CFR 47 § 2.1093).</w:t>
      </w:r>
    </w:p>
  </w:footnote>
  <w:footnote w:id="24">
    <w:p w:rsidR="00EF06F2" w:rsidRPr="00D25AD1" w:rsidRDefault="00EF06F2" w:rsidP="00061F17">
      <w:pPr>
        <w:pStyle w:val="FootnoteText"/>
        <w:rPr>
          <w:szCs w:val="18"/>
          <w:lang w:eastAsia="en-GB"/>
        </w:rPr>
      </w:pPr>
      <w:r w:rsidRPr="001970D2">
        <w:rPr>
          <w:rStyle w:val="FootnoteReference"/>
          <w:lang w:val="en-US"/>
        </w:rPr>
        <w:t>3</w:t>
      </w:r>
      <w:r>
        <w:t xml:space="preserve"> </w:t>
      </w:r>
      <w:r>
        <w:rPr>
          <w:szCs w:val="18"/>
          <w:lang w:eastAsia="en-GB"/>
        </w:rPr>
        <w:tab/>
      </w:r>
      <w:r w:rsidRPr="00D25AD1">
        <w:rPr>
          <w:szCs w:val="18"/>
          <w:lang w:eastAsia="en-GB"/>
        </w:rPr>
        <w:t>Even the averaging is more stringent in the US, as the limit is averaged over one gram (FCC 2001:75), and not 10 grams as in ICNIRP 1998</w:t>
      </w:r>
      <w:r w:rsidRPr="00D25AD1">
        <w:rPr>
          <w:color w:val="00FF00"/>
          <w:szCs w:val="18"/>
          <w:lang w:eastAsia="en-GB"/>
        </w:rPr>
        <w:t>.</w:t>
      </w:r>
      <w:r w:rsidRPr="00D25AD1">
        <w:rPr>
          <w:szCs w:val="18"/>
          <w:lang w:eastAsia="en-GB"/>
        </w:rPr>
        <w:t xml:space="preserve"> Following changes in the IEEE C95.1-2005 standard, the US ANSI may adopt in the future the less stringent European level for SAR and averaging.</w:t>
      </w:r>
    </w:p>
  </w:footnote>
  <w:footnote w:id="25">
    <w:p w:rsidR="00EF06F2" w:rsidRPr="00C20DC1" w:rsidRDefault="00EF06F2">
      <w:pPr>
        <w:pStyle w:val="FootnoteText"/>
      </w:pPr>
      <w:r w:rsidRPr="00C20DC1">
        <w:rPr>
          <w:rStyle w:val="FootnoteReference"/>
          <w:lang w:val="en-GB"/>
        </w:rPr>
        <w:t>*</w:t>
      </w:r>
      <w:r>
        <w:t xml:space="preserve"> </w:t>
      </w:r>
      <w:r>
        <w:tab/>
      </w:r>
      <w:hyperlink r:id="rId18" w:history="1">
        <w:r w:rsidRPr="0060799F">
          <w:rPr>
            <w:rStyle w:val="Hyperlink"/>
            <w:szCs w:val="19"/>
            <w:lang w:val="en-US"/>
          </w:rPr>
          <w:t>http://www.itu.int/ITU-D/study_groups/SGP_2010-2014/doc/rgq/2010/D10-RGQ23.1-en.pdf</w:t>
        </w:r>
      </w:hyperlink>
    </w:p>
  </w:footnote>
  <w:footnote w:id="26">
    <w:p w:rsidR="00EF06F2" w:rsidRPr="00FA6CE1" w:rsidRDefault="00EF06F2">
      <w:pPr>
        <w:pStyle w:val="FootnoteText"/>
      </w:pPr>
      <w:r w:rsidRPr="00FA6CE1">
        <w:rPr>
          <w:rStyle w:val="FootnoteReference"/>
          <w:lang w:val="en-US"/>
        </w:rPr>
        <w:t>*</w:t>
      </w:r>
      <w:r>
        <w:t xml:space="preserve"> </w:t>
      </w:r>
      <w:r>
        <w:tab/>
      </w:r>
      <w:hyperlink r:id="rId19" w:history="1">
        <w:r w:rsidRPr="0060799F">
          <w:rPr>
            <w:rStyle w:val="Hyperlink"/>
            <w:szCs w:val="19"/>
            <w:lang w:val="en-US"/>
          </w:rPr>
          <w:t>http://www.itu.int/pub/T-RES-T.72-2012</w:t>
        </w:r>
      </w:hyperlink>
    </w:p>
  </w:footnote>
  <w:footnote w:id="27">
    <w:p w:rsidR="00EF06F2" w:rsidRPr="00916816" w:rsidRDefault="00EF06F2" w:rsidP="00061F17">
      <w:pPr>
        <w:pStyle w:val="FootnoteText"/>
      </w:pPr>
      <w:r w:rsidRPr="00FA6CE1">
        <w:rPr>
          <w:rStyle w:val="FootnoteReference"/>
          <w:lang w:val="en-US"/>
        </w:rPr>
        <w:t>1</w:t>
      </w:r>
      <w:r>
        <w:t xml:space="preserve"> </w:t>
      </w:r>
      <w:r>
        <w:tab/>
      </w:r>
      <w:r w:rsidRPr="00415A34">
        <w:rPr>
          <w:sz w:val="19"/>
          <w:szCs w:val="19"/>
        </w:rPr>
        <w:t>These include the least developed countries, small island developing states, landlocked developing countries and countries with economies in transition.</w:t>
      </w:r>
    </w:p>
  </w:footnote>
  <w:footnote w:id="28">
    <w:p w:rsidR="00EF06F2" w:rsidRPr="00BC0DB7" w:rsidRDefault="00EF06F2">
      <w:pPr>
        <w:pStyle w:val="FootnoteText"/>
        <w:rPr>
          <w:lang w:val="en-US"/>
        </w:rPr>
      </w:pPr>
      <w:r w:rsidRPr="00BC0DB7">
        <w:rPr>
          <w:rStyle w:val="FootnoteReference"/>
          <w:lang w:val="en-US"/>
        </w:rPr>
        <w:t>*</w:t>
      </w:r>
      <w:r>
        <w:t xml:space="preserve"> </w:t>
      </w:r>
      <w:r>
        <w:tab/>
      </w:r>
      <w:hyperlink r:id="rId20" w:history="1">
        <w:r w:rsidRPr="0060799F">
          <w:rPr>
            <w:rStyle w:val="Hyperlink"/>
            <w:szCs w:val="19"/>
            <w:lang w:val="en-US"/>
          </w:rPr>
          <w:t>http://www.itu.int/ITU-D/conferences/wtdc/2010/pdf/WTDC10_DraftPreliminaryReport.pdf</w:t>
        </w:r>
      </w:hyperlink>
      <w:r>
        <w:rPr>
          <w:lang w:val="en-US"/>
        </w:rPr>
        <w:t xml:space="preserve"> </w:t>
      </w:r>
    </w:p>
  </w:footnote>
  <w:footnote w:id="29">
    <w:p w:rsidR="00EF06F2" w:rsidRPr="00061F17" w:rsidRDefault="00EF06F2" w:rsidP="00BC0DB7">
      <w:pPr>
        <w:pStyle w:val="FootnoteText"/>
      </w:pPr>
      <w:r w:rsidRPr="00FA6CE1">
        <w:rPr>
          <w:rStyle w:val="FootnoteReference"/>
          <w:lang w:val="en-US"/>
        </w:rPr>
        <w:t>1</w:t>
      </w:r>
      <w:r w:rsidRPr="00061F17">
        <w:t xml:space="preserve"> </w:t>
      </w:r>
      <w:r>
        <w:tab/>
      </w:r>
      <w:r w:rsidRPr="00061F17">
        <w:t xml:space="preserve">These include the least developed countries, small island developing states, landlocked developing countries and countries with economies in transition. </w:t>
      </w:r>
    </w:p>
  </w:footnote>
  <w:footnote w:id="30">
    <w:p w:rsidR="00EF06F2" w:rsidRPr="00BC0DB7" w:rsidRDefault="00EF06F2">
      <w:pPr>
        <w:pStyle w:val="FootnoteText"/>
        <w:rPr>
          <w:lang w:val="en-US"/>
        </w:rPr>
      </w:pPr>
      <w:r w:rsidRPr="00BC0DB7">
        <w:rPr>
          <w:rStyle w:val="FootnoteReference"/>
          <w:lang w:val="en-GB"/>
        </w:rPr>
        <w:t>*</w:t>
      </w:r>
      <w:r>
        <w:t xml:space="preserve"> </w:t>
      </w:r>
      <w:r>
        <w:rPr>
          <w:lang w:val="en-US"/>
        </w:rPr>
        <w:tab/>
      </w:r>
      <w:hyperlink r:id="rId21" w:history="1">
        <w:r w:rsidRPr="0060799F">
          <w:rPr>
            <w:rStyle w:val="Hyperlink"/>
            <w:szCs w:val="19"/>
            <w:lang w:val="en-US"/>
          </w:rPr>
          <w:t>http://www.itu.int/pub/S-CONF-ACTF-2010/en</w:t>
        </w:r>
      </w:hyperlink>
    </w:p>
  </w:footnote>
  <w:footnote w:id="31">
    <w:p w:rsidR="00EF06F2" w:rsidRPr="00FA6CE1" w:rsidRDefault="00EF06F2" w:rsidP="00C5703E">
      <w:pPr>
        <w:pStyle w:val="FootnoteText"/>
        <w:rPr>
          <w:rStyle w:val="FootnoteTextChar"/>
        </w:rPr>
      </w:pPr>
      <w:r w:rsidRPr="00061F17">
        <w:rPr>
          <w:rStyle w:val="FootnoteReference"/>
          <w:szCs w:val="19"/>
          <w:lang w:val="en-US"/>
        </w:rPr>
        <w:t>1</w:t>
      </w:r>
      <w:r w:rsidRPr="00FA6CE1">
        <w:tab/>
      </w:r>
      <w:r w:rsidRPr="00FA6CE1">
        <w:rPr>
          <w:rStyle w:val="FootnoteTextChar"/>
        </w:rPr>
        <w:t xml:space="preserve">Guidelines for limiting exposure to time-varying electric, magnetic and electromagnetic fields (up to 300 GHz) – </w:t>
      </w:r>
      <w:hyperlink r:id="rId22" w:history="1">
        <w:r w:rsidRPr="00667A32">
          <w:rPr>
            <w:rStyle w:val="Hyperlink"/>
            <w:bCs/>
            <w:szCs w:val="18"/>
          </w:rPr>
          <w:t>http://www.icnirp.de/documents/emfgdl.pdf</w:t>
        </w:r>
      </w:hyperlink>
      <w:r w:rsidRPr="00FA6CE1">
        <w:rPr>
          <w:rStyle w:val="FootnoteTextChar"/>
        </w:rPr>
        <w:t>.</w:t>
      </w:r>
      <w:r>
        <w:rPr>
          <w:rStyle w:val="FootnoteTextChar"/>
        </w:rPr>
        <w:t xml:space="preserve"> </w:t>
      </w:r>
    </w:p>
  </w:footnote>
  <w:footnote w:id="32">
    <w:p w:rsidR="00EF06F2" w:rsidRPr="00667A32" w:rsidRDefault="00EF06F2" w:rsidP="00FA6CE1">
      <w:pPr>
        <w:pStyle w:val="FootnoteText"/>
        <w:rPr>
          <w:rStyle w:val="FootnoteTextChar"/>
          <w:b/>
          <w:bCs/>
          <w:szCs w:val="18"/>
        </w:rPr>
      </w:pPr>
      <w:r w:rsidRPr="00061F17">
        <w:rPr>
          <w:rStyle w:val="FootnoteReference"/>
          <w:szCs w:val="19"/>
          <w:lang w:val="en-US"/>
        </w:rPr>
        <w:t>2</w:t>
      </w:r>
      <w:r w:rsidRPr="00FA6CE1">
        <w:tab/>
        <w:t>IEEE Std C95.1™-2005, IEEE standard for safety levels with respect to human exposure to radio frequency electromagnetic fields, 3 kHz to 300 GHz</w:t>
      </w:r>
      <w:r w:rsidRPr="00667A32">
        <w:rPr>
          <w:rStyle w:val="FootnoteTextChar"/>
          <w:b/>
          <w:szCs w:val="18"/>
        </w:rPr>
        <w:t>.</w:t>
      </w:r>
    </w:p>
  </w:footnote>
  <w:footnote w:id="33">
    <w:p w:rsidR="00EF06F2" w:rsidRPr="008B2D4E" w:rsidRDefault="00EF06F2">
      <w:pPr>
        <w:pStyle w:val="FootnoteText"/>
      </w:pPr>
      <w:r w:rsidRPr="008B2D4E">
        <w:rPr>
          <w:rStyle w:val="FootnoteReference"/>
          <w:lang w:val="en-GB"/>
        </w:rPr>
        <w:t>*</w:t>
      </w:r>
      <w:r>
        <w:t xml:space="preserve"> </w:t>
      </w:r>
      <w:r>
        <w:tab/>
      </w:r>
      <w:hyperlink r:id="rId23" w:history="1">
        <w:r w:rsidRPr="0060799F">
          <w:rPr>
            <w:rStyle w:val="Hyperlink"/>
            <w:bCs/>
            <w:szCs w:val="19"/>
            <w:lang w:val="en-US"/>
          </w:rPr>
          <w:t>http://www.itu.int/md/D10-RGQ23.1-INF-0004/</w:t>
        </w:r>
      </w:hyperlink>
    </w:p>
  </w:footnote>
  <w:footnote w:id="34">
    <w:p w:rsidR="00EF06F2" w:rsidRPr="008B2D4E" w:rsidRDefault="00EF06F2">
      <w:pPr>
        <w:pStyle w:val="FootnoteText"/>
        <w:rPr>
          <w:lang w:val="en-US"/>
        </w:rPr>
      </w:pPr>
      <w:r w:rsidRPr="008B2D4E">
        <w:rPr>
          <w:rStyle w:val="FootnoteReference"/>
          <w:lang w:val="en-GB"/>
        </w:rPr>
        <w:t>*</w:t>
      </w:r>
      <w:r>
        <w:t xml:space="preserve"> </w:t>
      </w:r>
      <w:r>
        <w:rPr>
          <w:lang w:val="en-US"/>
        </w:rPr>
        <w:tab/>
      </w:r>
      <w:hyperlink r:id="rId24" w:history="1">
        <w:r w:rsidRPr="0060799F">
          <w:rPr>
            <w:rStyle w:val="Hyperlink"/>
            <w:bCs/>
            <w:szCs w:val="19"/>
            <w:lang w:val="en-US"/>
          </w:rPr>
          <w:t>http://www.itu.int/ITU-D/CDS/sg/rgqlist.asp?lg=1&amp;sp=2010&amp;rgq=D10-RGQ23.1&amp;stg=1</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6F2" w:rsidRPr="00C5754A" w:rsidRDefault="00EF06F2" w:rsidP="00C5754A">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6F2" w:rsidRPr="00C5754A" w:rsidRDefault="00EF06F2" w:rsidP="00C5754A">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6F2" w:rsidRPr="008920E3" w:rsidRDefault="00EF06F2" w:rsidP="008920E3">
    <w:pPr>
      <w:pStyle w:val="Header"/>
      <w:rPr>
        <w:lang w:val="ru-RU"/>
      </w:rPr>
    </w:pPr>
    <w:r>
      <w:rPr>
        <w:lang w:val="ru-RU"/>
      </w:rPr>
      <w:t>В</w:t>
    </w:r>
    <w:r w:rsidRPr="004017E4">
      <w:rPr>
        <w:lang w:val="ru-RU"/>
      </w:rPr>
      <w:t>23/1:</w:t>
    </w:r>
    <w:r w:rsidRPr="004017E4">
      <w:rPr>
        <w:rFonts w:cstheme="minorBidi"/>
        <w:lang w:val="ru-RU" w:bidi="ar-EG"/>
      </w:rPr>
      <w:t xml:space="preserve"> </w:t>
    </w:r>
    <w:r w:rsidRPr="004017E4">
      <w:rPr>
        <w:lang w:val="ru-RU"/>
      </w:rPr>
      <w:t>Стратегии и политика, касающиеся воздействия электромагнитных полей на человека</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6F2" w:rsidRPr="004017E4" w:rsidRDefault="00EF06F2" w:rsidP="001B6FDC">
    <w:pPr>
      <w:pStyle w:val="Header"/>
      <w:rPr>
        <w:lang w:val="ru-RU"/>
      </w:rPr>
    </w:pPr>
    <w:r>
      <w:rPr>
        <w:lang w:val="ru-RU"/>
      </w:rPr>
      <w:t>В</w:t>
    </w:r>
    <w:r w:rsidRPr="004017E4">
      <w:rPr>
        <w:lang w:val="ru-RU"/>
      </w:rPr>
      <w:t>23/1:</w:t>
    </w:r>
    <w:r w:rsidRPr="004017E4">
      <w:rPr>
        <w:rFonts w:cstheme="minorBidi"/>
        <w:lang w:val="ru-RU" w:bidi="ar-EG"/>
      </w:rPr>
      <w:t xml:space="preserve"> </w:t>
    </w:r>
    <w:r w:rsidRPr="004017E4">
      <w:rPr>
        <w:lang w:val="ru-RU"/>
      </w:rPr>
      <w:t>Стратегии и политика, касающиеся воздействия электромагнитных полей на человека</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6F2" w:rsidRPr="001B6FDC" w:rsidRDefault="00EF06F2" w:rsidP="00912B4B">
    <w:pPr>
      <w:pStyle w:val="Header"/>
      <w:rPr>
        <w:lang w:val="ru-RU"/>
      </w:rPr>
    </w:pPr>
    <w:r>
      <w:rPr>
        <w:lang w:val="ru-RU"/>
      </w:rPr>
      <w:t>В</w:t>
    </w:r>
    <w:r w:rsidRPr="004017E4">
      <w:rPr>
        <w:lang w:val="ru-RU"/>
      </w:rPr>
      <w:t>23/1:</w:t>
    </w:r>
    <w:r w:rsidRPr="004017E4">
      <w:rPr>
        <w:rFonts w:cstheme="minorBidi"/>
        <w:lang w:val="ru-RU" w:bidi="ar-EG"/>
      </w:rPr>
      <w:t xml:space="preserve"> </w:t>
    </w:r>
    <w:r w:rsidRPr="004017E4">
      <w:rPr>
        <w:lang w:val="ru-RU"/>
      </w:rPr>
      <w:t>Стратегии и политика, касающиеся воздействия электромагнитных полей на человека</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6F2" w:rsidRPr="001B6FDC" w:rsidRDefault="00EF06F2" w:rsidP="00DD067F">
    <w:pPr>
      <w:pStyle w:val="Header"/>
      <w:rPr>
        <w:lang w:val="ru-RU"/>
      </w:rPr>
    </w:pPr>
    <w:r>
      <w:rPr>
        <w:lang w:val="ru-RU"/>
      </w:rPr>
      <w:t>В</w:t>
    </w:r>
    <w:r w:rsidRPr="004017E4">
      <w:rPr>
        <w:lang w:val="ru-RU"/>
      </w:rPr>
      <w:t>23/1:</w:t>
    </w:r>
    <w:r w:rsidRPr="004017E4">
      <w:rPr>
        <w:rFonts w:cstheme="minorBidi"/>
        <w:lang w:val="ru-RU" w:bidi="ar-EG"/>
      </w:rPr>
      <w:t xml:space="preserve"> </w:t>
    </w:r>
    <w:r w:rsidRPr="004017E4">
      <w:rPr>
        <w:lang w:val="ru-RU"/>
      </w:rPr>
      <w:t>Стратегии и политика, касающиеся воздействия электромагнитных полей на человека</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6F2" w:rsidRPr="0044642E" w:rsidRDefault="00EF06F2" w:rsidP="00002906">
    <w:pPr>
      <w:pStyle w:val="Header"/>
      <w:rPr>
        <w:lang w:val="ru-RU"/>
      </w:rPr>
    </w:pPr>
    <w:r>
      <w:rPr>
        <w:lang w:val="ru-RU"/>
      </w:rPr>
      <w:t>В</w:t>
    </w:r>
    <w:r w:rsidRPr="004017E4">
      <w:rPr>
        <w:lang w:val="ru-RU"/>
      </w:rPr>
      <w:t>23/1:</w:t>
    </w:r>
    <w:r w:rsidRPr="004017E4">
      <w:rPr>
        <w:rFonts w:cstheme="minorBidi"/>
        <w:lang w:val="ru-RU" w:bidi="ar-EG"/>
      </w:rPr>
      <w:t xml:space="preserve"> </w:t>
    </w:r>
    <w:r w:rsidRPr="004017E4">
      <w:rPr>
        <w:lang w:val="ru-RU"/>
      </w:rPr>
      <w:t>Стратегии и политика, касающиеся воздействия электромагнитных полей на человека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0267_"/>
      </v:shape>
    </w:pict>
  </w:numPicBullet>
  <w:abstractNum w:abstractNumId="0">
    <w:nsid w:val="FFFFFF82"/>
    <w:multiLevelType w:val="singleLevel"/>
    <w:tmpl w:val="28080DEC"/>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3F3D10"/>
    <w:multiLevelType w:val="hybridMultilevel"/>
    <w:tmpl w:val="B8CE6ABC"/>
    <w:lvl w:ilvl="0" w:tplc="E35E1910">
      <w:start w:val="30"/>
      <w:numFmt w:val="bullet"/>
      <w:lvlText w:val="-"/>
      <w:lvlJc w:val="left"/>
      <w:pPr>
        <w:ind w:left="720" w:hanging="360"/>
      </w:pPr>
      <w:rPr>
        <w:rFonts w:ascii="Trebuchet MS" w:eastAsia="SimHei" w:hAnsi="Trebuchet M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ADE194B"/>
    <w:multiLevelType w:val="hybridMultilevel"/>
    <w:tmpl w:val="34B2192C"/>
    <w:lvl w:ilvl="0" w:tplc="2542BA02">
      <w:start w:val="1"/>
      <w:numFmt w:val="bullet"/>
      <w:lvlText w:val=""/>
      <w:lvlJc w:val="left"/>
      <w:pPr>
        <w:ind w:left="360" w:hanging="360"/>
      </w:pPr>
      <w:rPr>
        <w:rFonts w:ascii="Symbol" w:hAnsi="Symbol" w:hint="default"/>
        <w:color w:val="auto"/>
        <w:sz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
    <w:nsid w:val="14C31F2A"/>
    <w:multiLevelType w:val="hybridMultilevel"/>
    <w:tmpl w:val="71F432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68806C4"/>
    <w:multiLevelType w:val="hybridMultilevel"/>
    <w:tmpl w:val="EC400B8C"/>
    <w:lvl w:ilvl="0" w:tplc="7B226D76">
      <w:start w:val="1"/>
      <w:numFmt w:val="bullet"/>
      <w:lvlText w:val=""/>
      <w:lvlJc w:val="left"/>
      <w:pPr>
        <w:ind w:left="360" w:hanging="360"/>
      </w:pPr>
      <w:rPr>
        <w:rFonts w:ascii="Symbol" w:hAnsi="Symbol" w:hint="default"/>
        <w:lang w:val="ru-RU"/>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EFD7CC6"/>
    <w:multiLevelType w:val="hybridMultilevel"/>
    <w:tmpl w:val="013472D4"/>
    <w:lvl w:ilvl="0" w:tplc="2542BA02">
      <w:start w:val="1"/>
      <w:numFmt w:val="bullet"/>
      <w:lvlText w:val=""/>
      <w:lvlJc w:val="left"/>
      <w:pPr>
        <w:ind w:left="360" w:hanging="360"/>
      </w:pPr>
      <w:rPr>
        <w:rFonts w:ascii="Symbol" w:hAnsi="Symbol" w:hint="default"/>
        <w:color w:val="auto"/>
        <w:sz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0423543"/>
    <w:multiLevelType w:val="hybridMultilevel"/>
    <w:tmpl w:val="F2542BD2"/>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29856DA"/>
    <w:multiLevelType w:val="hybridMultilevel"/>
    <w:tmpl w:val="531E1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307A55"/>
    <w:multiLevelType w:val="hybridMultilevel"/>
    <w:tmpl w:val="2EEEAEB4"/>
    <w:lvl w:ilvl="0" w:tplc="D7B6FE3C">
      <w:start w:val="1"/>
      <w:numFmt w:val="decimal"/>
      <w:lvlText w:val="%1."/>
      <w:lvlJc w:val="left"/>
      <w:pPr>
        <w:ind w:left="360" w:hanging="360"/>
      </w:pPr>
      <w:rPr>
        <w:sz w:val="20"/>
        <w:szCs w:val="16"/>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F516D32"/>
    <w:multiLevelType w:val="hybridMultilevel"/>
    <w:tmpl w:val="C58282A8"/>
    <w:lvl w:ilvl="0" w:tplc="74B4BFCE">
      <w:start w:val="1"/>
      <w:numFmt w:val="lowerRoman"/>
      <w:lvlText w:val="(%1)"/>
      <w:lvlJc w:val="left"/>
      <w:pPr>
        <w:ind w:left="2145" w:hanging="720"/>
      </w:pPr>
      <w:rPr>
        <w:rFonts w:hint="default"/>
      </w:rPr>
    </w:lvl>
    <w:lvl w:ilvl="1" w:tplc="40090019" w:tentative="1">
      <w:start w:val="1"/>
      <w:numFmt w:val="lowerLetter"/>
      <w:lvlText w:val="%2."/>
      <w:lvlJc w:val="left"/>
      <w:pPr>
        <w:ind w:left="2505" w:hanging="360"/>
      </w:pPr>
    </w:lvl>
    <w:lvl w:ilvl="2" w:tplc="4009001B" w:tentative="1">
      <w:start w:val="1"/>
      <w:numFmt w:val="lowerRoman"/>
      <w:lvlText w:val="%3."/>
      <w:lvlJc w:val="right"/>
      <w:pPr>
        <w:ind w:left="3225" w:hanging="180"/>
      </w:pPr>
    </w:lvl>
    <w:lvl w:ilvl="3" w:tplc="4009000F" w:tentative="1">
      <w:start w:val="1"/>
      <w:numFmt w:val="decimal"/>
      <w:lvlText w:val="%4."/>
      <w:lvlJc w:val="left"/>
      <w:pPr>
        <w:ind w:left="3945" w:hanging="360"/>
      </w:pPr>
    </w:lvl>
    <w:lvl w:ilvl="4" w:tplc="40090019" w:tentative="1">
      <w:start w:val="1"/>
      <w:numFmt w:val="lowerLetter"/>
      <w:lvlText w:val="%5."/>
      <w:lvlJc w:val="left"/>
      <w:pPr>
        <w:ind w:left="4665" w:hanging="360"/>
      </w:pPr>
    </w:lvl>
    <w:lvl w:ilvl="5" w:tplc="4009001B" w:tentative="1">
      <w:start w:val="1"/>
      <w:numFmt w:val="lowerRoman"/>
      <w:lvlText w:val="%6."/>
      <w:lvlJc w:val="right"/>
      <w:pPr>
        <w:ind w:left="5385" w:hanging="180"/>
      </w:pPr>
    </w:lvl>
    <w:lvl w:ilvl="6" w:tplc="4009000F" w:tentative="1">
      <w:start w:val="1"/>
      <w:numFmt w:val="decimal"/>
      <w:lvlText w:val="%7."/>
      <w:lvlJc w:val="left"/>
      <w:pPr>
        <w:ind w:left="6105" w:hanging="360"/>
      </w:pPr>
    </w:lvl>
    <w:lvl w:ilvl="7" w:tplc="40090019" w:tentative="1">
      <w:start w:val="1"/>
      <w:numFmt w:val="lowerLetter"/>
      <w:lvlText w:val="%8."/>
      <w:lvlJc w:val="left"/>
      <w:pPr>
        <w:ind w:left="6825" w:hanging="360"/>
      </w:pPr>
    </w:lvl>
    <w:lvl w:ilvl="8" w:tplc="4009001B" w:tentative="1">
      <w:start w:val="1"/>
      <w:numFmt w:val="lowerRoman"/>
      <w:lvlText w:val="%9."/>
      <w:lvlJc w:val="right"/>
      <w:pPr>
        <w:ind w:left="7545" w:hanging="180"/>
      </w:pPr>
    </w:lvl>
  </w:abstractNum>
  <w:abstractNum w:abstractNumId="15">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nsid w:val="351D54FC"/>
    <w:multiLevelType w:val="hybridMultilevel"/>
    <w:tmpl w:val="F8989F8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9">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F9972CA"/>
    <w:multiLevelType w:val="multilevel"/>
    <w:tmpl w:val="A15E36DC"/>
    <w:lvl w:ilvl="0">
      <w:start w:val="8"/>
      <w:numFmt w:val="decimal"/>
      <w:lvlText w:val="%1"/>
      <w:lvlJc w:val="left"/>
      <w:pPr>
        <w:ind w:left="480" w:hanging="480"/>
      </w:pPr>
      <w:rPr>
        <w:rFonts w:hint="default"/>
        <w:b/>
      </w:rPr>
    </w:lvl>
    <w:lvl w:ilvl="1">
      <w:start w:val="13"/>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1">
    <w:nsid w:val="57A64616"/>
    <w:multiLevelType w:val="hybridMultilevel"/>
    <w:tmpl w:val="80FA72E2"/>
    <w:lvl w:ilvl="0" w:tplc="0CF45732">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5B2979C0"/>
    <w:multiLevelType w:val="multilevel"/>
    <w:tmpl w:val="12F6CCEC"/>
    <w:lvl w:ilvl="0">
      <w:start w:val="1"/>
      <w:numFmt w:val="decimal"/>
      <w:lvlText w:val="%1"/>
      <w:lvlJc w:val="left"/>
      <w:pPr>
        <w:tabs>
          <w:tab w:val="num" w:pos="432"/>
        </w:tabs>
        <w:ind w:left="432" w:hanging="432"/>
      </w:pPr>
      <w:rPr>
        <w:rFonts w:hint="default"/>
        <w:color w:val="auto"/>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3370413"/>
    <w:multiLevelType w:val="hybridMultilevel"/>
    <w:tmpl w:val="D5221D82"/>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300" w:hanging="360"/>
      </w:pPr>
      <w:rPr>
        <w:rFonts w:ascii="Courier New" w:hAnsi="Courier New" w:cs="Courier New" w:hint="default"/>
      </w:rPr>
    </w:lvl>
    <w:lvl w:ilvl="2" w:tplc="04090005" w:tentative="1">
      <w:start w:val="1"/>
      <w:numFmt w:val="bullet"/>
      <w:lvlText w:val=""/>
      <w:lvlJc w:val="left"/>
      <w:pPr>
        <w:ind w:left="1020" w:hanging="360"/>
      </w:pPr>
      <w:rPr>
        <w:rFonts w:ascii="Wingdings" w:hAnsi="Wingdings" w:hint="default"/>
      </w:rPr>
    </w:lvl>
    <w:lvl w:ilvl="3" w:tplc="04090001" w:tentative="1">
      <w:start w:val="1"/>
      <w:numFmt w:val="bullet"/>
      <w:lvlText w:val=""/>
      <w:lvlJc w:val="left"/>
      <w:pPr>
        <w:ind w:left="1740" w:hanging="360"/>
      </w:pPr>
      <w:rPr>
        <w:rFonts w:ascii="Symbol" w:hAnsi="Symbol" w:hint="default"/>
      </w:rPr>
    </w:lvl>
    <w:lvl w:ilvl="4" w:tplc="04090003" w:tentative="1">
      <w:start w:val="1"/>
      <w:numFmt w:val="bullet"/>
      <w:lvlText w:val="o"/>
      <w:lvlJc w:val="left"/>
      <w:pPr>
        <w:ind w:left="2460" w:hanging="360"/>
      </w:pPr>
      <w:rPr>
        <w:rFonts w:ascii="Courier New" w:hAnsi="Courier New" w:cs="Courier New" w:hint="default"/>
      </w:rPr>
    </w:lvl>
    <w:lvl w:ilvl="5" w:tplc="04090005" w:tentative="1">
      <w:start w:val="1"/>
      <w:numFmt w:val="bullet"/>
      <w:lvlText w:val=""/>
      <w:lvlJc w:val="left"/>
      <w:pPr>
        <w:ind w:left="3180" w:hanging="360"/>
      </w:pPr>
      <w:rPr>
        <w:rFonts w:ascii="Wingdings" w:hAnsi="Wingdings" w:hint="default"/>
      </w:rPr>
    </w:lvl>
    <w:lvl w:ilvl="6" w:tplc="04090001" w:tentative="1">
      <w:start w:val="1"/>
      <w:numFmt w:val="bullet"/>
      <w:lvlText w:val=""/>
      <w:lvlJc w:val="left"/>
      <w:pPr>
        <w:ind w:left="3900" w:hanging="360"/>
      </w:pPr>
      <w:rPr>
        <w:rFonts w:ascii="Symbol" w:hAnsi="Symbol" w:hint="default"/>
      </w:rPr>
    </w:lvl>
    <w:lvl w:ilvl="7" w:tplc="04090003" w:tentative="1">
      <w:start w:val="1"/>
      <w:numFmt w:val="bullet"/>
      <w:lvlText w:val="o"/>
      <w:lvlJc w:val="left"/>
      <w:pPr>
        <w:ind w:left="4620" w:hanging="360"/>
      </w:pPr>
      <w:rPr>
        <w:rFonts w:ascii="Courier New" w:hAnsi="Courier New" w:cs="Courier New" w:hint="default"/>
      </w:rPr>
    </w:lvl>
    <w:lvl w:ilvl="8" w:tplc="04090005" w:tentative="1">
      <w:start w:val="1"/>
      <w:numFmt w:val="bullet"/>
      <w:lvlText w:val=""/>
      <w:lvlJc w:val="left"/>
      <w:pPr>
        <w:ind w:left="5340" w:hanging="360"/>
      </w:pPr>
      <w:rPr>
        <w:rFonts w:ascii="Wingdings" w:hAnsi="Wingdings" w:hint="default"/>
      </w:rPr>
    </w:lvl>
  </w:abstractNum>
  <w:abstractNum w:abstractNumId="25">
    <w:nsid w:val="63492229"/>
    <w:multiLevelType w:val="hybridMultilevel"/>
    <w:tmpl w:val="A5C039C0"/>
    <w:lvl w:ilvl="0" w:tplc="DAF6C308">
      <w:start w:val="1"/>
      <w:numFmt w:val="decimal"/>
      <w:lvlText w:val="%1."/>
      <w:lvlJc w:val="left"/>
      <w:pPr>
        <w:ind w:left="360" w:hanging="360"/>
      </w:pPr>
      <w:rPr>
        <w:rFonts w:ascii="Calibri" w:hAnsi="Calibri" w:hint="default"/>
        <w:color w:val="auto"/>
        <w:sz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7">
    <w:nsid w:val="799F1AF5"/>
    <w:multiLevelType w:val="hybridMultilevel"/>
    <w:tmpl w:val="0F742110"/>
    <w:lvl w:ilvl="0" w:tplc="2F180026">
      <w:numFmt w:val="bullet"/>
      <w:lvlText w:val="-"/>
      <w:lvlJc w:val="left"/>
      <w:pPr>
        <w:ind w:left="405" w:hanging="360"/>
      </w:pPr>
      <w:rPr>
        <w:rFonts w:ascii="Arial" w:eastAsia="SimHei" w:hAnsi="Arial" w:cs="Arial" w:hint="default"/>
        <w:b/>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28">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26"/>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29"/>
  </w:num>
  <w:num w:numId="3">
    <w:abstractNumId w:val="26"/>
  </w:num>
  <w:num w:numId="4">
    <w:abstractNumId w:val="2"/>
  </w:num>
  <w:num w:numId="5">
    <w:abstractNumId w:val="28"/>
  </w:num>
  <w:num w:numId="6">
    <w:abstractNumId w:val="23"/>
  </w:num>
  <w:num w:numId="7">
    <w:abstractNumId w:val="6"/>
  </w:num>
  <w:num w:numId="8">
    <w:abstractNumId w:val="18"/>
  </w:num>
  <w:num w:numId="9">
    <w:abstractNumId w:val="19"/>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3"/>
  </w:num>
  <w:num w:numId="13">
    <w:abstractNumId w:val="27"/>
  </w:num>
  <w:num w:numId="14">
    <w:abstractNumId w:val="16"/>
  </w:num>
  <w:num w:numId="15">
    <w:abstractNumId w:val="14"/>
  </w:num>
  <w:num w:numId="16">
    <w:abstractNumId w:val="22"/>
  </w:num>
  <w:num w:numId="17">
    <w:abstractNumId w:val="21"/>
  </w:num>
  <w:num w:numId="18">
    <w:abstractNumId w:val="20"/>
  </w:num>
  <w:num w:numId="19">
    <w:abstractNumId w:val="7"/>
  </w:num>
  <w:num w:numId="20">
    <w:abstractNumId w:val="10"/>
  </w:num>
  <w:num w:numId="21">
    <w:abstractNumId w:val="0"/>
  </w:num>
  <w:num w:numId="22">
    <w:abstractNumId w:val="11"/>
  </w:num>
  <w:num w:numId="23">
    <w:abstractNumId w:val="24"/>
  </w:num>
  <w:num w:numId="24">
    <w:abstractNumId w:val="8"/>
  </w:num>
  <w:num w:numId="25">
    <w:abstractNumId w:val="9"/>
  </w:num>
  <w:num w:numId="26">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5D5"/>
    <w:rsid w:val="000012C8"/>
    <w:rsid w:val="0000259F"/>
    <w:rsid w:val="00002906"/>
    <w:rsid w:val="00004160"/>
    <w:rsid w:val="00010631"/>
    <w:rsid w:val="00010EEB"/>
    <w:rsid w:val="00011D10"/>
    <w:rsid w:val="000135A4"/>
    <w:rsid w:val="00013D6F"/>
    <w:rsid w:val="00013E61"/>
    <w:rsid w:val="00014A90"/>
    <w:rsid w:val="00017323"/>
    <w:rsid w:val="00017645"/>
    <w:rsid w:val="00021824"/>
    <w:rsid w:val="000233CA"/>
    <w:rsid w:val="00023A85"/>
    <w:rsid w:val="000273F7"/>
    <w:rsid w:val="00031CA2"/>
    <w:rsid w:val="00033090"/>
    <w:rsid w:val="000346C4"/>
    <w:rsid w:val="00040A84"/>
    <w:rsid w:val="00040DF7"/>
    <w:rsid w:val="00041301"/>
    <w:rsid w:val="0004319A"/>
    <w:rsid w:val="0004551C"/>
    <w:rsid w:val="00047D3C"/>
    <w:rsid w:val="0005154A"/>
    <w:rsid w:val="00051DDE"/>
    <w:rsid w:val="000541C8"/>
    <w:rsid w:val="000560EE"/>
    <w:rsid w:val="000608E4"/>
    <w:rsid w:val="000614AD"/>
    <w:rsid w:val="00061F17"/>
    <w:rsid w:val="0006382C"/>
    <w:rsid w:val="000650DC"/>
    <w:rsid w:val="00066280"/>
    <w:rsid w:val="00070E31"/>
    <w:rsid w:val="000759D4"/>
    <w:rsid w:val="00075AFE"/>
    <w:rsid w:val="00077618"/>
    <w:rsid w:val="00077AAE"/>
    <w:rsid w:val="00077DE6"/>
    <w:rsid w:val="000806FF"/>
    <w:rsid w:val="00081922"/>
    <w:rsid w:val="00085DF4"/>
    <w:rsid w:val="00087A33"/>
    <w:rsid w:val="0009006B"/>
    <w:rsid w:val="0009019D"/>
    <w:rsid w:val="00092B20"/>
    <w:rsid w:val="00093E66"/>
    <w:rsid w:val="00093EAA"/>
    <w:rsid w:val="00096433"/>
    <w:rsid w:val="00096922"/>
    <w:rsid w:val="0009716E"/>
    <w:rsid w:val="00097207"/>
    <w:rsid w:val="00097422"/>
    <w:rsid w:val="00097540"/>
    <w:rsid w:val="000A14B5"/>
    <w:rsid w:val="000A316D"/>
    <w:rsid w:val="000A4A9E"/>
    <w:rsid w:val="000A55BE"/>
    <w:rsid w:val="000A67CB"/>
    <w:rsid w:val="000A71D3"/>
    <w:rsid w:val="000B40AB"/>
    <w:rsid w:val="000C0D53"/>
    <w:rsid w:val="000C36E9"/>
    <w:rsid w:val="000C58D2"/>
    <w:rsid w:val="000D0DCD"/>
    <w:rsid w:val="000D0F63"/>
    <w:rsid w:val="000E2EB3"/>
    <w:rsid w:val="000E54EF"/>
    <w:rsid w:val="000F0388"/>
    <w:rsid w:val="000F16CC"/>
    <w:rsid w:val="000F5307"/>
    <w:rsid w:val="00100D4C"/>
    <w:rsid w:val="001016E4"/>
    <w:rsid w:val="0010381E"/>
    <w:rsid w:val="00103A5D"/>
    <w:rsid w:val="0010485E"/>
    <w:rsid w:val="00104860"/>
    <w:rsid w:val="00104DB4"/>
    <w:rsid w:val="001071F8"/>
    <w:rsid w:val="00111CA1"/>
    <w:rsid w:val="001131CF"/>
    <w:rsid w:val="00113F18"/>
    <w:rsid w:val="0011585A"/>
    <w:rsid w:val="0011701B"/>
    <w:rsid w:val="00117759"/>
    <w:rsid w:val="001178D8"/>
    <w:rsid w:val="00121F29"/>
    <w:rsid w:val="001227E0"/>
    <w:rsid w:val="001239C8"/>
    <w:rsid w:val="00125968"/>
    <w:rsid w:val="0012680A"/>
    <w:rsid w:val="00126A1E"/>
    <w:rsid w:val="00127AD9"/>
    <w:rsid w:val="001323E2"/>
    <w:rsid w:val="00132571"/>
    <w:rsid w:val="00132ECE"/>
    <w:rsid w:val="00133CDA"/>
    <w:rsid w:val="00134C5A"/>
    <w:rsid w:val="00135581"/>
    <w:rsid w:val="00136E05"/>
    <w:rsid w:val="00137D83"/>
    <w:rsid w:val="00143C19"/>
    <w:rsid w:val="00143D5F"/>
    <w:rsid w:val="00146207"/>
    <w:rsid w:val="001542B4"/>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87E5E"/>
    <w:rsid w:val="0019104B"/>
    <w:rsid w:val="00192284"/>
    <w:rsid w:val="00193E6A"/>
    <w:rsid w:val="00197038"/>
    <w:rsid w:val="001970D2"/>
    <w:rsid w:val="001A07A9"/>
    <w:rsid w:val="001A43E1"/>
    <w:rsid w:val="001A4C73"/>
    <w:rsid w:val="001A6578"/>
    <w:rsid w:val="001A768A"/>
    <w:rsid w:val="001A7B18"/>
    <w:rsid w:val="001B0B90"/>
    <w:rsid w:val="001B150C"/>
    <w:rsid w:val="001B1836"/>
    <w:rsid w:val="001B29B0"/>
    <w:rsid w:val="001B3273"/>
    <w:rsid w:val="001B6FDC"/>
    <w:rsid w:val="001C2C22"/>
    <w:rsid w:val="001C3365"/>
    <w:rsid w:val="001C33A5"/>
    <w:rsid w:val="001C39BE"/>
    <w:rsid w:val="001C476E"/>
    <w:rsid w:val="001C7095"/>
    <w:rsid w:val="001C70BF"/>
    <w:rsid w:val="001D4147"/>
    <w:rsid w:val="001D55D5"/>
    <w:rsid w:val="001D6A6E"/>
    <w:rsid w:val="001D795A"/>
    <w:rsid w:val="001D7CAF"/>
    <w:rsid w:val="001E0DF9"/>
    <w:rsid w:val="001E1D38"/>
    <w:rsid w:val="001E6535"/>
    <w:rsid w:val="001F17CE"/>
    <w:rsid w:val="001F39FB"/>
    <w:rsid w:val="001F5A63"/>
    <w:rsid w:val="00203D84"/>
    <w:rsid w:val="00205608"/>
    <w:rsid w:val="0020793F"/>
    <w:rsid w:val="00207DF0"/>
    <w:rsid w:val="00211EAC"/>
    <w:rsid w:val="00217FBE"/>
    <w:rsid w:val="00225A80"/>
    <w:rsid w:val="0022728A"/>
    <w:rsid w:val="002314BE"/>
    <w:rsid w:val="00234760"/>
    <w:rsid w:val="00234E6B"/>
    <w:rsid w:val="00236A97"/>
    <w:rsid w:val="002375B2"/>
    <w:rsid w:val="00243015"/>
    <w:rsid w:val="002438AC"/>
    <w:rsid w:val="00246157"/>
    <w:rsid w:val="00246785"/>
    <w:rsid w:val="0025181A"/>
    <w:rsid w:val="002556EB"/>
    <w:rsid w:val="00256167"/>
    <w:rsid w:val="00256912"/>
    <w:rsid w:val="00256BEA"/>
    <w:rsid w:val="00262366"/>
    <w:rsid w:val="00262368"/>
    <w:rsid w:val="0027124D"/>
    <w:rsid w:val="0027160A"/>
    <w:rsid w:val="0027183A"/>
    <w:rsid w:val="00271D36"/>
    <w:rsid w:val="00273758"/>
    <w:rsid w:val="002737B9"/>
    <w:rsid w:val="002737D1"/>
    <w:rsid w:val="00274D96"/>
    <w:rsid w:val="00277526"/>
    <w:rsid w:val="002856AB"/>
    <w:rsid w:val="00291073"/>
    <w:rsid w:val="00291A51"/>
    <w:rsid w:val="00292D79"/>
    <w:rsid w:val="0029306D"/>
    <w:rsid w:val="00295040"/>
    <w:rsid w:val="002A0464"/>
    <w:rsid w:val="002A12C3"/>
    <w:rsid w:val="002A225A"/>
    <w:rsid w:val="002A26E2"/>
    <w:rsid w:val="002A733E"/>
    <w:rsid w:val="002B15C5"/>
    <w:rsid w:val="002B2394"/>
    <w:rsid w:val="002B44A9"/>
    <w:rsid w:val="002B493E"/>
    <w:rsid w:val="002B5674"/>
    <w:rsid w:val="002B595B"/>
    <w:rsid w:val="002B7FA8"/>
    <w:rsid w:val="002C0484"/>
    <w:rsid w:val="002C05D3"/>
    <w:rsid w:val="002C087E"/>
    <w:rsid w:val="002C1A49"/>
    <w:rsid w:val="002C23FD"/>
    <w:rsid w:val="002C30D6"/>
    <w:rsid w:val="002C40A6"/>
    <w:rsid w:val="002D01EA"/>
    <w:rsid w:val="002D17FF"/>
    <w:rsid w:val="002D26DA"/>
    <w:rsid w:val="002D4CC9"/>
    <w:rsid w:val="002D6E23"/>
    <w:rsid w:val="002D720D"/>
    <w:rsid w:val="002E0961"/>
    <w:rsid w:val="002E1C89"/>
    <w:rsid w:val="002E3A9C"/>
    <w:rsid w:val="002E4CF0"/>
    <w:rsid w:val="002E4E79"/>
    <w:rsid w:val="002F4126"/>
    <w:rsid w:val="002F6FFC"/>
    <w:rsid w:val="003000B4"/>
    <w:rsid w:val="00300A43"/>
    <w:rsid w:val="003010AB"/>
    <w:rsid w:val="00302A0A"/>
    <w:rsid w:val="00303685"/>
    <w:rsid w:val="00304068"/>
    <w:rsid w:val="0030419C"/>
    <w:rsid w:val="00304D05"/>
    <w:rsid w:val="00304F83"/>
    <w:rsid w:val="00305EA5"/>
    <w:rsid w:val="00310639"/>
    <w:rsid w:val="00310852"/>
    <w:rsid w:val="003132E0"/>
    <w:rsid w:val="00316A00"/>
    <w:rsid w:val="00317F8D"/>
    <w:rsid w:val="003235B9"/>
    <w:rsid w:val="00324561"/>
    <w:rsid w:val="00325DD9"/>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666B"/>
    <w:rsid w:val="00357951"/>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82B6B"/>
    <w:rsid w:val="00384D7C"/>
    <w:rsid w:val="00385DD4"/>
    <w:rsid w:val="00386439"/>
    <w:rsid w:val="003913F2"/>
    <w:rsid w:val="00395676"/>
    <w:rsid w:val="00395878"/>
    <w:rsid w:val="0039683A"/>
    <w:rsid w:val="00396A3C"/>
    <w:rsid w:val="003A02C1"/>
    <w:rsid w:val="003A39F7"/>
    <w:rsid w:val="003A4C99"/>
    <w:rsid w:val="003A52DB"/>
    <w:rsid w:val="003B1976"/>
    <w:rsid w:val="003C1287"/>
    <w:rsid w:val="003C1570"/>
    <w:rsid w:val="003C2542"/>
    <w:rsid w:val="003C4176"/>
    <w:rsid w:val="003C4261"/>
    <w:rsid w:val="003C483E"/>
    <w:rsid w:val="003C4ED6"/>
    <w:rsid w:val="003C5D30"/>
    <w:rsid w:val="003C7C81"/>
    <w:rsid w:val="003D213F"/>
    <w:rsid w:val="003D23ED"/>
    <w:rsid w:val="003D5315"/>
    <w:rsid w:val="003D663E"/>
    <w:rsid w:val="003D67E8"/>
    <w:rsid w:val="003E2209"/>
    <w:rsid w:val="003E2368"/>
    <w:rsid w:val="003E3CD1"/>
    <w:rsid w:val="003E52C2"/>
    <w:rsid w:val="003E7BFD"/>
    <w:rsid w:val="003F433C"/>
    <w:rsid w:val="003F5733"/>
    <w:rsid w:val="003F5FD0"/>
    <w:rsid w:val="003F6086"/>
    <w:rsid w:val="004017E4"/>
    <w:rsid w:val="00402A02"/>
    <w:rsid w:val="0040368C"/>
    <w:rsid w:val="00403F4F"/>
    <w:rsid w:val="0040406E"/>
    <w:rsid w:val="00404EDC"/>
    <w:rsid w:val="00406E30"/>
    <w:rsid w:val="00411536"/>
    <w:rsid w:val="0041170E"/>
    <w:rsid w:val="00411F98"/>
    <w:rsid w:val="00412B2E"/>
    <w:rsid w:val="0042073F"/>
    <w:rsid w:val="00424792"/>
    <w:rsid w:val="00424D86"/>
    <w:rsid w:val="004251B1"/>
    <w:rsid w:val="004268E9"/>
    <w:rsid w:val="00433527"/>
    <w:rsid w:val="0043453F"/>
    <w:rsid w:val="004359FB"/>
    <w:rsid w:val="00441ED5"/>
    <w:rsid w:val="004449BD"/>
    <w:rsid w:val="00444AA0"/>
    <w:rsid w:val="00445DD4"/>
    <w:rsid w:val="0044642E"/>
    <w:rsid w:val="00446E47"/>
    <w:rsid w:val="004513F0"/>
    <w:rsid w:val="00452B5A"/>
    <w:rsid w:val="00453C8E"/>
    <w:rsid w:val="004542E7"/>
    <w:rsid w:val="00455426"/>
    <w:rsid w:val="00455EC2"/>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41E7"/>
    <w:rsid w:val="004A0C27"/>
    <w:rsid w:val="004A0FC5"/>
    <w:rsid w:val="004A3217"/>
    <w:rsid w:val="004A3FC4"/>
    <w:rsid w:val="004A718F"/>
    <w:rsid w:val="004A7326"/>
    <w:rsid w:val="004B0478"/>
    <w:rsid w:val="004B080D"/>
    <w:rsid w:val="004B0A0B"/>
    <w:rsid w:val="004B47C7"/>
    <w:rsid w:val="004B5B17"/>
    <w:rsid w:val="004B6316"/>
    <w:rsid w:val="004B6BC1"/>
    <w:rsid w:val="004C02FE"/>
    <w:rsid w:val="004C03AA"/>
    <w:rsid w:val="004C0A95"/>
    <w:rsid w:val="004C5178"/>
    <w:rsid w:val="004C58A8"/>
    <w:rsid w:val="004C71E0"/>
    <w:rsid w:val="004D1772"/>
    <w:rsid w:val="004D32FE"/>
    <w:rsid w:val="004D4A59"/>
    <w:rsid w:val="004D64A1"/>
    <w:rsid w:val="004D77DC"/>
    <w:rsid w:val="004E073F"/>
    <w:rsid w:val="004E0ED6"/>
    <w:rsid w:val="004E3AA9"/>
    <w:rsid w:val="004E45D5"/>
    <w:rsid w:val="004E471F"/>
    <w:rsid w:val="004E5215"/>
    <w:rsid w:val="004E532D"/>
    <w:rsid w:val="004E5B2C"/>
    <w:rsid w:val="004E65E6"/>
    <w:rsid w:val="004E6D70"/>
    <w:rsid w:val="004F0734"/>
    <w:rsid w:val="004F1216"/>
    <w:rsid w:val="004F1F13"/>
    <w:rsid w:val="004F2132"/>
    <w:rsid w:val="004F381D"/>
    <w:rsid w:val="005027B2"/>
    <w:rsid w:val="00502C37"/>
    <w:rsid w:val="005046AF"/>
    <w:rsid w:val="00506702"/>
    <w:rsid w:val="0050674F"/>
    <w:rsid w:val="0051048D"/>
    <w:rsid w:val="00515A6A"/>
    <w:rsid w:val="00516846"/>
    <w:rsid w:val="00520948"/>
    <w:rsid w:val="00522DCF"/>
    <w:rsid w:val="00526074"/>
    <w:rsid w:val="00530177"/>
    <w:rsid w:val="00532595"/>
    <w:rsid w:val="00532850"/>
    <w:rsid w:val="00534837"/>
    <w:rsid w:val="00536D47"/>
    <w:rsid w:val="00537DC3"/>
    <w:rsid w:val="00541179"/>
    <w:rsid w:val="00543044"/>
    <w:rsid w:val="00543AEE"/>
    <w:rsid w:val="00544466"/>
    <w:rsid w:val="00545F0D"/>
    <w:rsid w:val="00547F5F"/>
    <w:rsid w:val="0055091B"/>
    <w:rsid w:val="0055324C"/>
    <w:rsid w:val="005558B6"/>
    <w:rsid w:val="00557363"/>
    <w:rsid w:val="00560106"/>
    <w:rsid w:val="00564180"/>
    <w:rsid w:val="00567EAE"/>
    <w:rsid w:val="005702C2"/>
    <w:rsid w:val="00571155"/>
    <w:rsid w:val="00571B3E"/>
    <w:rsid w:val="00572079"/>
    <w:rsid w:val="0058130F"/>
    <w:rsid w:val="00581449"/>
    <w:rsid w:val="00581532"/>
    <w:rsid w:val="005815E2"/>
    <w:rsid w:val="005827CB"/>
    <w:rsid w:val="00584E81"/>
    <w:rsid w:val="00585FA8"/>
    <w:rsid w:val="0059063E"/>
    <w:rsid w:val="00590CB1"/>
    <w:rsid w:val="00595E61"/>
    <w:rsid w:val="005965AD"/>
    <w:rsid w:val="00597DC2"/>
    <w:rsid w:val="005A07EF"/>
    <w:rsid w:val="005A2D39"/>
    <w:rsid w:val="005B2283"/>
    <w:rsid w:val="005C1B6E"/>
    <w:rsid w:val="005C33A1"/>
    <w:rsid w:val="005C39DC"/>
    <w:rsid w:val="005C669F"/>
    <w:rsid w:val="005C6BDA"/>
    <w:rsid w:val="005E0123"/>
    <w:rsid w:val="005E151F"/>
    <w:rsid w:val="005E1D56"/>
    <w:rsid w:val="005E5E28"/>
    <w:rsid w:val="005F2E51"/>
    <w:rsid w:val="005F33E1"/>
    <w:rsid w:val="005F3B9D"/>
    <w:rsid w:val="005F56C9"/>
    <w:rsid w:val="005F64AB"/>
    <w:rsid w:val="005F7A06"/>
    <w:rsid w:val="005F7AAC"/>
    <w:rsid w:val="006023F3"/>
    <w:rsid w:val="00603561"/>
    <w:rsid w:val="00603C3C"/>
    <w:rsid w:val="00604691"/>
    <w:rsid w:val="00604F4D"/>
    <w:rsid w:val="0060799F"/>
    <w:rsid w:val="00607F41"/>
    <w:rsid w:val="006104A4"/>
    <w:rsid w:val="00611B8A"/>
    <w:rsid w:val="006141CD"/>
    <w:rsid w:val="006171A9"/>
    <w:rsid w:val="00617637"/>
    <w:rsid w:val="0062235F"/>
    <w:rsid w:val="00622694"/>
    <w:rsid w:val="006230C3"/>
    <w:rsid w:val="00623EAD"/>
    <w:rsid w:val="006253B9"/>
    <w:rsid w:val="006258CA"/>
    <w:rsid w:val="006274F7"/>
    <w:rsid w:val="006276FC"/>
    <w:rsid w:val="00627927"/>
    <w:rsid w:val="00631A14"/>
    <w:rsid w:val="006344BB"/>
    <w:rsid w:val="00634F41"/>
    <w:rsid w:val="00635A76"/>
    <w:rsid w:val="0063644E"/>
    <w:rsid w:val="00637721"/>
    <w:rsid w:val="00641CB5"/>
    <w:rsid w:val="0064295F"/>
    <w:rsid w:val="00645569"/>
    <w:rsid w:val="00645C5A"/>
    <w:rsid w:val="00646133"/>
    <w:rsid w:val="00652762"/>
    <w:rsid w:val="00652B2B"/>
    <w:rsid w:val="00653534"/>
    <w:rsid w:val="00653771"/>
    <w:rsid w:val="0065379A"/>
    <w:rsid w:val="00653CE2"/>
    <w:rsid w:val="0065590E"/>
    <w:rsid w:val="00655CBD"/>
    <w:rsid w:val="00656D4C"/>
    <w:rsid w:val="0066107A"/>
    <w:rsid w:val="00661A78"/>
    <w:rsid w:val="00662E9D"/>
    <w:rsid w:val="006630D2"/>
    <w:rsid w:val="00665EC4"/>
    <w:rsid w:val="006666B8"/>
    <w:rsid w:val="00671F7A"/>
    <w:rsid w:val="00674332"/>
    <w:rsid w:val="00676F90"/>
    <w:rsid w:val="00680BAE"/>
    <w:rsid w:val="0068146F"/>
    <w:rsid w:val="006818E2"/>
    <w:rsid w:val="00684473"/>
    <w:rsid w:val="006879C3"/>
    <w:rsid w:val="00691200"/>
    <w:rsid w:val="00693D4E"/>
    <w:rsid w:val="00695208"/>
    <w:rsid w:val="00695FF7"/>
    <w:rsid w:val="00696AC6"/>
    <w:rsid w:val="006A03DB"/>
    <w:rsid w:val="006A30C4"/>
    <w:rsid w:val="006A365A"/>
    <w:rsid w:val="006A5E44"/>
    <w:rsid w:val="006A6170"/>
    <w:rsid w:val="006A7EBB"/>
    <w:rsid w:val="006B135F"/>
    <w:rsid w:val="006B19EA"/>
    <w:rsid w:val="006B74EE"/>
    <w:rsid w:val="006B7D4F"/>
    <w:rsid w:val="006C0A76"/>
    <w:rsid w:val="006C1356"/>
    <w:rsid w:val="006C197E"/>
    <w:rsid w:val="006C419A"/>
    <w:rsid w:val="006C5AA8"/>
    <w:rsid w:val="006C71F5"/>
    <w:rsid w:val="006D3FA2"/>
    <w:rsid w:val="006D4DF3"/>
    <w:rsid w:val="006D53C3"/>
    <w:rsid w:val="006D5844"/>
    <w:rsid w:val="006D6DFB"/>
    <w:rsid w:val="006E2A5C"/>
    <w:rsid w:val="006E4588"/>
    <w:rsid w:val="006E7DBC"/>
    <w:rsid w:val="006F3B2C"/>
    <w:rsid w:val="006F5E93"/>
    <w:rsid w:val="00703D56"/>
    <w:rsid w:val="0070744C"/>
    <w:rsid w:val="007116B1"/>
    <w:rsid w:val="007134EA"/>
    <w:rsid w:val="007156B7"/>
    <w:rsid w:val="007202A5"/>
    <w:rsid w:val="00721164"/>
    <w:rsid w:val="00723317"/>
    <w:rsid w:val="007241A0"/>
    <w:rsid w:val="007261B5"/>
    <w:rsid w:val="00727290"/>
    <w:rsid w:val="007304D8"/>
    <w:rsid w:val="007306B9"/>
    <w:rsid w:val="007318D7"/>
    <w:rsid w:val="00734F3C"/>
    <w:rsid w:val="00736BBA"/>
    <w:rsid w:val="00737362"/>
    <w:rsid w:val="007378DC"/>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628CB"/>
    <w:rsid w:val="007633E7"/>
    <w:rsid w:val="00765A3F"/>
    <w:rsid w:val="00770445"/>
    <w:rsid w:val="0078113F"/>
    <w:rsid w:val="0078387C"/>
    <w:rsid w:val="007914CE"/>
    <w:rsid w:val="007962E4"/>
    <w:rsid w:val="0079799F"/>
    <w:rsid w:val="007A19CC"/>
    <w:rsid w:val="007A23B5"/>
    <w:rsid w:val="007A68CA"/>
    <w:rsid w:val="007A7578"/>
    <w:rsid w:val="007A7C0F"/>
    <w:rsid w:val="007B05C3"/>
    <w:rsid w:val="007C5600"/>
    <w:rsid w:val="007D21D5"/>
    <w:rsid w:val="007E077D"/>
    <w:rsid w:val="007E2F21"/>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73E3"/>
    <w:rsid w:val="00807B4B"/>
    <w:rsid w:val="00811082"/>
    <w:rsid w:val="00813042"/>
    <w:rsid w:val="0081371A"/>
    <w:rsid w:val="00813D28"/>
    <w:rsid w:val="008154F1"/>
    <w:rsid w:val="00817765"/>
    <w:rsid w:val="00821809"/>
    <w:rsid w:val="008228A6"/>
    <w:rsid w:val="0082760E"/>
    <w:rsid w:val="00830CDD"/>
    <w:rsid w:val="00831BCD"/>
    <w:rsid w:val="008325A3"/>
    <w:rsid w:val="00833048"/>
    <w:rsid w:val="00835C1F"/>
    <w:rsid w:val="00835FA4"/>
    <w:rsid w:val="00837668"/>
    <w:rsid w:val="00837C8C"/>
    <w:rsid w:val="00843BE3"/>
    <w:rsid w:val="00844A1C"/>
    <w:rsid w:val="008454C1"/>
    <w:rsid w:val="00845950"/>
    <w:rsid w:val="008520A7"/>
    <w:rsid w:val="0085320B"/>
    <w:rsid w:val="008533D1"/>
    <w:rsid w:val="008538A1"/>
    <w:rsid w:val="00854059"/>
    <w:rsid w:val="008574C0"/>
    <w:rsid w:val="008610F3"/>
    <w:rsid w:val="00863A33"/>
    <w:rsid w:val="00870C66"/>
    <w:rsid w:val="008772E4"/>
    <w:rsid w:val="00877D77"/>
    <w:rsid w:val="00880E9F"/>
    <w:rsid w:val="00882B75"/>
    <w:rsid w:val="00882D82"/>
    <w:rsid w:val="00883714"/>
    <w:rsid w:val="0088437E"/>
    <w:rsid w:val="008849E6"/>
    <w:rsid w:val="00887FC9"/>
    <w:rsid w:val="008920E3"/>
    <w:rsid w:val="00894A7A"/>
    <w:rsid w:val="00894F8A"/>
    <w:rsid w:val="008966E0"/>
    <w:rsid w:val="008A262D"/>
    <w:rsid w:val="008A3FEF"/>
    <w:rsid w:val="008A4A76"/>
    <w:rsid w:val="008A69F4"/>
    <w:rsid w:val="008B0C46"/>
    <w:rsid w:val="008B2896"/>
    <w:rsid w:val="008B2D4E"/>
    <w:rsid w:val="008B3E9F"/>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40"/>
    <w:rsid w:val="008E40A2"/>
    <w:rsid w:val="008E40DE"/>
    <w:rsid w:val="008E49D5"/>
    <w:rsid w:val="008E5556"/>
    <w:rsid w:val="008E5A56"/>
    <w:rsid w:val="008E64AB"/>
    <w:rsid w:val="008E6781"/>
    <w:rsid w:val="008E74D4"/>
    <w:rsid w:val="008F3B31"/>
    <w:rsid w:val="008F4E75"/>
    <w:rsid w:val="008F6F2C"/>
    <w:rsid w:val="009006C7"/>
    <w:rsid w:val="00900B38"/>
    <w:rsid w:val="00900F1A"/>
    <w:rsid w:val="00905DCC"/>
    <w:rsid w:val="00906678"/>
    <w:rsid w:val="00912B4B"/>
    <w:rsid w:val="00914027"/>
    <w:rsid w:val="00914407"/>
    <w:rsid w:val="0091552C"/>
    <w:rsid w:val="00916FDD"/>
    <w:rsid w:val="00917300"/>
    <w:rsid w:val="00921756"/>
    <w:rsid w:val="00923593"/>
    <w:rsid w:val="009236DE"/>
    <w:rsid w:val="00924F45"/>
    <w:rsid w:val="00926D62"/>
    <w:rsid w:val="009319E4"/>
    <w:rsid w:val="009336CF"/>
    <w:rsid w:val="009431B3"/>
    <w:rsid w:val="00950367"/>
    <w:rsid w:val="00950A55"/>
    <w:rsid w:val="00953BFF"/>
    <w:rsid w:val="009544FE"/>
    <w:rsid w:val="009565F6"/>
    <w:rsid w:val="009613C6"/>
    <w:rsid w:val="00961BA7"/>
    <w:rsid w:val="00963471"/>
    <w:rsid w:val="009652B9"/>
    <w:rsid w:val="00965E79"/>
    <w:rsid w:val="00967B6D"/>
    <w:rsid w:val="00972B2C"/>
    <w:rsid w:val="0097344A"/>
    <w:rsid w:val="0097555D"/>
    <w:rsid w:val="00980757"/>
    <w:rsid w:val="009907AA"/>
    <w:rsid w:val="0099234A"/>
    <w:rsid w:val="00993280"/>
    <w:rsid w:val="00995067"/>
    <w:rsid w:val="00995C47"/>
    <w:rsid w:val="0099699B"/>
    <w:rsid w:val="00996AAA"/>
    <w:rsid w:val="009A026D"/>
    <w:rsid w:val="009A204D"/>
    <w:rsid w:val="009A3923"/>
    <w:rsid w:val="009A3F93"/>
    <w:rsid w:val="009A4E8F"/>
    <w:rsid w:val="009A7544"/>
    <w:rsid w:val="009B0B5A"/>
    <w:rsid w:val="009B0FB2"/>
    <w:rsid w:val="009B2549"/>
    <w:rsid w:val="009B27F8"/>
    <w:rsid w:val="009B2950"/>
    <w:rsid w:val="009B4A83"/>
    <w:rsid w:val="009B73BF"/>
    <w:rsid w:val="009C1F0D"/>
    <w:rsid w:val="009C280B"/>
    <w:rsid w:val="009C5901"/>
    <w:rsid w:val="009C703E"/>
    <w:rsid w:val="009D0B61"/>
    <w:rsid w:val="009D2085"/>
    <w:rsid w:val="009D26A2"/>
    <w:rsid w:val="009D30B8"/>
    <w:rsid w:val="009D46ED"/>
    <w:rsid w:val="009D7157"/>
    <w:rsid w:val="009E27C2"/>
    <w:rsid w:val="009E2BB9"/>
    <w:rsid w:val="009E3217"/>
    <w:rsid w:val="009F0BDC"/>
    <w:rsid w:val="009F40DE"/>
    <w:rsid w:val="009F6A42"/>
    <w:rsid w:val="00A01CFB"/>
    <w:rsid w:val="00A051DF"/>
    <w:rsid w:val="00A057B2"/>
    <w:rsid w:val="00A05D29"/>
    <w:rsid w:val="00A11555"/>
    <w:rsid w:val="00A117DC"/>
    <w:rsid w:val="00A11960"/>
    <w:rsid w:val="00A11AC1"/>
    <w:rsid w:val="00A13549"/>
    <w:rsid w:val="00A145D3"/>
    <w:rsid w:val="00A158DC"/>
    <w:rsid w:val="00A163AE"/>
    <w:rsid w:val="00A16E02"/>
    <w:rsid w:val="00A20B07"/>
    <w:rsid w:val="00A232F4"/>
    <w:rsid w:val="00A23985"/>
    <w:rsid w:val="00A24D4D"/>
    <w:rsid w:val="00A26624"/>
    <w:rsid w:val="00A318E5"/>
    <w:rsid w:val="00A32C68"/>
    <w:rsid w:val="00A360D2"/>
    <w:rsid w:val="00A372CC"/>
    <w:rsid w:val="00A401B5"/>
    <w:rsid w:val="00A410D1"/>
    <w:rsid w:val="00A43AB6"/>
    <w:rsid w:val="00A45700"/>
    <w:rsid w:val="00A46313"/>
    <w:rsid w:val="00A46BC9"/>
    <w:rsid w:val="00A5005B"/>
    <w:rsid w:val="00A51E5B"/>
    <w:rsid w:val="00A56709"/>
    <w:rsid w:val="00A57C96"/>
    <w:rsid w:val="00A621B4"/>
    <w:rsid w:val="00A62CCF"/>
    <w:rsid w:val="00A65BC8"/>
    <w:rsid w:val="00A65FB1"/>
    <w:rsid w:val="00A676A4"/>
    <w:rsid w:val="00A70B8F"/>
    <w:rsid w:val="00A70DE8"/>
    <w:rsid w:val="00A741BD"/>
    <w:rsid w:val="00A76EFC"/>
    <w:rsid w:val="00A8294C"/>
    <w:rsid w:val="00A84115"/>
    <w:rsid w:val="00A84237"/>
    <w:rsid w:val="00A86D63"/>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C1EE3"/>
    <w:rsid w:val="00AC3A3F"/>
    <w:rsid w:val="00AC661B"/>
    <w:rsid w:val="00AC6E22"/>
    <w:rsid w:val="00AC6F1B"/>
    <w:rsid w:val="00AD24A5"/>
    <w:rsid w:val="00AD381A"/>
    <w:rsid w:val="00AD58E6"/>
    <w:rsid w:val="00AD7F65"/>
    <w:rsid w:val="00AE0FF0"/>
    <w:rsid w:val="00AE1391"/>
    <w:rsid w:val="00AE251D"/>
    <w:rsid w:val="00AE2FCB"/>
    <w:rsid w:val="00AE4D94"/>
    <w:rsid w:val="00AE6BCF"/>
    <w:rsid w:val="00AE700F"/>
    <w:rsid w:val="00AF20C4"/>
    <w:rsid w:val="00AF3080"/>
    <w:rsid w:val="00AF31AB"/>
    <w:rsid w:val="00AF3C2C"/>
    <w:rsid w:val="00AF56F2"/>
    <w:rsid w:val="00AF7B25"/>
    <w:rsid w:val="00B002CC"/>
    <w:rsid w:val="00B01ACF"/>
    <w:rsid w:val="00B01E61"/>
    <w:rsid w:val="00B03387"/>
    <w:rsid w:val="00B03492"/>
    <w:rsid w:val="00B065CE"/>
    <w:rsid w:val="00B07DC1"/>
    <w:rsid w:val="00B12998"/>
    <w:rsid w:val="00B1349F"/>
    <w:rsid w:val="00B168B2"/>
    <w:rsid w:val="00B17C55"/>
    <w:rsid w:val="00B218E3"/>
    <w:rsid w:val="00B22D73"/>
    <w:rsid w:val="00B23A08"/>
    <w:rsid w:val="00B26B47"/>
    <w:rsid w:val="00B278EB"/>
    <w:rsid w:val="00B312E9"/>
    <w:rsid w:val="00B33D4C"/>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4AE"/>
    <w:rsid w:val="00B75F60"/>
    <w:rsid w:val="00B76AA6"/>
    <w:rsid w:val="00B76C2D"/>
    <w:rsid w:val="00B81FBF"/>
    <w:rsid w:val="00B824FE"/>
    <w:rsid w:val="00B82EE3"/>
    <w:rsid w:val="00B8353D"/>
    <w:rsid w:val="00B84FD8"/>
    <w:rsid w:val="00B860FF"/>
    <w:rsid w:val="00B9372E"/>
    <w:rsid w:val="00B95F33"/>
    <w:rsid w:val="00B967A9"/>
    <w:rsid w:val="00BA033C"/>
    <w:rsid w:val="00BA0F4A"/>
    <w:rsid w:val="00BA250C"/>
    <w:rsid w:val="00BA58D9"/>
    <w:rsid w:val="00BA6B4C"/>
    <w:rsid w:val="00BA7211"/>
    <w:rsid w:val="00BB21B8"/>
    <w:rsid w:val="00BB2AA7"/>
    <w:rsid w:val="00BB3908"/>
    <w:rsid w:val="00BB4F6E"/>
    <w:rsid w:val="00BB5150"/>
    <w:rsid w:val="00BB6720"/>
    <w:rsid w:val="00BC0628"/>
    <w:rsid w:val="00BC0DB7"/>
    <w:rsid w:val="00BC1908"/>
    <w:rsid w:val="00BC21BF"/>
    <w:rsid w:val="00BC66FE"/>
    <w:rsid w:val="00BD1723"/>
    <w:rsid w:val="00BD1D68"/>
    <w:rsid w:val="00BD25E9"/>
    <w:rsid w:val="00BD30ED"/>
    <w:rsid w:val="00BD5189"/>
    <w:rsid w:val="00BD747A"/>
    <w:rsid w:val="00BE1873"/>
    <w:rsid w:val="00BE267E"/>
    <w:rsid w:val="00BE5449"/>
    <w:rsid w:val="00BE5A67"/>
    <w:rsid w:val="00BF08DD"/>
    <w:rsid w:val="00BF3B6A"/>
    <w:rsid w:val="00BF49C7"/>
    <w:rsid w:val="00C0318D"/>
    <w:rsid w:val="00C07C4E"/>
    <w:rsid w:val="00C12B99"/>
    <w:rsid w:val="00C15624"/>
    <w:rsid w:val="00C1586C"/>
    <w:rsid w:val="00C15B34"/>
    <w:rsid w:val="00C15BC0"/>
    <w:rsid w:val="00C20AA1"/>
    <w:rsid w:val="00C20DC1"/>
    <w:rsid w:val="00C210CC"/>
    <w:rsid w:val="00C21D57"/>
    <w:rsid w:val="00C239F6"/>
    <w:rsid w:val="00C24C0A"/>
    <w:rsid w:val="00C25608"/>
    <w:rsid w:val="00C25E36"/>
    <w:rsid w:val="00C26F81"/>
    <w:rsid w:val="00C3027A"/>
    <w:rsid w:val="00C407FD"/>
    <w:rsid w:val="00C40B7E"/>
    <w:rsid w:val="00C43E84"/>
    <w:rsid w:val="00C45CD5"/>
    <w:rsid w:val="00C5703E"/>
    <w:rsid w:val="00C5754A"/>
    <w:rsid w:val="00C60F72"/>
    <w:rsid w:val="00C6107E"/>
    <w:rsid w:val="00C61BD9"/>
    <w:rsid w:val="00C638B2"/>
    <w:rsid w:val="00C63E54"/>
    <w:rsid w:val="00C64047"/>
    <w:rsid w:val="00C64238"/>
    <w:rsid w:val="00C653BC"/>
    <w:rsid w:val="00C66500"/>
    <w:rsid w:val="00C6698D"/>
    <w:rsid w:val="00C70B0B"/>
    <w:rsid w:val="00C7150D"/>
    <w:rsid w:val="00C71B8F"/>
    <w:rsid w:val="00C7226E"/>
    <w:rsid w:val="00C72674"/>
    <w:rsid w:val="00C729F1"/>
    <w:rsid w:val="00C73CF9"/>
    <w:rsid w:val="00C74FEF"/>
    <w:rsid w:val="00C8124F"/>
    <w:rsid w:val="00C82870"/>
    <w:rsid w:val="00C8584A"/>
    <w:rsid w:val="00C8624A"/>
    <w:rsid w:val="00C87756"/>
    <w:rsid w:val="00C91119"/>
    <w:rsid w:val="00C95278"/>
    <w:rsid w:val="00C95B2F"/>
    <w:rsid w:val="00C96963"/>
    <w:rsid w:val="00CA0E2F"/>
    <w:rsid w:val="00CA2BD7"/>
    <w:rsid w:val="00CA3738"/>
    <w:rsid w:val="00CA42F7"/>
    <w:rsid w:val="00CA5541"/>
    <w:rsid w:val="00CA6969"/>
    <w:rsid w:val="00CA71B7"/>
    <w:rsid w:val="00CB00F3"/>
    <w:rsid w:val="00CB12BA"/>
    <w:rsid w:val="00CB484E"/>
    <w:rsid w:val="00CB4B53"/>
    <w:rsid w:val="00CB7D21"/>
    <w:rsid w:val="00CB7DA1"/>
    <w:rsid w:val="00CC16B2"/>
    <w:rsid w:val="00CC6596"/>
    <w:rsid w:val="00CD0E36"/>
    <w:rsid w:val="00CD1B01"/>
    <w:rsid w:val="00CD1D5B"/>
    <w:rsid w:val="00CD1E6E"/>
    <w:rsid w:val="00CD341E"/>
    <w:rsid w:val="00CD4B2B"/>
    <w:rsid w:val="00CD5187"/>
    <w:rsid w:val="00CD7815"/>
    <w:rsid w:val="00CE01BD"/>
    <w:rsid w:val="00CE0DA2"/>
    <w:rsid w:val="00CE3E78"/>
    <w:rsid w:val="00CE40B1"/>
    <w:rsid w:val="00CE6775"/>
    <w:rsid w:val="00CE67D7"/>
    <w:rsid w:val="00CE68DB"/>
    <w:rsid w:val="00CE7256"/>
    <w:rsid w:val="00CE76FC"/>
    <w:rsid w:val="00CE77E0"/>
    <w:rsid w:val="00CE7F23"/>
    <w:rsid w:val="00CF1AFB"/>
    <w:rsid w:val="00CF22CE"/>
    <w:rsid w:val="00CF29E9"/>
    <w:rsid w:val="00CF380C"/>
    <w:rsid w:val="00CF3878"/>
    <w:rsid w:val="00CF44B9"/>
    <w:rsid w:val="00D02287"/>
    <w:rsid w:val="00D1373A"/>
    <w:rsid w:val="00D15DB8"/>
    <w:rsid w:val="00D16365"/>
    <w:rsid w:val="00D175DD"/>
    <w:rsid w:val="00D22F33"/>
    <w:rsid w:val="00D22F4F"/>
    <w:rsid w:val="00D23E78"/>
    <w:rsid w:val="00D240F2"/>
    <w:rsid w:val="00D24137"/>
    <w:rsid w:val="00D24BFE"/>
    <w:rsid w:val="00D268C0"/>
    <w:rsid w:val="00D27162"/>
    <w:rsid w:val="00D277DC"/>
    <w:rsid w:val="00D31DC3"/>
    <w:rsid w:val="00D329CF"/>
    <w:rsid w:val="00D33EE5"/>
    <w:rsid w:val="00D3476D"/>
    <w:rsid w:val="00D347B9"/>
    <w:rsid w:val="00D429EE"/>
    <w:rsid w:val="00D42E2E"/>
    <w:rsid w:val="00D4571D"/>
    <w:rsid w:val="00D46C7B"/>
    <w:rsid w:val="00D47647"/>
    <w:rsid w:val="00D53D11"/>
    <w:rsid w:val="00D56B5F"/>
    <w:rsid w:val="00D57F4F"/>
    <w:rsid w:val="00D62251"/>
    <w:rsid w:val="00D638A6"/>
    <w:rsid w:val="00D65589"/>
    <w:rsid w:val="00D672EC"/>
    <w:rsid w:val="00D67B5C"/>
    <w:rsid w:val="00D702A7"/>
    <w:rsid w:val="00D71F9C"/>
    <w:rsid w:val="00D75B86"/>
    <w:rsid w:val="00D77BE8"/>
    <w:rsid w:val="00D8213A"/>
    <w:rsid w:val="00D866F2"/>
    <w:rsid w:val="00D91533"/>
    <w:rsid w:val="00D91F0F"/>
    <w:rsid w:val="00D932DC"/>
    <w:rsid w:val="00D94FEE"/>
    <w:rsid w:val="00D9553B"/>
    <w:rsid w:val="00DA046D"/>
    <w:rsid w:val="00DA269E"/>
    <w:rsid w:val="00DA4798"/>
    <w:rsid w:val="00DA552F"/>
    <w:rsid w:val="00DA6A48"/>
    <w:rsid w:val="00DB0B42"/>
    <w:rsid w:val="00DB3E84"/>
    <w:rsid w:val="00DB4069"/>
    <w:rsid w:val="00DC2054"/>
    <w:rsid w:val="00DC2472"/>
    <w:rsid w:val="00DC33F5"/>
    <w:rsid w:val="00DC3648"/>
    <w:rsid w:val="00DC3E55"/>
    <w:rsid w:val="00DC4711"/>
    <w:rsid w:val="00DC7DFF"/>
    <w:rsid w:val="00DC7F23"/>
    <w:rsid w:val="00DD067F"/>
    <w:rsid w:val="00DD0C12"/>
    <w:rsid w:val="00DD1E6F"/>
    <w:rsid w:val="00DD6562"/>
    <w:rsid w:val="00DD6D3A"/>
    <w:rsid w:val="00DE0F8A"/>
    <w:rsid w:val="00DE23E5"/>
    <w:rsid w:val="00DE495D"/>
    <w:rsid w:val="00DE4C4D"/>
    <w:rsid w:val="00DE4DCD"/>
    <w:rsid w:val="00DE524F"/>
    <w:rsid w:val="00DF3F29"/>
    <w:rsid w:val="00DF421A"/>
    <w:rsid w:val="00DF6F31"/>
    <w:rsid w:val="00E0321A"/>
    <w:rsid w:val="00E04179"/>
    <w:rsid w:val="00E04A9E"/>
    <w:rsid w:val="00E07081"/>
    <w:rsid w:val="00E07AE0"/>
    <w:rsid w:val="00E07E02"/>
    <w:rsid w:val="00E10293"/>
    <w:rsid w:val="00E104D5"/>
    <w:rsid w:val="00E10C23"/>
    <w:rsid w:val="00E11A6C"/>
    <w:rsid w:val="00E12EBA"/>
    <w:rsid w:val="00E12F24"/>
    <w:rsid w:val="00E1439B"/>
    <w:rsid w:val="00E14F1B"/>
    <w:rsid w:val="00E164C5"/>
    <w:rsid w:val="00E219E6"/>
    <w:rsid w:val="00E23A33"/>
    <w:rsid w:val="00E31AAA"/>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63C2"/>
    <w:rsid w:val="00E56618"/>
    <w:rsid w:val="00E57724"/>
    <w:rsid w:val="00E57763"/>
    <w:rsid w:val="00E578CB"/>
    <w:rsid w:val="00E6026B"/>
    <w:rsid w:val="00E612DB"/>
    <w:rsid w:val="00E618C0"/>
    <w:rsid w:val="00E61F6D"/>
    <w:rsid w:val="00E62DFD"/>
    <w:rsid w:val="00E66A52"/>
    <w:rsid w:val="00E673B8"/>
    <w:rsid w:val="00E72086"/>
    <w:rsid w:val="00E72F51"/>
    <w:rsid w:val="00E75855"/>
    <w:rsid w:val="00E76131"/>
    <w:rsid w:val="00E76860"/>
    <w:rsid w:val="00E76ABB"/>
    <w:rsid w:val="00E80E71"/>
    <w:rsid w:val="00E818CE"/>
    <w:rsid w:val="00E871BE"/>
    <w:rsid w:val="00E87816"/>
    <w:rsid w:val="00E91AB2"/>
    <w:rsid w:val="00E9227E"/>
    <w:rsid w:val="00E939FF"/>
    <w:rsid w:val="00EA04C4"/>
    <w:rsid w:val="00EA1623"/>
    <w:rsid w:val="00EA3BAB"/>
    <w:rsid w:val="00EA5633"/>
    <w:rsid w:val="00EA6CB9"/>
    <w:rsid w:val="00EB05BA"/>
    <w:rsid w:val="00EB3DB6"/>
    <w:rsid w:val="00EB501C"/>
    <w:rsid w:val="00EB559A"/>
    <w:rsid w:val="00EB6490"/>
    <w:rsid w:val="00EC0F11"/>
    <w:rsid w:val="00EC18AD"/>
    <w:rsid w:val="00EC4D72"/>
    <w:rsid w:val="00EC56BA"/>
    <w:rsid w:val="00EC6DCA"/>
    <w:rsid w:val="00ED078D"/>
    <w:rsid w:val="00ED0C71"/>
    <w:rsid w:val="00ED3677"/>
    <w:rsid w:val="00ED411F"/>
    <w:rsid w:val="00ED46A8"/>
    <w:rsid w:val="00ED5945"/>
    <w:rsid w:val="00ED6B25"/>
    <w:rsid w:val="00EE01AD"/>
    <w:rsid w:val="00EE31E5"/>
    <w:rsid w:val="00EE320D"/>
    <w:rsid w:val="00EE350A"/>
    <w:rsid w:val="00EF06F2"/>
    <w:rsid w:val="00EF2CE0"/>
    <w:rsid w:val="00EF3C6F"/>
    <w:rsid w:val="00F00BDA"/>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2C89"/>
    <w:rsid w:val="00F24083"/>
    <w:rsid w:val="00F24754"/>
    <w:rsid w:val="00F261AC"/>
    <w:rsid w:val="00F31503"/>
    <w:rsid w:val="00F31846"/>
    <w:rsid w:val="00F31D8C"/>
    <w:rsid w:val="00F34BB1"/>
    <w:rsid w:val="00F363D1"/>
    <w:rsid w:val="00F377FA"/>
    <w:rsid w:val="00F37D6C"/>
    <w:rsid w:val="00F37F8E"/>
    <w:rsid w:val="00F52B27"/>
    <w:rsid w:val="00F52ECF"/>
    <w:rsid w:val="00F5419E"/>
    <w:rsid w:val="00F604AE"/>
    <w:rsid w:val="00F608DE"/>
    <w:rsid w:val="00F61491"/>
    <w:rsid w:val="00F620CD"/>
    <w:rsid w:val="00F62B12"/>
    <w:rsid w:val="00F6413F"/>
    <w:rsid w:val="00F6454F"/>
    <w:rsid w:val="00F662DE"/>
    <w:rsid w:val="00F6711C"/>
    <w:rsid w:val="00F679EC"/>
    <w:rsid w:val="00F67C2B"/>
    <w:rsid w:val="00F67C6A"/>
    <w:rsid w:val="00F67CB5"/>
    <w:rsid w:val="00F72C00"/>
    <w:rsid w:val="00F80021"/>
    <w:rsid w:val="00F83630"/>
    <w:rsid w:val="00F853B3"/>
    <w:rsid w:val="00F859AE"/>
    <w:rsid w:val="00F877F1"/>
    <w:rsid w:val="00F90A60"/>
    <w:rsid w:val="00F9384E"/>
    <w:rsid w:val="00F96852"/>
    <w:rsid w:val="00FA0B1A"/>
    <w:rsid w:val="00FA1758"/>
    <w:rsid w:val="00FA17B6"/>
    <w:rsid w:val="00FA2397"/>
    <w:rsid w:val="00FA470B"/>
    <w:rsid w:val="00FA6CE1"/>
    <w:rsid w:val="00FB0769"/>
    <w:rsid w:val="00FB3EE3"/>
    <w:rsid w:val="00FB6739"/>
    <w:rsid w:val="00FB73EC"/>
    <w:rsid w:val="00FB75C9"/>
    <w:rsid w:val="00FB79B8"/>
    <w:rsid w:val="00FC0D2F"/>
    <w:rsid w:val="00FC1CA4"/>
    <w:rsid w:val="00FC381D"/>
    <w:rsid w:val="00FC3BB4"/>
    <w:rsid w:val="00FC5F36"/>
    <w:rsid w:val="00FC6455"/>
    <w:rsid w:val="00FC672E"/>
    <w:rsid w:val="00FD10DD"/>
    <w:rsid w:val="00FD18F9"/>
    <w:rsid w:val="00FD1C92"/>
    <w:rsid w:val="00FD3646"/>
    <w:rsid w:val="00FD369C"/>
    <w:rsid w:val="00FD6576"/>
    <w:rsid w:val="00FD6903"/>
    <w:rsid w:val="00FD7C40"/>
    <w:rsid w:val="00FE0356"/>
    <w:rsid w:val="00FE0FDE"/>
    <w:rsid w:val="00FE1089"/>
    <w:rsid w:val="00FE2943"/>
    <w:rsid w:val="00FE3CDC"/>
    <w:rsid w:val="00FE4239"/>
    <w:rsid w:val="00FE5200"/>
    <w:rsid w:val="00FE5F37"/>
    <w:rsid w:val="00FF5403"/>
    <w:rsid w:val="00FF5ECF"/>
    <w:rsid w:val="00FF79CB"/>
    <w:rsid w:val="00FF7C81"/>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endnote reference" w:uiPriority="99"/>
    <w:lsdException w:name="endnote text"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7E5E"/>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D02287"/>
    <w:pPr>
      <w:keepNext/>
      <w:keepLines/>
      <w:tabs>
        <w:tab w:val="left" w:pos="851"/>
      </w:tabs>
      <w:spacing w:before="400"/>
      <w:ind w:left="851" w:hanging="851"/>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0560EE"/>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634F41"/>
    <w:pPr>
      <w:keepNext/>
      <w:tabs>
        <w:tab w:val="left" w:pos="993"/>
      </w:tabs>
      <w:spacing w:before="240" w:after="60"/>
      <w:outlineLvl w:val="3"/>
    </w:pPr>
    <w:rPr>
      <w:rFonts w:eastAsia="Times New Roman"/>
      <w:b/>
      <w:bCs/>
      <w:color w:val="31849B"/>
      <w:sz w:val="22"/>
      <w:lang w:val="en-GB" w:eastAsia="en-CA"/>
    </w:rPr>
  </w:style>
  <w:style w:type="paragraph" w:styleId="Heading5">
    <w:name w:val="heading 5"/>
    <w:basedOn w:val="Normal"/>
    <w:next w:val="Normal"/>
    <w:link w:val="Heading5Char"/>
    <w:qFormat/>
    <w:rsid w:val="00634F41"/>
    <w:pPr>
      <w:keepNext/>
      <w:keepLines/>
      <w:tabs>
        <w:tab w:val="left" w:pos="1134"/>
      </w:tabs>
      <w:spacing w:before="240" w:after="60"/>
      <w:ind w:left="1134" w:hanging="1134"/>
      <w:outlineLvl w:val="4"/>
    </w:pPr>
    <w:rPr>
      <w:rFonts w:eastAsia="Times New Roman"/>
      <w:b/>
      <w:bCs/>
      <w:i/>
      <w:iCs/>
      <w:color w:val="31849B"/>
      <w:sz w:val="22"/>
      <w:lang w:val="en-GB"/>
    </w:rPr>
  </w:style>
  <w:style w:type="paragraph" w:styleId="Heading6">
    <w:name w:val="heading 6"/>
    <w:basedOn w:val="Normal"/>
    <w:next w:val="Normal"/>
    <w:link w:val="Heading6Char"/>
    <w:qFormat/>
    <w:rsid w:val="00ED46A8"/>
    <w:pPr>
      <w:spacing w:before="240" w:after="60"/>
      <w:outlineLvl w:val="5"/>
    </w:pPr>
    <w:rPr>
      <w:b/>
      <w:bCs/>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075AFE"/>
    <w:rPr>
      <w:rFonts w:ascii="Tahoma" w:hAnsi="Tahoma" w:cs="Tahoma"/>
      <w:sz w:val="16"/>
      <w:szCs w:val="16"/>
      <w:lang w:val="fr-FR" w:eastAsia="fr-FR"/>
    </w:rPr>
  </w:style>
  <w:style w:type="paragraph" w:styleId="Header">
    <w:name w:val="header"/>
    <w:basedOn w:val="Normal"/>
    <w:link w:val="HeaderChar"/>
    <w:rsid w:val="008E4040"/>
    <w:pPr>
      <w:pBdr>
        <w:bottom w:val="single" w:sz="12" w:space="1" w:color="005173"/>
      </w:pBdr>
      <w:jc w:val="center"/>
    </w:pPr>
    <w:rPr>
      <w:rFonts w:eastAsia="Times New Roman" w:cs="Calibri"/>
      <w:i/>
      <w:iCs/>
      <w:szCs w:val="21"/>
      <w:lang w:val="en-US"/>
    </w:rPr>
  </w:style>
  <w:style w:type="character" w:customStyle="1" w:styleId="HeaderChar">
    <w:name w:val="Header Char"/>
    <w:basedOn w:val="DefaultParagraphFont"/>
    <w:link w:val="Header"/>
    <w:uiPriority w:val="99"/>
    <w:rsid w:val="008E4040"/>
    <w:rPr>
      <w:rFonts w:ascii="Calibri" w:eastAsia="Times New Roman" w:hAnsi="Calibri" w:cs="Calibri"/>
      <w:i/>
      <w:iCs/>
      <w:sz w:val="21"/>
      <w:szCs w:val="21"/>
      <w:lang w:eastAsia="fr-FR"/>
    </w:rPr>
  </w:style>
  <w:style w:type="character" w:styleId="Hyperlink">
    <w:name w:val="Hyperlink"/>
    <w:aliases w:val="CEO_Hyperlink"/>
    <w:basedOn w:val="DefaultParagraphFont"/>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C20DC1"/>
    <w:pPr>
      <w:keepNext/>
      <w:keepLines/>
      <w:tabs>
        <w:tab w:val="left" w:pos="567"/>
        <w:tab w:val="left" w:pos="1134"/>
        <w:tab w:val="right" w:leader="dot" w:pos="8505"/>
        <w:tab w:val="right" w:pos="9071"/>
      </w:tabs>
      <w:spacing w:before="200"/>
      <w:ind w:left="567" w:hanging="567"/>
      <w:jc w:val="left"/>
    </w:pPr>
    <w:rPr>
      <w:rFonts w:eastAsia="SimSun"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FE5F37"/>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eastAsia="SimSun"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basedOn w:val="Enumlevel1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7116B1"/>
    <w:pPr>
      <w:spacing w:before="240" w:after="120"/>
      <w:jc w:val="center"/>
    </w:pPr>
    <w:rPr>
      <w:b w:val="0"/>
      <w:bCs/>
    </w:rPr>
  </w:style>
  <w:style w:type="character" w:customStyle="1" w:styleId="FiguretitleChar">
    <w:name w:val="Figure title Char"/>
    <w:basedOn w:val="DefaultParagraphFont"/>
    <w:link w:val="Figuretitle"/>
    <w:rsid w:val="00FE5F37"/>
    <w:rPr>
      <w:rFonts w:ascii="Calibri" w:eastAsia="SimSun"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0560EE"/>
    <w:pPr>
      <w:jc w:val="left"/>
    </w:pPr>
    <w:rPr>
      <w:b w:val="0"/>
      <w:bCs/>
      <w:i/>
      <w:iCs/>
      <w:sz w:val="19"/>
      <w:szCs w:val="19"/>
    </w:rPr>
  </w:style>
  <w:style w:type="character" w:customStyle="1" w:styleId="FigureChar">
    <w:name w:val="Figure Char"/>
    <w:basedOn w:val="FiguretitleChar"/>
    <w:link w:val="Figure"/>
    <w:rsid w:val="007116B1"/>
    <w:rPr>
      <w:rFonts w:ascii="Calibri" w:eastAsia="SimSun" w:hAnsi="Calibri" w:cs="Arial"/>
      <w:b w:val="0"/>
      <w:bCs/>
      <w:color w:val="000000"/>
      <w:sz w:val="21"/>
      <w:szCs w:val="22"/>
      <w:shd w:val="clear" w:color="auto" w:fill="E8F8FD"/>
      <w:lang w:val="en-AU" w:eastAsia="fr-FR"/>
    </w:rPr>
  </w:style>
  <w:style w:type="character" w:customStyle="1" w:styleId="href">
    <w:name w:val="href"/>
    <w:basedOn w:val="DefaultParagraphFont"/>
    <w:rsid w:val="006104A4"/>
    <w:rPr>
      <w:rFonts w:cs="Times New Roman"/>
    </w:rPr>
  </w:style>
  <w:style w:type="character" w:customStyle="1" w:styleId="figuresourceChar">
    <w:name w:val="figure source Char"/>
    <w:basedOn w:val="FiguretitleChar"/>
    <w:link w:val="figuresource"/>
    <w:rsid w:val="000560EE"/>
    <w:rPr>
      <w:rFonts w:ascii="Calibri" w:eastAsia="SimSun" w:hAnsi="Calibri" w:cs="Arial"/>
      <w:b w:val="0"/>
      <w:bCs/>
      <w:i/>
      <w:iCs/>
      <w:color w:val="000000"/>
      <w:sz w:val="19"/>
      <w:szCs w:val="19"/>
      <w:shd w:val="clear" w:color="auto" w:fill="B9E5FB"/>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0560EE"/>
    <w:pPr>
      <w:pBdr>
        <w:top w:val="single" w:sz="4" w:space="1" w:color="005173"/>
      </w:pBdr>
      <w:tabs>
        <w:tab w:val="right" w:pos="9071"/>
      </w:tabs>
      <w:ind w:left="6804"/>
      <w:jc w:val="right"/>
    </w:pPr>
  </w:style>
  <w:style w:type="character" w:customStyle="1" w:styleId="FooterChar">
    <w:name w:val="Footer Char"/>
    <w:basedOn w:val="DefaultParagraphFont"/>
    <w:link w:val="Footer"/>
    <w:rsid w:val="000560EE"/>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basedOn w:val="DefaultParagraphFont"/>
    <w:link w:val="Heading2"/>
    <w:rsid w:val="000560EE"/>
    <w:rPr>
      <w:rFonts w:ascii="Calibri" w:eastAsia="Times New Roman" w:hAnsi="Calibri" w:cs="Helvetica"/>
      <w:b/>
      <w:bCs/>
      <w:color w:val="005173"/>
      <w:sz w:val="24"/>
      <w:szCs w:val="32"/>
      <w:lang w:eastAsia="fr-FR"/>
    </w:rPr>
  </w:style>
  <w:style w:type="character" w:customStyle="1" w:styleId="PartTitleChar">
    <w:name w:val="Part Title Char"/>
    <w:basedOn w:val="Heading2Char"/>
    <w:link w:val="PartTitle"/>
    <w:rsid w:val="0010485E"/>
    <w:rPr>
      <w:rFonts w:ascii="Calibri" w:eastAsia="Times New Roman" w:hAnsi="Calibri" w:cs="Helvetica"/>
      <w:b/>
      <w:bCs/>
      <w:i/>
      <w:color w:val="548DD4" w:themeColor="text2" w:themeTint="99"/>
      <w:sz w:val="44"/>
      <w:szCs w:val="36"/>
      <w:u w:color="E36C0A"/>
      <w:lang w:val="en-AU" w:eastAsia="fr-FR"/>
    </w:rPr>
  </w:style>
  <w:style w:type="paragraph" w:styleId="FootnoteText">
    <w:name w:val="footnote text"/>
    <w:basedOn w:val="Normal"/>
    <w:link w:val="FootnoteTextChar"/>
    <w:unhideWhenUsed/>
    <w:rsid w:val="00FA6CE1"/>
    <w:pPr>
      <w:tabs>
        <w:tab w:val="left" w:pos="284"/>
      </w:tabs>
      <w:spacing w:before="60"/>
      <w:jc w:val="left"/>
    </w:pPr>
    <w:rPr>
      <w:rFonts w:asciiTheme="minorHAnsi" w:eastAsiaTheme="minorHAnsi" w:hAnsiTheme="minorHAnsi" w:cstheme="minorBidi"/>
      <w:sz w:val="18"/>
      <w:szCs w:val="20"/>
      <w:lang w:val="en-GB" w:eastAsia="en-US"/>
    </w:rPr>
  </w:style>
  <w:style w:type="character" w:customStyle="1" w:styleId="FootnoteTextChar">
    <w:name w:val="Footnote Text Char"/>
    <w:basedOn w:val="DefaultParagraphFont"/>
    <w:link w:val="FootnoteText"/>
    <w:rsid w:val="00FA6CE1"/>
    <w:rPr>
      <w:rFonts w:asciiTheme="minorHAnsi" w:eastAsiaTheme="minorHAnsi" w:hAnsiTheme="minorHAnsi" w:cstheme="minorBidi"/>
      <w:sz w:val="18"/>
      <w:lang w:val="en-GB" w:eastAsia="en-US"/>
    </w:rPr>
  </w:style>
  <w:style w:type="character" w:styleId="FootnoteReference">
    <w:name w:val="footnote reference"/>
    <w:aliases w:val="Appel note de bas de p"/>
    <w:basedOn w:val="DefaultParagraphFont"/>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3A52DB"/>
    <w:pPr>
      <w:keepNext/>
      <w:keepLines/>
      <w:tabs>
        <w:tab w:val="left" w:pos="851"/>
      </w:tabs>
      <w:spacing w:before="240"/>
      <w:jc w:val="center"/>
      <w:outlineLvl w:val="0"/>
    </w:pPr>
    <w:rPr>
      <w:rFonts w:cs="Helvetica"/>
      <w:b/>
      <w:bCs/>
      <w:color w:val="005173"/>
      <w:sz w:val="40"/>
      <w:szCs w:val="28"/>
      <w:lang w:val="en-US"/>
    </w:rPr>
  </w:style>
  <w:style w:type="paragraph" w:customStyle="1" w:styleId="Toc0">
    <w:name w:val="Toc 0"/>
    <w:basedOn w:val="Normal"/>
    <w:link w:val="Toc0Char"/>
    <w:qFormat/>
    <w:rsid w:val="00395676"/>
    <w:pPr>
      <w:tabs>
        <w:tab w:val="right" w:pos="9071"/>
      </w:tabs>
      <w:spacing w:before="200"/>
      <w:jc w:val="right"/>
    </w:pPr>
    <w:rPr>
      <w:rFonts w:cs="Helvetica"/>
      <w:bCs/>
      <w:i/>
      <w:iCs/>
      <w:noProof/>
      <w:color w:val="1F9DD9"/>
      <w:szCs w:val="28"/>
      <w:lang w:val="en-US"/>
    </w:rPr>
  </w:style>
  <w:style w:type="character" w:customStyle="1" w:styleId="Heading1Char">
    <w:name w:val="Heading 1 Char"/>
    <w:basedOn w:val="DefaultParagraphFont"/>
    <w:link w:val="Heading1"/>
    <w:uiPriority w:val="9"/>
    <w:rsid w:val="00D02287"/>
    <w:rPr>
      <w:rFonts w:ascii="Calibri" w:eastAsia="Times New Roman" w:hAnsi="Calibri" w:cs="Helvetica"/>
      <w:b/>
      <w:bCs/>
      <w:color w:val="005173"/>
      <w:sz w:val="28"/>
      <w:szCs w:val="28"/>
      <w:lang w:eastAsia="fr-FR"/>
    </w:rPr>
  </w:style>
  <w:style w:type="character" w:customStyle="1" w:styleId="ChapttitleChar">
    <w:name w:val="Chapt title Char"/>
    <w:basedOn w:val="DefaultParagraphFont"/>
    <w:link w:val="Chapttitle"/>
    <w:rsid w:val="003A52DB"/>
    <w:rPr>
      <w:rFonts w:ascii="Calibri" w:hAnsi="Calibri" w:cs="Helvetica"/>
      <w:b/>
      <w:bCs/>
      <w:color w:val="005173"/>
      <w:sz w:val="40"/>
      <w:szCs w:val="28"/>
      <w:lang w:eastAsia="fr-FR"/>
    </w:rPr>
  </w:style>
  <w:style w:type="character" w:customStyle="1" w:styleId="Toc0Char">
    <w:name w:val="Toc 0 Char"/>
    <w:basedOn w:val="DefaultParagraphFont"/>
    <w:link w:val="Toc0"/>
    <w:rsid w:val="00395676"/>
    <w:rPr>
      <w:rFonts w:ascii="Calibri" w:hAnsi="Calibri" w:cs="Helvetica"/>
      <w:bCs/>
      <w:i/>
      <w:iCs/>
      <w:noProof/>
      <w:color w:val="1F9DD9"/>
      <w:sz w:val="21"/>
      <w:szCs w:val="28"/>
      <w:lang w:eastAsia="fr-FR"/>
    </w:rPr>
  </w:style>
  <w:style w:type="paragraph" w:customStyle="1" w:styleId="HeadingB">
    <w:name w:val="Heading B"/>
    <w:basedOn w:val="Normal"/>
    <w:link w:val="HeadingBChar"/>
    <w:qFormat/>
    <w:rsid w:val="00CE0DA2"/>
    <w:pPr>
      <w:spacing w:before="240"/>
    </w:pPr>
    <w:rPr>
      <w:rFonts w:cs="Times New Roman Bold"/>
      <w:b/>
      <w:bCs/>
      <w:lang w:val="en-AU"/>
    </w:rPr>
  </w:style>
  <w:style w:type="paragraph" w:customStyle="1" w:styleId="Enumlevel1">
    <w:name w:val="Enum level 1"/>
    <w:basedOn w:val="Normal"/>
    <w:link w:val="Enumlevel1Char"/>
    <w:qFormat/>
    <w:rsid w:val="00ED3677"/>
    <w:pPr>
      <w:ind w:left="567" w:hanging="567"/>
    </w:pPr>
    <w:rPr>
      <w:rFonts w:eastAsia="SimSun" w:cs="Calibri"/>
      <w:szCs w:val="21"/>
      <w:lang w:val="en-GB" w:eastAsia="en-GB"/>
    </w:rPr>
  </w:style>
  <w:style w:type="character" w:customStyle="1" w:styleId="HeadingBChar">
    <w:name w:val="Heading B Char"/>
    <w:basedOn w:val="DefaultParagraphFont"/>
    <w:link w:val="HeadingB"/>
    <w:rsid w:val="00CE0DA2"/>
    <w:rPr>
      <w:rFonts w:ascii="Calibri" w:hAnsi="Calibri" w:cs="Times New Roman Bold"/>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basedOn w:val="DefaultParagraphFont"/>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2A225A"/>
    <w:rPr>
      <w:i/>
      <w:iCs/>
      <w:lang w:val="en-US"/>
    </w:rPr>
  </w:style>
  <w:style w:type="character" w:customStyle="1" w:styleId="CitationChar">
    <w:name w:val="Citation Char"/>
    <w:basedOn w:val="DefaultParagraphFont"/>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color w:val="000000" w:themeColor="text1"/>
      <w:lang w:val="en-GB"/>
    </w:rPr>
  </w:style>
  <w:style w:type="character" w:customStyle="1" w:styleId="Heading3Char">
    <w:name w:val="Heading 3 Char"/>
    <w:basedOn w:val="DefaultParagraphFont"/>
    <w:link w:val="Heading3"/>
    <w:locked/>
    <w:rsid w:val="00BB5150"/>
    <w:rPr>
      <w:rFonts w:ascii="Calibri" w:eastAsia="Times New Roman" w:hAnsi="Calibri" w:cs="Helvetica"/>
      <w:b/>
      <w:bCs/>
      <w:i/>
      <w:iCs/>
      <w:color w:val="943634" w:themeColor="accent2" w:themeShade="BF"/>
      <w:sz w:val="24"/>
      <w:szCs w:val="32"/>
      <w:lang w:eastAsia="fr-FR"/>
    </w:rPr>
  </w:style>
  <w:style w:type="character" w:customStyle="1" w:styleId="Heading4Char">
    <w:name w:val="Heading 4 Char"/>
    <w:basedOn w:val="DefaultParagraphFont"/>
    <w:link w:val="Heading4"/>
    <w:locked/>
    <w:rsid w:val="00634F41"/>
    <w:rPr>
      <w:rFonts w:ascii="Calibri" w:eastAsia="Times New Roman" w:hAnsi="Calibri"/>
      <w:b/>
      <w:bCs/>
      <w:color w:val="31849B"/>
      <w:sz w:val="22"/>
      <w:szCs w:val="22"/>
      <w:lang w:val="en-GB" w:eastAsia="en-CA"/>
    </w:rPr>
  </w:style>
  <w:style w:type="character" w:customStyle="1" w:styleId="Heading5Char">
    <w:name w:val="Heading 5 Char"/>
    <w:basedOn w:val="DefaultParagraphFont"/>
    <w:link w:val="Heading5"/>
    <w:locked/>
    <w:rsid w:val="00634F41"/>
    <w:rPr>
      <w:rFonts w:ascii="Calibri" w:eastAsia="Times New Roman" w:hAnsi="Calibri"/>
      <w:b/>
      <w:bCs/>
      <w:i/>
      <w:iCs/>
      <w:color w:val="31849B"/>
      <w:sz w:val="22"/>
      <w:szCs w:val="22"/>
      <w:lang w:val="en-GB" w:eastAsia="fr-FR"/>
    </w:rPr>
  </w:style>
  <w:style w:type="character" w:customStyle="1" w:styleId="Heading6Char">
    <w:name w:val="Heading 6 Char"/>
    <w:basedOn w:val="DefaultParagraphFont"/>
    <w:link w:val="Heading6"/>
    <w:locked/>
    <w:rsid w:val="00271D36"/>
    <w:rPr>
      <w:rFonts w:ascii="Calibri" w:hAnsi="Calibri"/>
      <w:b/>
      <w:bCs/>
      <w:sz w:val="21"/>
      <w:szCs w:val="22"/>
      <w:lang w:val="fr-FR" w:eastAsia="fr-FR"/>
    </w:rPr>
  </w:style>
  <w:style w:type="character" w:customStyle="1" w:styleId="Heading7Char">
    <w:name w:val="Heading 7 Char"/>
    <w:basedOn w:val="DefaultParagraphFont"/>
    <w:link w:val="Heading7"/>
    <w:locked/>
    <w:rsid w:val="00271D36"/>
    <w:rPr>
      <w:rFonts w:ascii="Calibri" w:hAnsi="Calibri"/>
      <w:sz w:val="24"/>
      <w:szCs w:val="24"/>
      <w:lang w:val="fr-FR" w:eastAsia="fr-FR"/>
    </w:rPr>
  </w:style>
  <w:style w:type="character" w:customStyle="1" w:styleId="Heading8Char">
    <w:name w:val="Heading 8 Char"/>
    <w:basedOn w:val="DefaultParagraphFont"/>
    <w:link w:val="Heading8"/>
    <w:locked/>
    <w:rsid w:val="00271D36"/>
    <w:rPr>
      <w:rFonts w:ascii="Calibri" w:hAnsi="Calibri"/>
      <w:i/>
      <w:iCs/>
      <w:sz w:val="24"/>
      <w:szCs w:val="24"/>
      <w:lang w:val="fr-FR" w:eastAsia="fr-FR"/>
    </w:rPr>
  </w:style>
  <w:style w:type="character" w:customStyle="1" w:styleId="Heading9Char">
    <w:name w:val="Heading 9 Char"/>
    <w:basedOn w:val="DefaultParagraphFont"/>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rFonts w:eastAsia="SimSun"/>
      <w:sz w:val="24"/>
      <w:szCs w:val="24"/>
      <w:lang w:val="en-GB" w:eastAsia="en-GB"/>
    </w:rPr>
  </w:style>
  <w:style w:type="character" w:styleId="FollowedHyperlink">
    <w:name w:val="FollowedHyperlink"/>
    <w:aliases w:val="CEO_FollowedHyperlink"/>
    <w:basedOn w:val="DefaultParagraphFont"/>
    <w:rsid w:val="00271D36"/>
    <w:rPr>
      <w:rFonts w:cs="Times New Roman"/>
      <w:color w:val="800080"/>
      <w:u w:val="single"/>
    </w:rPr>
  </w:style>
  <w:style w:type="paragraph" w:customStyle="1" w:styleId="Tablehead">
    <w:name w:val="Table head"/>
    <w:basedOn w:val="Normal"/>
    <w:link w:val="TableheadChar"/>
    <w:qFormat/>
    <w:rsid w:val="00446E47"/>
    <w:pPr>
      <w:autoSpaceDE w:val="0"/>
      <w:autoSpaceDN w:val="0"/>
      <w:adjustRightInd w:val="0"/>
      <w:spacing w:before="80" w:after="80"/>
      <w:jc w:val="center"/>
    </w:pPr>
    <w:rPr>
      <w:rFonts w:cs="Arial"/>
      <w:b/>
      <w:bCs/>
      <w:color w:val="FFFFFF" w:themeColor="background1"/>
      <w:sz w:val="19"/>
      <w:lang w:val="en-US"/>
    </w:rPr>
  </w:style>
  <w:style w:type="character" w:customStyle="1" w:styleId="TableheadChar">
    <w:name w:val="Table head Char"/>
    <w:basedOn w:val="DefaultParagraphFont"/>
    <w:link w:val="Tablehead"/>
    <w:rsid w:val="00446E47"/>
    <w:rPr>
      <w:rFonts w:ascii="Calibri" w:hAnsi="Calibri" w:cs="Arial"/>
      <w:b/>
      <w:bCs/>
      <w:color w:val="FFFFFF" w:themeColor="background1"/>
      <w:sz w:val="19"/>
      <w:szCs w:val="22"/>
      <w:lang w:eastAsia="fr-FR"/>
    </w:rPr>
  </w:style>
  <w:style w:type="paragraph" w:customStyle="1" w:styleId="Tabletext">
    <w:name w:val="Table text"/>
    <w:basedOn w:val="Normal"/>
    <w:link w:val="TabletextChar"/>
    <w:qFormat/>
    <w:rsid w:val="001B29B0"/>
    <w:pPr>
      <w:spacing w:before="40" w:after="40"/>
      <w:jc w:val="left"/>
    </w:pPr>
    <w:rPr>
      <w:rFonts w:asciiTheme="minorHAnsi" w:hAnsiTheme="minorHAnsi"/>
      <w:bCs/>
      <w:sz w:val="19"/>
      <w:szCs w:val="18"/>
    </w:rPr>
  </w:style>
  <w:style w:type="character" w:customStyle="1" w:styleId="TabletextChar">
    <w:name w:val="Table text Char"/>
    <w:basedOn w:val="DefaultParagraphFont"/>
    <w:link w:val="Tabletext"/>
    <w:rsid w:val="001B29B0"/>
    <w:rPr>
      <w:rFonts w:asciiTheme="minorHAnsi" w:hAnsiTheme="minorHAnsi"/>
      <w:bCs/>
      <w:sz w:val="19"/>
      <w:szCs w:val="18"/>
      <w:lang w:val="fr-FR" w:eastAsia="fr-FR"/>
    </w:rPr>
  </w:style>
  <w:style w:type="paragraph" w:customStyle="1" w:styleId="Tabletitle">
    <w:name w:val="Table title"/>
    <w:basedOn w:val="Normal"/>
    <w:link w:val="TabletitleChar"/>
    <w:qFormat/>
    <w:rsid w:val="008E4040"/>
    <w:pPr>
      <w:shd w:val="clear" w:color="auto" w:fill="FFFFFF" w:themeFill="background1"/>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basedOn w:val="DefaultParagraphFont"/>
    <w:link w:val="Tabletitle"/>
    <w:rsid w:val="008E4040"/>
    <w:rPr>
      <w:rFonts w:ascii="Calibri" w:hAnsi="Calibri" w:cs="Arial"/>
      <w:b/>
      <w:bCs/>
      <w:color w:val="005173"/>
      <w:sz w:val="21"/>
      <w:szCs w:val="24"/>
      <w:shd w:val="clear" w:color="auto" w:fill="FFFFFF" w:themeFill="background1"/>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basedOn w:val="DefaultParagraphFont"/>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basedOn w:val="DefaultParagraphFont"/>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basedOn w:val="DefaultParagraphFont"/>
    <w:link w:val="Enumlevel3"/>
    <w:rsid w:val="00B9372E"/>
    <w:rPr>
      <w:rFonts w:ascii="Calibri" w:hAnsi="Calibri"/>
      <w:iCs/>
      <w:sz w:val="21"/>
      <w:szCs w:val="22"/>
      <w:lang w:val="fr-FR" w:eastAsia="fr-FR"/>
    </w:rPr>
  </w:style>
  <w:style w:type="character" w:customStyle="1" w:styleId="BalloonTextChar15">
    <w:name w:val="Balloon Text Char15"/>
    <w:basedOn w:val="DefaultParagraphFont"/>
    <w:uiPriority w:val="99"/>
    <w:semiHidden/>
    <w:rsid w:val="003E2368"/>
    <w:rPr>
      <w:rFonts w:ascii="Lucida Grande" w:hAnsi="Lucida Grande" w:cs="Times New Roman"/>
      <w:sz w:val="18"/>
    </w:rPr>
  </w:style>
  <w:style w:type="character" w:customStyle="1" w:styleId="BalloonTextChar14">
    <w:name w:val="Balloon Text Char14"/>
    <w:basedOn w:val="DefaultParagraphFont"/>
    <w:uiPriority w:val="99"/>
    <w:semiHidden/>
    <w:rsid w:val="003E2368"/>
    <w:rPr>
      <w:rFonts w:ascii="Lucida Grande" w:hAnsi="Lucida Grande" w:cs="Times New Roman"/>
      <w:sz w:val="18"/>
    </w:rPr>
  </w:style>
  <w:style w:type="character" w:customStyle="1" w:styleId="BalloonTextChar13">
    <w:name w:val="Balloon Text Char13"/>
    <w:basedOn w:val="DefaultParagraphFont"/>
    <w:uiPriority w:val="99"/>
    <w:semiHidden/>
    <w:rsid w:val="003E2368"/>
    <w:rPr>
      <w:rFonts w:ascii="Lucida Grande" w:hAnsi="Lucida Grande" w:cs="Times New Roman"/>
      <w:sz w:val="18"/>
    </w:rPr>
  </w:style>
  <w:style w:type="character" w:customStyle="1" w:styleId="BalloonTextChar12">
    <w:name w:val="Balloon Text Char12"/>
    <w:basedOn w:val="DefaultParagraphFont"/>
    <w:uiPriority w:val="99"/>
    <w:semiHidden/>
    <w:rsid w:val="003E2368"/>
    <w:rPr>
      <w:rFonts w:ascii="Lucida Grande" w:hAnsi="Lucida Grande" w:cs="Times New Roman"/>
      <w:sz w:val="18"/>
    </w:rPr>
  </w:style>
  <w:style w:type="character" w:customStyle="1" w:styleId="BalloonTextChar11">
    <w:name w:val="Balloon Text Char11"/>
    <w:basedOn w:val="DefaultParagraphFont"/>
    <w:uiPriority w:val="99"/>
    <w:semiHidden/>
    <w:rsid w:val="003E2368"/>
    <w:rPr>
      <w:rFonts w:ascii="Lucida Grande" w:hAnsi="Lucida Grande" w:cs="Times New Roman"/>
      <w:sz w:val="18"/>
    </w:rPr>
  </w:style>
  <w:style w:type="character" w:customStyle="1" w:styleId="BalloonTextChar10">
    <w:name w:val="Balloon Text Char10"/>
    <w:basedOn w:val="DefaultParagraphFont"/>
    <w:uiPriority w:val="99"/>
    <w:semiHidden/>
    <w:rsid w:val="003E2368"/>
    <w:rPr>
      <w:rFonts w:ascii="Lucida Grande" w:hAnsi="Lucida Grande" w:cs="Times New Roman"/>
      <w:sz w:val="18"/>
    </w:rPr>
  </w:style>
  <w:style w:type="character" w:customStyle="1" w:styleId="BalloonTextChar9">
    <w:name w:val="Balloon Text Char9"/>
    <w:basedOn w:val="DefaultParagraphFont"/>
    <w:uiPriority w:val="99"/>
    <w:semiHidden/>
    <w:rsid w:val="003E2368"/>
    <w:rPr>
      <w:rFonts w:ascii="Lucida Grande" w:hAnsi="Lucida Grande" w:cs="Times New Roman"/>
      <w:sz w:val="18"/>
    </w:rPr>
  </w:style>
  <w:style w:type="character" w:customStyle="1" w:styleId="BalloonTextChar8">
    <w:name w:val="Balloon Text Char8"/>
    <w:basedOn w:val="DefaultParagraphFont"/>
    <w:uiPriority w:val="99"/>
    <w:semiHidden/>
    <w:rsid w:val="003E2368"/>
    <w:rPr>
      <w:rFonts w:ascii="Lucida Grande" w:hAnsi="Lucida Grande" w:cs="Times New Roman"/>
      <w:sz w:val="18"/>
    </w:rPr>
  </w:style>
  <w:style w:type="character" w:customStyle="1" w:styleId="BalloonTextChar7">
    <w:name w:val="Balloon Text Char7"/>
    <w:basedOn w:val="DefaultParagraphFont"/>
    <w:uiPriority w:val="99"/>
    <w:semiHidden/>
    <w:rsid w:val="003E2368"/>
    <w:rPr>
      <w:rFonts w:ascii="Lucida Grande" w:hAnsi="Lucida Grande" w:cs="Times New Roman"/>
      <w:sz w:val="18"/>
    </w:rPr>
  </w:style>
  <w:style w:type="character" w:customStyle="1" w:styleId="BalloonTextChar6">
    <w:name w:val="Balloon Text Char6"/>
    <w:basedOn w:val="DefaultParagraphFont"/>
    <w:uiPriority w:val="99"/>
    <w:semiHidden/>
    <w:rsid w:val="003E2368"/>
    <w:rPr>
      <w:rFonts w:ascii="Lucida Grande" w:hAnsi="Lucida Grande" w:cs="Times New Roman"/>
      <w:sz w:val="18"/>
    </w:rPr>
  </w:style>
  <w:style w:type="character" w:customStyle="1" w:styleId="BalloonTextChar5">
    <w:name w:val="Balloon Text Char5"/>
    <w:basedOn w:val="DefaultParagraphFont"/>
    <w:uiPriority w:val="99"/>
    <w:semiHidden/>
    <w:rsid w:val="003E2368"/>
    <w:rPr>
      <w:rFonts w:ascii="Lucida Grande" w:hAnsi="Lucida Grande" w:cs="Times New Roman"/>
      <w:sz w:val="18"/>
    </w:rPr>
  </w:style>
  <w:style w:type="character" w:customStyle="1" w:styleId="BalloonTextChar4">
    <w:name w:val="Balloon Text Char4"/>
    <w:basedOn w:val="DefaultParagraphFont"/>
    <w:uiPriority w:val="99"/>
    <w:semiHidden/>
    <w:rsid w:val="003E2368"/>
    <w:rPr>
      <w:rFonts w:ascii="Lucida Grande" w:hAnsi="Lucida Grande" w:cs="Times New Roman"/>
      <w:sz w:val="18"/>
    </w:rPr>
  </w:style>
  <w:style w:type="character" w:customStyle="1" w:styleId="BalloonTextChar3">
    <w:name w:val="Balloon Text Char3"/>
    <w:basedOn w:val="DefaultParagraphFont"/>
    <w:uiPriority w:val="99"/>
    <w:semiHidden/>
    <w:rsid w:val="003E2368"/>
    <w:rPr>
      <w:rFonts w:ascii="Lucida Grande" w:hAnsi="Lucida Grande" w:cs="Times New Roman"/>
      <w:sz w:val="18"/>
    </w:rPr>
  </w:style>
  <w:style w:type="character" w:customStyle="1" w:styleId="BalloonTextChar2">
    <w:name w:val="Balloon Text Char2"/>
    <w:basedOn w:val="DefaultParagraphFont"/>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theme="minorBidi"/>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themeColor="accent1" w:themeShade="BF"/>
      <w:lang w:val="es-CL" w:eastAsia="es-C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Questionno">
    <w:name w:val="Question_no"/>
    <w:basedOn w:val="Chapttitle"/>
    <w:link w:val="QuestionnoChar"/>
    <w:qFormat/>
    <w:rsid w:val="00395676"/>
    <w:pPr>
      <w:jc w:val="right"/>
    </w:pPr>
    <w:rPr>
      <w:rFonts w:eastAsia="Times New Roman" w:cs="Calibri"/>
      <w:sz w:val="52"/>
      <w:szCs w:val="52"/>
      <w:lang w:val="en-GB"/>
    </w:rPr>
  </w:style>
  <w:style w:type="character" w:styleId="PlaceholderText">
    <w:name w:val="Placeholder Text"/>
    <w:basedOn w:val="DefaultParagraphFon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basedOn w:val="FigureChar"/>
    <w:link w:val="Acknowledgements"/>
    <w:rsid w:val="006B135F"/>
    <w:rPr>
      <w:rFonts w:ascii="Calibri" w:eastAsia="SimSun" w:hAnsi="Calibri" w:cs="Arial"/>
      <w:b w:val="0"/>
      <w:bCs/>
      <w:color w:val="000000" w:themeColor="text1"/>
      <w:sz w:val="21"/>
      <w:szCs w:val="22"/>
      <w:shd w:val="clear" w:color="auto" w:fill="DAEEF3"/>
      <w:lang w:val="en-GB" w:eastAsia="fr-FR"/>
    </w:rPr>
  </w:style>
  <w:style w:type="character" w:customStyle="1" w:styleId="QuestionnoChar">
    <w:name w:val="Question_no Char"/>
    <w:basedOn w:val="ChapttitleChar"/>
    <w:link w:val="Questionno"/>
    <w:rsid w:val="00395676"/>
    <w:rPr>
      <w:rFonts w:ascii="Calibri" w:eastAsia="Times New Roman" w:hAnsi="Calibri" w:cs="Calibri"/>
      <w:b/>
      <w:bCs/>
      <w:color w:val="1F9DD9"/>
      <w:sz w:val="52"/>
      <w:szCs w:val="52"/>
      <w:lang w:val="en-GB" w:eastAsia="fr-FR"/>
    </w:rPr>
  </w:style>
  <w:style w:type="character" w:customStyle="1" w:styleId="TablesourceChar">
    <w:name w:val="Table source Char"/>
    <w:basedOn w:val="TabletextChar"/>
    <w:link w:val="Tablesource"/>
    <w:rsid w:val="002A225A"/>
    <w:rPr>
      <w:rFonts w:asciiTheme="minorHAnsi" w:hAnsiTheme="minorHAnsi"/>
      <w:bCs/>
      <w:i/>
      <w:iCs/>
      <w:sz w:val="19"/>
      <w:szCs w:val="18"/>
      <w:lang w:val="fr-FR" w:eastAsia="fr-FR"/>
    </w:rPr>
  </w:style>
  <w:style w:type="paragraph" w:customStyle="1" w:styleId="enumlev2">
    <w:name w:val="enumlev 2"/>
    <w:basedOn w:val="enumlev1"/>
    <w:qFormat/>
    <w:rsid w:val="00BE1873"/>
    <w:pPr>
      <w:ind w:left="568"/>
    </w:p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link w:val="CallChar"/>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enumlev1">
    <w:name w:val="enumlev1"/>
    <w:basedOn w:val="Normal"/>
    <w:link w:val="enumlev1Char"/>
    <w:qFormat/>
    <w:rsid w:val="00A51E5B"/>
    <w:pPr>
      <w:spacing w:before="0"/>
      <w:ind w:left="284" w:hanging="284"/>
    </w:pPr>
    <w:rPr>
      <w:rFonts w:eastAsia="SimSun" w:cs="Calibri"/>
      <w:sz w:val="19"/>
      <w:lang w:val="en-GB" w:eastAsia="en-GB"/>
    </w:rPr>
  </w:style>
  <w:style w:type="character" w:customStyle="1" w:styleId="enumlev1Char">
    <w:name w:val="enumlev1 Char"/>
    <w:basedOn w:val="DefaultParagraphFont"/>
    <w:link w:val="enumlev1"/>
    <w:rsid w:val="00A51E5B"/>
    <w:rPr>
      <w:rFonts w:ascii="Calibri" w:eastAsia="SimSun" w:hAnsi="Calibri" w:cs="Calibri"/>
      <w:sz w:val="19"/>
      <w:szCs w:val="22"/>
      <w:lang w:val="en-GB" w:eastAsia="en-GB"/>
    </w:rPr>
  </w:style>
  <w:style w:type="paragraph" w:customStyle="1" w:styleId="Chaptertitle">
    <w:name w:val="Chapter_title"/>
    <w:basedOn w:val="Normal"/>
    <w:qFormat/>
    <w:rsid w:val="00585FA8"/>
    <w:pPr>
      <w:jc w:val="center"/>
    </w:pPr>
    <w:rPr>
      <w:rFonts w:cstheme="minorBidi"/>
      <w:b/>
      <w:color w:val="1F9DD9"/>
      <w:sz w:val="40"/>
      <w:lang w:val="en-US" w:eastAsia="zh-CN"/>
    </w:rPr>
  </w:style>
  <w:style w:type="paragraph" w:customStyle="1" w:styleId="HeadingbI">
    <w:name w:val="Heading b+I"/>
    <w:basedOn w:val="enumlev1"/>
    <w:qFormat/>
    <w:rsid w:val="00CE0DA2"/>
    <w:pPr>
      <w:spacing w:before="240"/>
    </w:pPr>
    <w:rPr>
      <w:rFonts w:eastAsia="Times New Roman" w:cs="Helvetica"/>
      <w:b/>
      <w:bCs/>
      <w:i/>
      <w:sz w:val="24"/>
      <w:szCs w:val="28"/>
      <w:lang w:val="en-US" w:eastAsia="fr-FR"/>
    </w:rPr>
  </w:style>
  <w:style w:type="paragraph" w:customStyle="1" w:styleId="Questiontitle">
    <w:name w:val="Question_title"/>
    <w:basedOn w:val="Questionno"/>
    <w:qFormat/>
    <w:rsid w:val="000759D4"/>
    <w:rPr>
      <w:i/>
      <w:sz w:val="48"/>
      <w:lang w:val="en-US"/>
    </w:rPr>
  </w:style>
  <w:style w:type="paragraph" w:customStyle="1" w:styleId="CEOFooterContact2-3">
    <w:name w:val="CEO_FooterContact2-3"/>
    <w:basedOn w:val="CEONormal"/>
    <w:rsid w:val="00061F17"/>
    <w:pPr>
      <w:spacing w:before="0"/>
      <w:ind w:left="3827" w:hanging="2268"/>
    </w:pPr>
    <w:rPr>
      <w:sz w:val="16"/>
      <w:szCs w:val="16"/>
    </w:rPr>
  </w:style>
  <w:style w:type="paragraph" w:customStyle="1" w:styleId="CEONormal">
    <w:name w:val="CEO_Normal"/>
    <w:link w:val="CEONormalChar"/>
    <w:autoRedefine/>
    <w:rsid w:val="00061F17"/>
    <w:pPr>
      <w:spacing w:before="120"/>
    </w:pPr>
    <w:rPr>
      <w:rFonts w:ascii="Verdana" w:eastAsia="SimSun" w:hAnsi="Verdana"/>
      <w:sz w:val="19"/>
      <w:szCs w:val="19"/>
      <w:lang w:val="en-GB" w:eastAsia="en-US"/>
    </w:rPr>
  </w:style>
  <w:style w:type="paragraph" w:customStyle="1" w:styleId="CEOFooterContact1">
    <w:name w:val="CEO_FooterContact1"/>
    <w:basedOn w:val="CEONormal"/>
    <w:next w:val="CEOFooterContact2-3"/>
    <w:rsid w:val="00061F17"/>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061F17"/>
    <w:pPr>
      <w:spacing w:after="120"/>
      <w:ind w:left="743"/>
    </w:pPr>
    <w:rPr>
      <w:b/>
      <w:bCs/>
      <w:iCs/>
    </w:rPr>
  </w:style>
  <w:style w:type="paragraph" w:customStyle="1" w:styleId="CEOSourceTitle">
    <w:name w:val="CEO_Source_Title"/>
    <w:basedOn w:val="Normal"/>
    <w:rsid w:val="00061F17"/>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061F17"/>
    <w:pPr>
      <w:keepNext w:val="0"/>
      <w:numPr>
        <w:ilvl w:val="1"/>
      </w:numPr>
      <w:tabs>
        <w:tab w:val="clear" w:pos="851"/>
        <w:tab w:val="num" w:pos="576"/>
      </w:tabs>
      <w:spacing w:before="120" w:after="120"/>
      <w:ind w:left="567" w:hanging="576"/>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061F17"/>
    <w:pPr>
      <w:numPr>
        <w:numId w:val="4"/>
      </w:numPr>
      <w:spacing w:before="60" w:after="60"/>
      <w:ind w:right="709"/>
      <w:jc w:val="left"/>
    </w:pPr>
    <w:rPr>
      <w:rFonts w:ascii="Verdana" w:eastAsia="SimHei" w:hAnsi="Verdana" w:cs="Simplified Arabic"/>
      <w:bCs/>
      <w:sz w:val="19"/>
      <w:szCs w:val="19"/>
      <w:lang w:val="en-US" w:eastAsia="en-US"/>
    </w:rPr>
  </w:style>
  <w:style w:type="paragraph" w:customStyle="1" w:styleId="CEOFooter">
    <w:name w:val="CEO_Footer"/>
    <w:basedOn w:val="Normal"/>
    <w:rsid w:val="00061F17"/>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061F17"/>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061F17"/>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061F17"/>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Normal"/>
    <w:rsid w:val="00187E5E"/>
    <w:pPr>
      <w:spacing w:before="360" w:after="120"/>
      <w:jc w:val="left"/>
    </w:pPr>
    <w:rPr>
      <w:rFonts w:ascii="Verdana" w:eastAsia="SimHei" w:hAnsi="Verdana" w:cs="Simplified Arabic"/>
      <w:sz w:val="19"/>
      <w:szCs w:val="19"/>
      <w:lang w:val="en-GB" w:eastAsia="en-US"/>
    </w:rPr>
  </w:style>
  <w:style w:type="paragraph" w:customStyle="1" w:styleId="CEOParagraph111">
    <w:name w:val="CEO_Paragraph1.1.1"/>
    <w:basedOn w:val="Heading3"/>
    <w:rsid w:val="00061F17"/>
    <w:pPr>
      <w:keepNext w:val="0"/>
      <w:numPr>
        <w:ilvl w:val="2"/>
      </w:numPr>
      <w:tabs>
        <w:tab w:val="clear" w:pos="851"/>
        <w:tab w:val="num" w:pos="1418"/>
      </w:tabs>
      <w:spacing w:before="0"/>
      <w:ind w:left="1418" w:hanging="851"/>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061F17"/>
    <w:pPr>
      <w:numPr>
        <w:ilvl w:val="1"/>
        <w:numId w:val="5"/>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uiPriority w:val="99"/>
    <w:rsid w:val="00061F17"/>
    <w:pPr>
      <w:numPr>
        <w:numId w:val="6"/>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061F17"/>
    <w:pPr>
      <w:numPr>
        <w:numId w:val="7"/>
      </w:numPr>
    </w:pPr>
  </w:style>
  <w:style w:type="paragraph" w:customStyle="1" w:styleId="CEOMeetingDates">
    <w:name w:val="CEO_MeetingDates"/>
    <w:basedOn w:val="Normal"/>
    <w:rsid w:val="00061F17"/>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061F17"/>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061F17"/>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061F17"/>
    <w:pPr>
      <w:tabs>
        <w:tab w:val="left" w:pos="2098"/>
      </w:tabs>
      <w:ind w:left="2098" w:hanging="2098"/>
    </w:pPr>
    <w:rPr>
      <w:lang w:val="fr-CH"/>
    </w:rPr>
  </w:style>
  <w:style w:type="paragraph" w:customStyle="1" w:styleId="CEOQuestionDetails">
    <w:name w:val="CEO_QuestionDetails"/>
    <w:basedOn w:val="CEOOriginalLanguage"/>
    <w:rsid w:val="00061F17"/>
    <w:rPr>
      <w:b w:val="0"/>
      <w:bCs/>
    </w:rPr>
  </w:style>
  <w:style w:type="paragraph" w:customStyle="1" w:styleId="CEOSectorName">
    <w:name w:val="CEO_SectorName"/>
    <w:basedOn w:val="Normal"/>
    <w:rsid w:val="00061F17"/>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061F17"/>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061F17"/>
    <w:pPr>
      <w:spacing w:before="0"/>
    </w:pPr>
  </w:style>
  <w:style w:type="paragraph" w:customStyle="1" w:styleId="CEOSourceTitleDetails">
    <w:name w:val="CEO_SourceTitleDetails"/>
    <w:basedOn w:val="Normal"/>
    <w:rsid w:val="00061F17"/>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061F17"/>
    <w:pPr>
      <w:spacing w:before="120"/>
      <w:jc w:val="center"/>
    </w:pPr>
  </w:style>
  <w:style w:type="paragraph" w:customStyle="1" w:styleId="CEOindent-endash">
    <w:name w:val="CEO_indent-endash"/>
    <w:basedOn w:val="Normal"/>
    <w:rsid w:val="00187E5E"/>
    <w:pPr>
      <w:numPr>
        <w:numId w:val="8"/>
      </w:numPr>
      <w:tabs>
        <w:tab w:val="clear" w:pos="1134"/>
        <w:tab w:val="num" w:pos="284"/>
      </w:tabs>
      <w:ind w:left="284" w:hanging="284"/>
      <w:jc w:val="left"/>
    </w:pPr>
    <w:rPr>
      <w:rFonts w:ascii="Verdana" w:eastAsia="SimSun" w:hAnsi="Verdana"/>
      <w:sz w:val="19"/>
      <w:szCs w:val="19"/>
      <w:lang w:val="en-GB" w:eastAsia="en-US"/>
    </w:rPr>
  </w:style>
  <w:style w:type="paragraph" w:customStyle="1" w:styleId="CEOHeader">
    <w:name w:val="CEO_Header"/>
    <w:basedOn w:val="Normal"/>
    <w:rsid w:val="00061F17"/>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061F17"/>
    <w:pPr>
      <w:spacing w:after="120"/>
      <w:ind w:left="426"/>
    </w:pPr>
  </w:style>
  <w:style w:type="paragraph" w:customStyle="1" w:styleId="CEOLogo">
    <w:name w:val="CEO_Logo"/>
    <w:basedOn w:val="CEONormal"/>
    <w:rsid w:val="00061F17"/>
    <w:pPr>
      <w:spacing w:before="0"/>
      <w:jc w:val="right"/>
    </w:pPr>
  </w:style>
  <w:style w:type="paragraph" w:customStyle="1" w:styleId="CEOMeetingSTG">
    <w:name w:val="CEO_MeetingSTG"/>
    <w:basedOn w:val="CEOMeetingName"/>
    <w:rsid w:val="00061F17"/>
    <w:pPr>
      <w:spacing w:before="120" w:after="120"/>
    </w:pPr>
  </w:style>
  <w:style w:type="paragraph" w:customStyle="1" w:styleId="CEORevision">
    <w:name w:val="CEO_Revision"/>
    <w:basedOn w:val="CEONormal"/>
    <w:autoRedefine/>
    <w:rsid w:val="00061F17"/>
    <w:pPr>
      <w:tabs>
        <w:tab w:val="left" w:pos="1928"/>
      </w:tabs>
    </w:pPr>
    <w:rPr>
      <w:b/>
      <w:sz w:val="18"/>
      <w:szCs w:val="18"/>
    </w:rPr>
  </w:style>
  <w:style w:type="paragraph" w:customStyle="1" w:styleId="CEORevisionNote">
    <w:name w:val="CEO_RevisionNote"/>
    <w:basedOn w:val="CEORevision"/>
    <w:autoRedefine/>
    <w:rsid w:val="00061F17"/>
    <w:pPr>
      <w:spacing w:after="120"/>
    </w:pPr>
    <w:rPr>
      <w:b w:val="0"/>
      <w:i/>
      <w:iCs/>
      <w:lang w:val="en-US"/>
    </w:rPr>
  </w:style>
  <w:style w:type="paragraph" w:customStyle="1" w:styleId="CEOSummaryStartHere">
    <w:name w:val="CEO_Summary_StartHere"/>
    <w:rsid w:val="00061F17"/>
    <w:pPr>
      <w:spacing w:before="120" w:after="120"/>
      <w:jc w:val="center"/>
    </w:pPr>
    <w:rPr>
      <w:rFonts w:ascii="Verdana" w:eastAsia="SimHei" w:hAnsi="Verdana" w:cs="Simplified Arabic"/>
      <w:bCs/>
      <w:sz w:val="16"/>
      <w:szCs w:val="16"/>
      <w:lang w:val="fr-FR"/>
    </w:rPr>
  </w:style>
  <w:style w:type="paragraph" w:customStyle="1" w:styleId="enumlev3">
    <w:name w:val="enumlev3"/>
    <w:basedOn w:val="Normal"/>
    <w:uiPriority w:val="99"/>
    <w:rsid w:val="00061F17"/>
    <w:pPr>
      <w:tabs>
        <w:tab w:val="left" w:pos="2608"/>
        <w:tab w:val="left" w:pos="3345"/>
      </w:tabs>
      <w:spacing w:before="80"/>
      <w:ind w:left="2268" w:hanging="397"/>
      <w:jc w:val="left"/>
    </w:pPr>
    <w:rPr>
      <w:rFonts w:ascii="Times New Roman" w:eastAsia="SimSun" w:hAnsi="Times New Roman"/>
      <w:sz w:val="24"/>
      <w:szCs w:val="24"/>
      <w:lang w:val="en-GB" w:eastAsia="ja-JP"/>
    </w:rPr>
  </w:style>
  <w:style w:type="paragraph" w:customStyle="1" w:styleId="ceonormal0">
    <w:name w:val="ceonormal"/>
    <w:basedOn w:val="Normal"/>
    <w:rsid w:val="00061F17"/>
    <w:pPr>
      <w:spacing w:after="120"/>
      <w:jc w:val="left"/>
    </w:pPr>
    <w:rPr>
      <w:rFonts w:ascii="Verdana" w:eastAsia="Times New Roman" w:hAnsi="Verdana"/>
      <w:sz w:val="19"/>
      <w:szCs w:val="19"/>
      <w:lang w:val="en-US" w:eastAsia="en-US"/>
    </w:rPr>
  </w:style>
  <w:style w:type="paragraph" w:styleId="ListParagraph">
    <w:name w:val="List Paragraph"/>
    <w:basedOn w:val="Normal"/>
    <w:uiPriority w:val="34"/>
    <w:qFormat/>
    <w:rsid w:val="00061F17"/>
    <w:pPr>
      <w:spacing w:before="0" w:after="200" w:line="276" w:lineRule="auto"/>
      <w:ind w:left="720"/>
      <w:contextualSpacing/>
      <w:jc w:val="left"/>
    </w:pPr>
    <w:rPr>
      <w:rFonts w:asciiTheme="minorHAnsi" w:eastAsiaTheme="minorHAnsi" w:hAnsiTheme="minorHAnsi" w:cstheme="minorBidi"/>
      <w:sz w:val="22"/>
      <w:lang w:val="en-US" w:eastAsia="en-US"/>
    </w:rPr>
  </w:style>
  <w:style w:type="paragraph" w:styleId="BodyText">
    <w:name w:val="Body Text"/>
    <w:basedOn w:val="Normal"/>
    <w:link w:val="BodyTextChar"/>
    <w:rsid w:val="00061F17"/>
    <w:pPr>
      <w:tabs>
        <w:tab w:val="left" w:pos="794"/>
        <w:tab w:val="left" w:pos="1191"/>
        <w:tab w:val="left" w:pos="1588"/>
        <w:tab w:val="left" w:pos="1985"/>
      </w:tabs>
      <w:suppressAutoHyphens/>
      <w:overflowPunct w:val="0"/>
      <w:autoSpaceDE w:val="0"/>
      <w:spacing w:before="0" w:after="120"/>
      <w:jc w:val="left"/>
      <w:textAlignment w:val="baseline"/>
    </w:pPr>
    <w:rPr>
      <w:rFonts w:ascii="Times New Roman" w:eastAsia="Calibri" w:hAnsi="Times New Roman" w:cs="CG Times"/>
      <w:sz w:val="24"/>
      <w:szCs w:val="20"/>
      <w:lang w:val="en-GB" w:eastAsia="ar-SA"/>
    </w:rPr>
  </w:style>
  <w:style w:type="character" w:customStyle="1" w:styleId="BodyTextChar">
    <w:name w:val="Body Text Char"/>
    <w:basedOn w:val="DefaultParagraphFont"/>
    <w:link w:val="BodyText"/>
    <w:rsid w:val="00061F17"/>
    <w:rPr>
      <w:rFonts w:eastAsia="Calibri" w:cs="CG Times"/>
      <w:sz w:val="24"/>
      <w:lang w:val="en-GB" w:eastAsia="ar-SA"/>
    </w:rPr>
  </w:style>
  <w:style w:type="character" w:customStyle="1" w:styleId="a1">
    <w:name w:val="a1"/>
    <w:basedOn w:val="DefaultParagraphFont"/>
    <w:rsid w:val="00061F17"/>
    <w:rPr>
      <w:rFonts w:ascii="Trebuchet MS" w:hAnsi="Trebuchet MS"/>
      <w:noProof w:val="0"/>
      <w:color w:val="008000"/>
      <w:lang w:val="en-GB"/>
    </w:rPr>
  </w:style>
  <w:style w:type="paragraph" w:customStyle="1" w:styleId="Pa7">
    <w:name w:val="Pa7"/>
    <w:basedOn w:val="Normal"/>
    <w:next w:val="Normal"/>
    <w:uiPriority w:val="99"/>
    <w:rsid w:val="00061F17"/>
    <w:pPr>
      <w:autoSpaceDE w:val="0"/>
      <w:autoSpaceDN w:val="0"/>
      <w:adjustRightInd w:val="0"/>
      <w:spacing w:before="0" w:line="201" w:lineRule="atLeast"/>
      <w:jc w:val="left"/>
    </w:pPr>
    <w:rPr>
      <w:rFonts w:ascii="Myriad Pro" w:eastAsiaTheme="minorHAnsi" w:hAnsi="Myriad Pro" w:cstheme="minorBidi"/>
      <w:sz w:val="24"/>
      <w:szCs w:val="24"/>
      <w:lang w:val="tr-TR" w:eastAsia="en-US"/>
    </w:rPr>
  </w:style>
  <w:style w:type="paragraph" w:styleId="NormalWeb">
    <w:name w:val="Normal (Web)"/>
    <w:basedOn w:val="Normal"/>
    <w:next w:val="Normal"/>
    <w:uiPriority w:val="99"/>
    <w:rsid w:val="00061F17"/>
    <w:pPr>
      <w:autoSpaceDE w:val="0"/>
      <w:autoSpaceDN w:val="0"/>
      <w:adjustRightInd w:val="0"/>
      <w:spacing w:before="0"/>
      <w:jc w:val="left"/>
    </w:pPr>
    <w:rPr>
      <w:rFonts w:ascii="Bookman Old Style" w:eastAsiaTheme="minorHAnsi" w:hAnsi="Bookman Old Style" w:cstheme="minorBidi"/>
      <w:sz w:val="24"/>
      <w:szCs w:val="24"/>
      <w:lang w:val="tr-TR" w:eastAsia="en-US"/>
    </w:rPr>
  </w:style>
  <w:style w:type="character" w:styleId="HTMLCite">
    <w:name w:val="HTML Cite"/>
    <w:basedOn w:val="DefaultParagraphFont"/>
    <w:uiPriority w:val="99"/>
    <w:unhideWhenUsed/>
    <w:rsid w:val="00061F17"/>
    <w:rPr>
      <w:i/>
      <w:iCs/>
    </w:rPr>
  </w:style>
  <w:style w:type="paragraph" w:styleId="EndnoteText">
    <w:name w:val="endnote text"/>
    <w:basedOn w:val="Normal"/>
    <w:link w:val="EndnoteTextChar"/>
    <w:uiPriority w:val="99"/>
    <w:unhideWhenUsed/>
    <w:rsid w:val="00061F17"/>
    <w:pPr>
      <w:spacing w:before="0"/>
      <w:jc w:val="left"/>
    </w:pPr>
    <w:rPr>
      <w:rFonts w:asciiTheme="minorHAnsi" w:eastAsiaTheme="minorHAnsi" w:hAnsiTheme="minorHAnsi" w:cstheme="minorBidi"/>
      <w:sz w:val="20"/>
      <w:szCs w:val="20"/>
      <w:lang w:val="tr-TR" w:eastAsia="en-US"/>
    </w:rPr>
  </w:style>
  <w:style w:type="character" w:customStyle="1" w:styleId="EndnoteTextChar">
    <w:name w:val="Endnote Text Char"/>
    <w:basedOn w:val="DefaultParagraphFont"/>
    <w:link w:val="EndnoteText"/>
    <w:uiPriority w:val="99"/>
    <w:rsid w:val="00061F17"/>
    <w:rPr>
      <w:rFonts w:asciiTheme="minorHAnsi" w:eastAsiaTheme="minorHAnsi" w:hAnsiTheme="minorHAnsi" w:cstheme="minorBidi"/>
      <w:lang w:val="tr-TR" w:eastAsia="en-US"/>
    </w:rPr>
  </w:style>
  <w:style w:type="character" w:styleId="EndnoteReference">
    <w:name w:val="endnote reference"/>
    <w:basedOn w:val="DefaultParagraphFont"/>
    <w:uiPriority w:val="99"/>
    <w:unhideWhenUsed/>
    <w:rsid w:val="00061F17"/>
    <w:rPr>
      <w:vertAlign w:val="superscript"/>
    </w:rPr>
  </w:style>
  <w:style w:type="paragraph" w:customStyle="1" w:styleId="Heading41">
    <w:name w:val="Heading 41"/>
    <w:basedOn w:val="Normal"/>
    <w:next w:val="Normal"/>
    <w:uiPriority w:val="99"/>
    <w:rsid w:val="00061F17"/>
    <w:pPr>
      <w:autoSpaceDE w:val="0"/>
      <w:autoSpaceDN w:val="0"/>
      <w:adjustRightInd w:val="0"/>
      <w:spacing w:before="0"/>
      <w:jc w:val="left"/>
    </w:pPr>
    <w:rPr>
      <w:rFonts w:ascii="Bookman Old Style" w:eastAsiaTheme="minorHAnsi" w:hAnsi="Bookman Old Style" w:cstheme="minorBidi"/>
      <w:sz w:val="24"/>
      <w:szCs w:val="24"/>
      <w:lang w:val="tr-TR" w:eastAsia="en-US"/>
    </w:rPr>
  </w:style>
  <w:style w:type="paragraph" w:styleId="Caption">
    <w:name w:val="caption"/>
    <w:basedOn w:val="Normal"/>
    <w:next w:val="Normal"/>
    <w:qFormat/>
    <w:rsid w:val="00061F17"/>
    <w:pPr>
      <w:overflowPunct w:val="0"/>
      <w:autoSpaceDE w:val="0"/>
      <w:autoSpaceDN w:val="0"/>
      <w:adjustRightInd w:val="0"/>
      <w:spacing w:after="120"/>
      <w:jc w:val="left"/>
      <w:textAlignment w:val="baseline"/>
    </w:pPr>
    <w:rPr>
      <w:rFonts w:ascii="Times New Roman" w:eastAsia="Batang" w:hAnsi="Times New Roman"/>
      <w:b/>
      <w:sz w:val="20"/>
      <w:szCs w:val="20"/>
      <w:lang w:val="en-US" w:eastAsia="ko-KR"/>
    </w:rPr>
  </w:style>
  <w:style w:type="character" w:styleId="Strong">
    <w:name w:val="Strong"/>
    <w:basedOn w:val="DefaultParagraphFont"/>
    <w:uiPriority w:val="22"/>
    <w:qFormat/>
    <w:rsid w:val="00061F17"/>
    <w:rPr>
      <w:b/>
      <w:bCs/>
    </w:rPr>
  </w:style>
  <w:style w:type="character" w:customStyle="1" w:styleId="apple-converted-space">
    <w:name w:val="apple-converted-space"/>
    <w:basedOn w:val="DefaultParagraphFont"/>
    <w:rsid w:val="00061F17"/>
  </w:style>
  <w:style w:type="character" w:styleId="Emphasis">
    <w:name w:val="Emphasis"/>
    <w:basedOn w:val="DefaultParagraphFont"/>
    <w:uiPriority w:val="20"/>
    <w:qFormat/>
    <w:rsid w:val="00061F17"/>
    <w:rPr>
      <w:i/>
      <w:iCs/>
    </w:rPr>
  </w:style>
  <w:style w:type="character" w:styleId="CommentReference">
    <w:name w:val="annotation reference"/>
    <w:basedOn w:val="DefaultParagraphFont"/>
    <w:uiPriority w:val="99"/>
    <w:rsid w:val="00061F17"/>
    <w:rPr>
      <w:sz w:val="16"/>
      <w:szCs w:val="16"/>
    </w:rPr>
  </w:style>
  <w:style w:type="paragraph" w:styleId="CommentText">
    <w:name w:val="annotation text"/>
    <w:basedOn w:val="Normal"/>
    <w:link w:val="CommentTextChar"/>
    <w:uiPriority w:val="99"/>
    <w:rsid w:val="00061F17"/>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uiPriority w:val="99"/>
    <w:rsid w:val="00061F17"/>
    <w:rPr>
      <w:rFonts w:ascii="Verdana" w:eastAsia="SimHei" w:hAnsi="Verdana" w:cs="Simplified Arabic"/>
      <w:bCs/>
    </w:rPr>
  </w:style>
  <w:style w:type="character" w:customStyle="1" w:styleId="apple-style-span">
    <w:name w:val="apple-style-span"/>
    <w:basedOn w:val="DefaultParagraphFont"/>
    <w:rsid w:val="00061F17"/>
  </w:style>
  <w:style w:type="character" w:customStyle="1" w:styleId="CEONormalChar">
    <w:name w:val="CEO_Normal Char"/>
    <w:basedOn w:val="DefaultParagraphFont"/>
    <w:link w:val="CEONormal"/>
    <w:locked/>
    <w:rsid w:val="00061F17"/>
    <w:rPr>
      <w:rFonts w:ascii="Verdana" w:eastAsia="SimSun" w:hAnsi="Verdana"/>
      <w:sz w:val="19"/>
      <w:szCs w:val="19"/>
      <w:lang w:val="en-GB" w:eastAsia="en-US"/>
    </w:rPr>
  </w:style>
  <w:style w:type="paragraph" w:customStyle="1" w:styleId="FigureNotitle">
    <w:name w:val="Figure_No &amp; title"/>
    <w:basedOn w:val="Normal"/>
    <w:next w:val="Normal"/>
    <w:rsid w:val="00061F17"/>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ascii="Times New Roman" w:eastAsia="Times New Roman" w:hAnsi="Times New Roman"/>
      <w:b/>
      <w:sz w:val="24"/>
      <w:szCs w:val="20"/>
      <w:lang w:val="en-GB" w:eastAsia="en-US"/>
    </w:rPr>
  </w:style>
  <w:style w:type="paragraph" w:customStyle="1" w:styleId="Title1">
    <w:name w:val="Title 1"/>
    <w:basedOn w:val="Normal"/>
    <w:next w:val="Normal"/>
    <w:rsid w:val="00061F1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ascii="Times New Roman" w:eastAsia="Times New Roman" w:hAnsi="Times New Roman"/>
      <w:caps/>
      <w:sz w:val="28"/>
      <w:szCs w:val="20"/>
      <w:lang w:eastAsia="en-US"/>
    </w:rPr>
  </w:style>
  <w:style w:type="paragraph" w:styleId="TOCHeading">
    <w:name w:val="TOC Heading"/>
    <w:basedOn w:val="Heading1"/>
    <w:next w:val="Normal"/>
    <w:uiPriority w:val="39"/>
    <w:unhideWhenUsed/>
    <w:qFormat/>
    <w:rsid w:val="00061F17"/>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styleId="CommentSubject">
    <w:name w:val="annotation subject"/>
    <w:basedOn w:val="CommentText"/>
    <w:next w:val="CommentText"/>
    <w:link w:val="CommentSubjectChar"/>
    <w:uiPriority w:val="99"/>
    <w:rsid w:val="00061F17"/>
    <w:rPr>
      <w:b/>
    </w:rPr>
  </w:style>
  <w:style w:type="character" w:customStyle="1" w:styleId="CommentSubjectChar">
    <w:name w:val="Comment Subject Char"/>
    <w:basedOn w:val="CommentTextChar"/>
    <w:link w:val="CommentSubject"/>
    <w:uiPriority w:val="99"/>
    <w:rsid w:val="00061F17"/>
    <w:rPr>
      <w:rFonts w:ascii="Verdana" w:eastAsia="SimHei" w:hAnsi="Verdana" w:cs="Simplified Arabic"/>
      <w:b/>
      <w:bCs/>
    </w:rPr>
  </w:style>
  <w:style w:type="paragraph" w:customStyle="1" w:styleId="RegParagraph">
    <w:name w:val="Reg Paragraph"/>
    <w:basedOn w:val="Normal"/>
    <w:link w:val="RegParagraphChar1"/>
    <w:autoRedefine/>
    <w:rsid w:val="00061F17"/>
    <w:pPr>
      <w:widowControl w:val="0"/>
      <w:tabs>
        <w:tab w:val="left" w:pos="851"/>
        <w:tab w:val="left" w:pos="1418"/>
        <w:tab w:val="left" w:pos="1985"/>
        <w:tab w:val="left" w:pos="2552"/>
      </w:tabs>
      <w:spacing w:after="120" w:line="360" w:lineRule="auto"/>
    </w:pPr>
    <w:rPr>
      <w:rFonts w:ascii="Times New Roman" w:eastAsia="Times New Roman" w:hAnsi="Times New Roman"/>
      <w:kern w:val="28"/>
      <w:sz w:val="24"/>
      <w:szCs w:val="24"/>
      <w:lang w:val="en-GB" w:eastAsia="en-US" w:bidi="he-IL"/>
    </w:rPr>
  </w:style>
  <w:style w:type="character" w:customStyle="1" w:styleId="RegParagraphChar1">
    <w:name w:val="Reg Paragraph Char1"/>
    <w:basedOn w:val="DefaultParagraphFont"/>
    <w:link w:val="RegParagraph"/>
    <w:rsid w:val="00061F17"/>
    <w:rPr>
      <w:rFonts w:eastAsia="Times New Roman"/>
      <w:kern w:val="28"/>
      <w:sz w:val="24"/>
      <w:szCs w:val="24"/>
      <w:lang w:val="en-GB" w:eastAsia="en-US" w:bidi="he-IL"/>
    </w:rPr>
  </w:style>
  <w:style w:type="character" w:customStyle="1" w:styleId="CharChar">
    <w:name w:val="Char Char"/>
    <w:basedOn w:val="DefaultParagraphFont"/>
    <w:rsid w:val="00061F17"/>
    <w:rPr>
      <w:sz w:val="24"/>
      <w:szCs w:val="24"/>
      <w:lang w:val="en-GB" w:eastAsia="he-IL" w:bidi="he-IL"/>
    </w:rPr>
  </w:style>
  <w:style w:type="paragraph" w:customStyle="1" w:styleId="Equation">
    <w:name w:val="Equation"/>
    <w:basedOn w:val="Normal"/>
    <w:rsid w:val="00061F17"/>
    <w:pPr>
      <w:tabs>
        <w:tab w:val="left" w:pos="794"/>
        <w:tab w:val="right" w:pos="840"/>
        <w:tab w:val="center" w:pos="4820"/>
        <w:tab w:val="right" w:pos="9639"/>
      </w:tabs>
      <w:overflowPunct w:val="0"/>
      <w:autoSpaceDE w:val="0"/>
      <w:autoSpaceDN w:val="0"/>
      <w:adjustRightInd w:val="0"/>
    </w:pPr>
    <w:rPr>
      <w:rFonts w:ascii="Times New Roman" w:eastAsia="Times New Roman" w:hAnsi="Times New Roman"/>
      <w:sz w:val="24"/>
      <w:szCs w:val="20"/>
      <w:lang w:eastAsia="en-US"/>
    </w:rPr>
  </w:style>
  <w:style w:type="character" w:customStyle="1" w:styleId="CallChar">
    <w:name w:val="Call Char"/>
    <w:link w:val="Call"/>
    <w:uiPriority w:val="99"/>
    <w:rsid w:val="00061F17"/>
    <w:rPr>
      <w:rFonts w:ascii="Calibri" w:eastAsia="Times New Roman" w:hAnsi="Calibri" w:cs="Times New Roman italic"/>
      <w:i/>
      <w:sz w:val="21"/>
      <w:lang w:val="en-GB" w:eastAsia="en-US"/>
    </w:rPr>
  </w:style>
  <w:style w:type="paragraph" w:customStyle="1" w:styleId="ResNo">
    <w:name w:val="Res_No"/>
    <w:basedOn w:val="Normal"/>
    <w:next w:val="Restitle"/>
    <w:link w:val="ResNoChar"/>
    <w:uiPriority w:val="99"/>
    <w:rsid w:val="00FF79CB"/>
    <w:pPr>
      <w:keepNext/>
      <w:keepLines/>
      <w:overflowPunct w:val="0"/>
      <w:autoSpaceDE w:val="0"/>
      <w:autoSpaceDN w:val="0"/>
      <w:adjustRightInd w:val="0"/>
      <w:spacing w:before="0" w:line="280" w:lineRule="exact"/>
      <w:jc w:val="center"/>
      <w:textAlignment w:val="baseline"/>
    </w:pPr>
    <w:rPr>
      <w:rFonts w:asciiTheme="minorHAnsi" w:eastAsia="Times New Roman" w:hAnsiTheme="minorHAnsi"/>
      <w:caps/>
      <w:sz w:val="28"/>
      <w:szCs w:val="20"/>
      <w:lang w:eastAsia="en-US"/>
    </w:rPr>
  </w:style>
  <w:style w:type="paragraph" w:customStyle="1" w:styleId="Restitle">
    <w:name w:val="Res_title"/>
    <w:basedOn w:val="Normal"/>
    <w:next w:val="Resref"/>
    <w:link w:val="RestitleChar"/>
    <w:uiPriority w:val="99"/>
    <w:rsid w:val="00A11960"/>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Times New Roman" w:cs="Times New Roman Bold"/>
      <w:b/>
      <w:sz w:val="28"/>
      <w:szCs w:val="20"/>
      <w:lang w:eastAsia="en-US"/>
    </w:rPr>
  </w:style>
  <w:style w:type="paragraph" w:customStyle="1" w:styleId="Resref">
    <w:name w:val="Res_ref"/>
    <w:basedOn w:val="Normal"/>
    <w:next w:val="Normal"/>
    <w:qFormat/>
    <w:rsid w:val="00FF79CB"/>
    <w:pPr>
      <w:keepNext/>
      <w:keepLines/>
      <w:overflowPunct w:val="0"/>
      <w:autoSpaceDE w:val="0"/>
      <w:autoSpaceDN w:val="0"/>
      <w:adjustRightInd w:val="0"/>
      <w:spacing w:before="160" w:line="280" w:lineRule="exact"/>
      <w:jc w:val="center"/>
      <w:textAlignment w:val="baseline"/>
    </w:pPr>
    <w:rPr>
      <w:rFonts w:eastAsia="Times New Roman" w:cs="Times New Roman italic"/>
      <w:i/>
      <w:sz w:val="22"/>
      <w:szCs w:val="20"/>
      <w:lang w:eastAsia="en-US"/>
    </w:rPr>
  </w:style>
  <w:style w:type="character" w:customStyle="1" w:styleId="RestitleChar">
    <w:name w:val="Res_title Char"/>
    <w:link w:val="Restitle"/>
    <w:uiPriority w:val="99"/>
    <w:rsid w:val="00A11960"/>
    <w:rPr>
      <w:rFonts w:ascii="Calibri" w:eastAsia="Times New Roman" w:hAnsi="Calibri" w:cs="Times New Roman Bold"/>
      <w:b/>
      <w:sz w:val="28"/>
      <w:lang w:val="fr-FR" w:eastAsia="en-US"/>
    </w:rPr>
  </w:style>
  <w:style w:type="character" w:customStyle="1" w:styleId="ResNoChar">
    <w:name w:val="Res_No Char"/>
    <w:link w:val="ResNo"/>
    <w:uiPriority w:val="99"/>
    <w:rsid w:val="00FF79CB"/>
    <w:rPr>
      <w:rFonts w:asciiTheme="minorHAnsi" w:eastAsia="Times New Roman" w:hAnsiTheme="minorHAnsi"/>
      <w:caps/>
      <w:sz w:val="28"/>
      <w:lang w:val="fr-FR" w:eastAsia="en-US"/>
    </w:rPr>
  </w:style>
  <w:style w:type="paragraph" w:customStyle="1" w:styleId="Normalaftertitle">
    <w:name w:val="Normal after title"/>
    <w:basedOn w:val="Normal"/>
    <w:next w:val="Normal"/>
    <w:link w:val="NormalaftertitleChar"/>
    <w:uiPriority w:val="99"/>
    <w:rsid w:val="00FF79CB"/>
    <w:pPr>
      <w:tabs>
        <w:tab w:val="left" w:pos="1134"/>
        <w:tab w:val="left" w:pos="1871"/>
        <w:tab w:val="left" w:pos="2268"/>
      </w:tabs>
      <w:overflowPunct w:val="0"/>
      <w:autoSpaceDE w:val="0"/>
      <w:autoSpaceDN w:val="0"/>
      <w:adjustRightInd w:val="0"/>
      <w:spacing w:before="280"/>
      <w:textAlignment w:val="baseline"/>
    </w:pPr>
    <w:rPr>
      <w:rFonts w:eastAsia="Times New Roman"/>
      <w:sz w:val="22"/>
      <w:szCs w:val="20"/>
      <w:lang w:val="en-GB" w:eastAsia="en-US"/>
    </w:rPr>
  </w:style>
  <w:style w:type="character" w:customStyle="1" w:styleId="NormalaftertitleChar">
    <w:name w:val="Normal after title Char"/>
    <w:link w:val="Normalaftertitle"/>
    <w:uiPriority w:val="99"/>
    <w:locked/>
    <w:rsid w:val="00FF79CB"/>
    <w:rPr>
      <w:rFonts w:ascii="Calibri" w:eastAsia="Times New Roman" w:hAnsi="Calibri"/>
      <w:sz w:val="22"/>
      <w:lang w:val="en-GB" w:eastAsia="en-US"/>
    </w:rPr>
  </w:style>
  <w:style w:type="paragraph" w:customStyle="1" w:styleId="FootnoteTextS2">
    <w:name w:val="Footnote Text_S2"/>
    <w:basedOn w:val="FootnoteText"/>
    <w:uiPriority w:val="99"/>
    <w:rsid w:val="00061F17"/>
    <w:pPr>
      <w:keepLines/>
      <w:tabs>
        <w:tab w:val="clear" w:pos="284"/>
        <w:tab w:val="left" w:pos="851"/>
      </w:tabs>
      <w:overflowPunct w:val="0"/>
      <w:autoSpaceDE w:val="0"/>
      <w:autoSpaceDN w:val="0"/>
      <w:adjustRightInd w:val="0"/>
      <w:spacing w:before="120"/>
      <w:textAlignment w:val="baseline"/>
    </w:pPr>
    <w:rPr>
      <w:rFonts w:ascii="Calibri" w:eastAsia="Times New Roman" w:hAnsi="Calibri" w:cs="Times New Roman"/>
      <w:b/>
      <w:sz w:val="24"/>
    </w:rPr>
  </w:style>
  <w:style w:type="paragraph" w:styleId="NoSpacing">
    <w:name w:val="No Spacing"/>
    <w:qFormat/>
    <w:rsid w:val="00061F17"/>
    <w:rPr>
      <w:rFonts w:ascii="Calibri" w:eastAsia="Calibri" w:hAnsi="Calibri"/>
      <w:sz w:val="22"/>
      <w:szCs w:val="22"/>
      <w:lang w:eastAsia="en-US"/>
    </w:rPr>
  </w:style>
  <w:style w:type="table" w:customStyle="1" w:styleId="Style1">
    <w:name w:val="Style1"/>
    <w:basedOn w:val="TableNormal"/>
    <w:uiPriority w:val="99"/>
    <w:rsid w:val="007116B1"/>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005173"/>
      </w:tcPr>
    </w:tblStylePr>
    <w:tblStylePr w:type="band1Horz">
      <w:tblPr/>
      <w:tcPr>
        <w:shd w:val="clear" w:color="auto" w:fill="E8F8FD"/>
      </w:tcPr>
    </w:tblStylePr>
    <w:tblStylePr w:type="band2Horz">
      <w:tblPr/>
      <w:tcPr>
        <w:shd w:val="clear" w:color="auto" w:fill="FFFFFF" w:themeFill="background1"/>
      </w:tcPr>
    </w:tblStylePr>
  </w:style>
  <w:style w:type="paragraph" w:customStyle="1" w:styleId="CEODocTitle2lines-Second">
    <w:name w:val="CEO_DocTitle2lines-Second"/>
    <w:basedOn w:val="CEODocTitle2lines-First"/>
    <w:rsid w:val="001B6FDC"/>
    <w:pPr>
      <w:spacing w:before="0" w:after="480"/>
    </w:pPr>
  </w:style>
  <w:style w:type="paragraph" w:customStyle="1" w:styleId="CEODocTitle2lines-First">
    <w:name w:val="CEO_DocTitle2lines-First"/>
    <w:basedOn w:val="CEODocTitle-1line"/>
    <w:next w:val="Normal"/>
    <w:rsid w:val="001B6FDC"/>
    <w:pPr>
      <w:spacing w:after="0"/>
    </w:pPr>
  </w:style>
  <w:style w:type="paragraph" w:customStyle="1" w:styleId="CEODocTitle-1line">
    <w:name w:val="CEO_DocTitle-1line"/>
    <w:basedOn w:val="Normal"/>
    <w:next w:val="Normal"/>
    <w:rsid w:val="001B6FDC"/>
    <w:pPr>
      <w:tabs>
        <w:tab w:val="left" w:pos="851"/>
      </w:tabs>
      <w:spacing w:before="480" w:after="480"/>
      <w:jc w:val="center"/>
    </w:pPr>
    <w:rPr>
      <w:rFonts w:ascii="Verdana" w:eastAsia="SimHei" w:hAnsi="Verdana"/>
      <w:b/>
      <w:bCs/>
      <w:sz w:val="28"/>
      <w:szCs w:val="28"/>
      <w:lang w:val="en-US" w:eastAsia="en-US"/>
    </w:rPr>
  </w:style>
  <w:style w:type="paragraph" w:customStyle="1" w:styleId="CEOcontributionH1">
    <w:name w:val="CEO_contributionH1"/>
    <w:basedOn w:val="CEOcontribution-H123"/>
    <w:next w:val="CEONormal"/>
    <w:rsid w:val="001B6FDC"/>
    <w:pPr>
      <w:keepNext/>
      <w:keepLines/>
      <w:tabs>
        <w:tab w:val="clear" w:pos="567"/>
      </w:tabs>
      <w:spacing w:before="360"/>
      <w:ind w:left="0" w:firstLine="0"/>
    </w:pPr>
  </w:style>
  <w:style w:type="paragraph" w:customStyle="1" w:styleId="CEOcontribution-H123">
    <w:name w:val="CEO_contribution-H123"/>
    <w:basedOn w:val="Normal"/>
    <w:rsid w:val="001B6FDC"/>
    <w:pPr>
      <w:tabs>
        <w:tab w:val="num" w:pos="567"/>
        <w:tab w:val="left" w:pos="851"/>
      </w:tabs>
      <w:ind w:left="567" w:hanging="567"/>
      <w:jc w:val="left"/>
    </w:pPr>
    <w:rPr>
      <w:rFonts w:ascii="Verdana" w:eastAsia="SimHei" w:hAnsi="Verdana"/>
      <w:b/>
      <w:sz w:val="18"/>
      <w:szCs w:val="19"/>
      <w:lang w:val="en-GB" w:eastAsia="en-US"/>
    </w:rPr>
  </w:style>
  <w:style w:type="paragraph" w:customStyle="1" w:styleId="CEOAgendaItemN">
    <w:name w:val="CEO_AgendaItemN°"/>
    <w:basedOn w:val="CEOIndent1-123"/>
    <w:rsid w:val="001B6FDC"/>
    <w:pPr>
      <w:numPr>
        <w:numId w:val="0"/>
      </w:numPr>
      <w:tabs>
        <w:tab w:val="left" w:pos="851"/>
      </w:tabs>
      <w:ind w:right="12"/>
      <w:jc w:val="right"/>
    </w:pPr>
    <w:rPr>
      <w:rFonts w:cs="Times New Roman"/>
      <w:sz w:val="18"/>
    </w:rPr>
  </w:style>
  <w:style w:type="paragraph" w:customStyle="1" w:styleId="CEODocDates">
    <w:name w:val="CEO_DocDates"/>
    <w:basedOn w:val="Normal"/>
    <w:next w:val="Normal"/>
    <w:rsid w:val="001B6FDC"/>
    <w:pPr>
      <w:tabs>
        <w:tab w:val="left" w:pos="851"/>
      </w:tabs>
      <w:spacing w:before="0"/>
      <w:jc w:val="left"/>
    </w:pPr>
    <w:rPr>
      <w:rFonts w:ascii="Verdana" w:eastAsia="SimHei" w:hAnsi="Verdana"/>
      <w:b/>
      <w:sz w:val="18"/>
      <w:szCs w:val="19"/>
      <w:lang w:val="en-GB" w:eastAsia="en-US"/>
    </w:rPr>
  </w:style>
  <w:style w:type="paragraph" w:customStyle="1" w:styleId="CEODocNo">
    <w:name w:val="CEO_DocNo"/>
    <w:basedOn w:val="Normal"/>
    <w:next w:val="Normal"/>
    <w:rsid w:val="001B6FDC"/>
    <w:pPr>
      <w:tabs>
        <w:tab w:val="left" w:pos="851"/>
      </w:tabs>
      <w:spacing w:before="0"/>
      <w:jc w:val="left"/>
    </w:pPr>
    <w:rPr>
      <w:rFonts w:ascii="Verdana" w:eastAsia="SimHei" w:hAnsi="Verdana"/>
      <w:b/>
      <w:sz w:val="18"/>
      <w:szCs w:val="19"/>
      <w:lang w:val="en-GB" w:eastAsia="en-US"/>
    </w:rPr>
  </w:style>
  <w:style w:type="paragraph" w:customStyle="1" w:styleId="CEODocNoDetails">
    <w:name w:val="CEO_DocNoDetails"/>
    <w:basedOn w:val="Normal"/>
    <w:rsid w:val="001B6FDC"/>
    <w:pPr>
      <w:tabs>
        <w:tab w:val="left" w:pos="851"/>
      </w:tabs>
      <w:spacing w:before="80" w:after="80"/>
      <w:jc w:val="center"/>
    </w:pPr>
    <w:rPr>
      <w:rFonts w:ascii="Verdana" w:eastAsia="SimHei" w:hAnsi="Verdana"/>
      <w:bCs/>
      <w:sz w:val="18"/>
      <w:szCs w:val="19"/>
      <w:lang w:val="en-GB" w:eastAsia="en-US"/>
    </w:rPr>
  </w:style>
  <w:style w:type="paragraph" w:customStyle="1" w:styleId="CEOEmdashList">
    <w:name w:val="CEO_EmdashList"/>
    <w:basedOn w:val="CEONormal"/>
    <w:rsid w:val="001B6FDC"/>
    <w:pPr>
      <w:tabs>
        <w:tab w:val="left" w:pos="567"/>
      </w:tabs>
      <w:spacing w:before="0"/>
    </w:pPr>
    <w:rPr>
      <w:sz w:val="18"/>
      <w:lang w:val="en-US"/>
    </w:rPr>
  </w:style>
  <w:style w:type="paragraph" w:customStyle="1" w:styleId="CEOConsidering">
    <w:name w:val="CEO_Considering"/>
    <w:basedOn w:val="CEONormal"/>
    <w:rsid w:val="001B6FDC"/>
    <w:pPr>
      <w:keepNext/>
      <w:keepLines/>
      <w:tabs>
        <w:tab w:val="left" w:pos="567"/>
      </w:tabs>
      <w:spacing w:before="0" w:after="120"/>
      <w:ind w:left="851"/>
    </w:pPr>
    <w:rPr>
      <w:i/>
      <w:iCs/>
      <w:sz w:val="18"/>
      <w:lang w:val="en-US"/>
    </w:rPr>
  </w:style>
  <w:style w:type="paragraph" w:customStyle="1" w:styleId="CEOEndBar">
    <w:name w:val="CEO_EndBar"/>
    <w:basedOn w:val="CEONormal"/>
    <w:rsid w:val="001B6FDC"/>
    <w:pPr>
      <w:tabs>
        <w:tab w:val="left" w:pos="567"/>
      </w:tabs>
      <w:spacing w:before="0" w:after="120"/>
      <w:jc w:val="center"/>
    </w:pPr>
    <w:rPr>
      <w:sz w:val="18"/>
      <w:lang w:val="en-US"/>
    </w:rPr>
  </w:style>
  <w:style w:type="paragraph" w:customStyle="1" w:styleId="CEOExtract">
    <w:name w:val="CEO_Extract"/>
    <w:basedOn w:val="CEONormal"/>
    <w:rsid w:val="001B6FDC"/>
    <w:pPr>
      <w:keepNext/>
      <w:keepLines/>
      <w:tabs>
        <w:tab w:val="left" w:pos="567"/>
      </w:tabs>
      <w:spacing w:before="0" w:after="120"/>
    </w:pPr>
    <w:rPr>
      <w:sz w:val="18"/>
      <w:lang w:val="en-US"/>
    </w:rPr>
  </w:style>
  <w:style w:type="paragraph" w:customStyle="1" w:styleId="CEOActionRequired">
    <w:name w:val="CEO_ActionRequired"/>
    <w:basedOn w:val="CEONormal"/>
    <w:rsid w:val="001B6FDC"/>
    <w:pPr>
      <w:tabs>
        <w:tab w:val="left" w:pos="567"/>
        <w:tab w:val="left" w:pos="1928"/>
      </w:tabs>
      <w:spacing w:before="0"/>
    </w:pPr>
    <w:rPr>
      <w:b/>
      <w:sz w:val="18"/>
      <w:lang w:val="en-US"/>
    </w:rPr>
  </w:style>
  <w:style w:type="paragraph" w:customStyle="1" w:styleId="CEOAbstract">
    <w:name w:val="CEO_Abstract"/>
    <w:rsid w:val="001B6FDC"/>
    <w:pPr>
      <w:spacing w:before="360" w:after="120"/>
    </w:pPr>
    <w:rPr>
      <w:rFonts w:ascii="Verdana" w:eastAsia="SimHei" w:hAnsi="Verdana" w:cs="Simplified Arabic"/>
      <w:b/>
      <w:sz w:val="18"/>
      <w:szCs w:val="22"/>
      <w:lang w:val="fr-CA"/>
    </w:rPr>
  </w:style>
  <w:style w:type="paragraph" w:customStyle="1" w:styleId="CEOActionRequiredDetails">
    <w:name w:val="CEO_ActionRequiredDetails"/>
    <w:rsid w:val="001B6FDC"/>
    <w:pPr>
      <w:spacing w:before="120"/>
    </w:pPr>
    <w:rPr>
      <w:rFonts w:ascii="Verdana" w:eastAsia="SimSun" w:hAnsi="Verdana"/>
      <w:bCs/>
      <w:sz w:val="18"/>
      <w:szCs w:val="19"/>
      <w:lang w:val="en-GB" w:eastAsia="en-US"/>
    </w:rPr>
  </w:style>
  <w:style w:type="paragraph" w:customStyle="1" w:styleId="CEOAgendaItemIndent">
    <w:name w:val="CEO_AgendaItemIndent"/>
    <w:basedOn w:val="Normal"/>
    <w:uiPriority w:val="99"/>
    <w:rsid w:val="001B6FDC"/>
    <w:pPr>
      <w:tabs>
        <w:tab w:val="left" w:pos="459"/>
        <w:tab w:val="left" w:pos="851"/>
      </w:tabs>
      <w:spacing w:before="60" w:after="60"/>
      <w:ind w:left="34" w:right="12"/>
      <w:jc w:val="left"/>
    </w:pPr>
    <w:rPr>
      <w:rFonts w:ascii="Verdana" w:eastAsia="SimSun" w:hAnsi="Verdana"/>
      <w:sz w:val="18"/>
      <w:szCs w:val="19"/>
      <w:lang w:val="en-US" w:eastAsia="en-US"/>
    </w:rPr>
  </w:style>
  <w:style w:type="paragraph" w:customStyle="1" w:styleId="Reasons">
    <w:name w:val="Reasons"/>
    <w:basedOn w:val="Normal"/>
    <w:qFormat/>
    <w:rsid w:val="001B6FDC"/>
    <w:pPr>
      <w:tabs>
        <w:tab w:val="left" w:pos="851"/>
      </w:tabs>
      <w:spacing w:before="0"/>
      <w:jc w:val="left"/>
    </w:pPr>
    <w:rPr>
      <w:rFonts w:ascii="Times New Roman" w:eastAsia="Times New Roman" w:hAnsi="Times New Roman"/>
      <w:sz w:val="24"/>
      <w:szCs w:val="20"/>
      <w:lang w:val="en-US" w:eastAsia="en-US"/>
    </w:rPr>
  </w:style>
  <w:style w:type="character" w:customStyle="1" w:styleId="hps">
    <w:name w:val="hps"/>
    <w:basedOn w:val="DefaultParagraphFont"/>
    <w:uiPriority w:val="99"/>
    <w:rsid w:val="001B6FDC"/>
    <w:rPr>
      <w:rFonts w:cs="Times New Roman"/>
    </w:rPr>
  </w:style>
  <w:style w:type="paragraph" w:styleId="ListBullet3">
    <w:name w:val="List Bullet 3"/>
    <w:basedOn w:val="Normal"/>
    <w:autoRedefine/>
    <w:rsid w:val="001B6FDC"/>
    <w:pPr>
      <w:numPr>
        <w:numId w:val="21"/>
      </w:numPr>
      <w:tabs>
        <w:tab w:val="left" w:pos="851"/>
      </w:tabs>
      <w:spacing w:before="0"/>
      <w:jc w:val="left"/>
    </w:pPr>
    <w:rPr>
      <w:rFonts w:ascii="Times New Roman" w:eastAsia="Times New Roman" w:hAnsi="Times New Roman"/>
      <w:sz w:val="24"/>
      <w:szCs w:val="20"/>
      <w:lang w:val="en-US" w:eastAsia="en-US"/>
    </w:rPr>
  </w:style>
  <w:style w:type="paragraph" w:styleId="TableofFigures">
    <w:name w:val="table of figures"/>
    <w:basedOn w:val="Normal"/>
    <w:next w:val="Normal"/>
    <w:uiPriority w:val="99"/>
    <w:rsid w:val="001B6FDC"/>
    <w:pPr>
      <w:tabs>
        <w:tab w:val="left" w:pos="851"/>
      </w:tabs>
      <w:jc w:val="left"/>
    </w:pPr>
    <w:rPr>
      <w:rFonts w:ascii="Verdana" w:eastAsia="SimHei" w:hAnsi="Verdana" w:cs="Simplified Arabic"/>
      <w:bCs/>
      <w:sz w:val="19"/>
      <w:szCs w:val="28"/>
      <w:lang w:val="en-US" w:eastAsia="zh-CN"/>
    </w:rPr>
  </w:style>
  <w:style w:type="paragraph" w:customStyle="1" w:styleId="Headingb0">
    <w:name w:val="Heading_b"/>
    <w:basedOn w:val="Heading3"/>
    <w:next w:val="Normal"/>
    <w:uiPriority w:val="99"/>
    <w:rsid w:val="008A262D"/>
    <w:pPr>
      <w:keepLines/>
      <w:tabs>
        <w:tab w:val="left" w:pos="794"/>
        <w:tab w:val="left" w:pos="1134"/>
        <w:tab w:val="left" w:pos="1701"/>
        <w:tab w:val="left" w:pos="2268"/>
        <w:tab w:val="left" w:pos="2835"/>
      </w:tabs>
      <w:overflowPunct w:val="0"/>
      <w:autoSpaceDE w:val="0"/>
      <w:autoSpaceDN w:val="0"/>
      <w:adjustRightInd w:val="0"/>
      <w:spacing w:before="160"/>
      <w:jc w:val="left"/>
      <w:textAlignment w:val="baseline"/>
      <w:outlineLvl w:val="0"/>
    </w:pPr>
    <w:rPr>
      <w:rFonts w:asciiTheme="minorHAnsi" w:hAnsiTheme="minorHAnsi" w:cs="Times New Roman"/>
      <w:bCs w:val="0"/>
      <w:i w:val="0"/>
      <w:iCs w:val="0"/>
      <w:color w:val="auto"/>
      <w:sz w:val="18"/>
      <w:szCs w:val="20"/>
      <w:lang w:val="en-GB" w:eastAsia="en-US"/>
    </w:rPr>
  </w:style>
  <w:style w:type="paragraph" w:customStyle="1" w:styleId="FiguresandTables">
    <w:name w:val="Figures and Tables"/>
    <w:basedOn w:val="Normal"/>
    <w:qFormat/>
    <w:rsid w:val="001B6FDC"/>
    <w:pPr>
      <w:keepNext/>
      <w:tabs>
        <w:tab w:val="left" w:pos="794"/>
        <w:tab w:val="left" w:pos="851"/>
      </w:tabs>
      <w:spacing w:before="240" w:after="120"/>
      <w:jc w:val="center"/>
    </w:pPr>
    <w:rPr>
      <w:rFonts w:ascii="Verdana" w:eastAsia="SimHei" w:hAnsi="Verdana" w:cs="Simplified Arabic"/>
      <w:b/>
      <w:sz w:val="18"/>
      <w:szCs w:val="28"/>
      <w:lang w:val="ru-R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endnote reference" w:uiPriority="99"/>
    <w:lsdException w:name="endnote text"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7E5E"/>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D02287"/>
    <w:pPr>
      <w:keepNext/>
      <w:keepLines/>
      <w:tabs>
        <w:tab w:val="left" w:pos="851"/>
      </w:tabs>
      <w:spacing w:before="400"/>
      <w:ind w:left="851" w:hanging="851"/>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0560EE"/>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634F41"/>
    <w:pPr>
      <w:keepNext/>
      <w:tabs>
        <w:tab w:val="left" w:pos="993"/>
      </w:tabs>
      <w:spacing w:before="240" w:after="60"/>
      <w:outlineLvl w:val="3"/>
    </w:pPr>
    <w:rPr>
      <w:rFonts w:eastAsia="Times New Roman"/>
      <w:b/>
      <w:bCs/>
      <w:color w:val="31849B"/>
      <w:sz w:val="22"/>
      <w:lang w:val="en-GB" w:eastAsia="en-CA"/>
    </w:rPr>
  </w:style>
  <w:style w:type="paragraph" w:styleId="Heading5">
    <w:name w:val="heading 5"/>
    <w:basedOn w:val="Normal"/>
    <w:next w:val="Normal"/>
    <w:link w:val="Heading5Char"/>
    <w:qFormat/>
    <w:rsid w:val="00634F41"/>
    <w:pPr>
      <w:keepNext/>
      <w:keepLines/>
      <w:tabs>
        <w:tab w:val="left" w:pos="1134"/>
      </w:tabs>
      <w:spacing w:before="240" w:after="60"/>
      <w:ind w:left="1134" w:hanging="1134"/>
      <w:outlineLvl w:val="4"/>
    </w:pPr>
    <w:rPr>
      <w:rFonts w:eastAsia="Times New Roman"/>
      <w:b/>
      <w:bCs/>
      <w:i/>
      <w:iCs/>
      <w:color w:val="31849B"/>
      <w:sz w:val="22"/>
      <w:lang w:val="en-GB"/>
    </w:rPr>
  </w:style>
  <w:style w:type="paragraph" w:styleId="Heading6">
    <w:name w:val="heading 6"/>
    <w:basedOn w:val="Normal"/>
    <w:next w:val="Normal"/>
    <w:link w:val="Heading6Char"/>
    <w:qFormat/>
    <w:rsid w:val="00ED46A8"/>
    <w:pPr>
      <w:spacing w:before="240" w:after="60"/>
      <w:outlineLvl w:val="5"/>
    </w:pPr>
    <w:rPr>
      <w:b/>
      <w:bCs/>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075AFE"/>
    <w:rPr>
      <w:rFonts w:ascii="Tahoma" w:hAnsi="Tahoma" w:cs="Tahoma"/>
      <w:sz w:val="16"/>
      <w:szCs w:val="16"/>
      <w:lang w:val="fr-FR" w:eastAsia="fr-FR"/>
    </w:rPr>
  </w:style>
  <w:style w:type="paragraph" w:styleId="Header">
    <w:name w:val="header"/>
    <w:basedOn w:val="Normal"/>
    <w:link w:val="HeaderChar"/>
    <w:rsid w:val="008E4040"/>
    <w:pPr>
      <w:pBdr>
        <w:bottom w:val="single" w:sz="12" w:space="1" w:color="005173"/>
      </w:pBdr>
      <w:jc w:val="center"/>
    </w:pPr>
    <w:rPr>
      <w:rFonts w:eastAsia="Times New Roman" w:cs="Calibri"/>
      <w:i/>
      <w:iCs/>
      <w:szCs w:val="21"/>
      <w:lang w:val="en-US"/>
    </w:rPr>
  </w:style>
  <w:style w:type="character" w:customStyle="1" w:styleId="HeaderChar">
    <w:name w:val="Header Char"/>
    <w:basedOn w:val="DefaultParagraphFont"/>
    <w:link w:val="Header"/>
    <w:uiPriority w:val="99"/>
    <w:rsid w:val="008E4040"/>
    <w:rPr>
      <w:rFonts w:ascii="Calibri" w:eastAsia="Times New Roman" w:hAnsi="Calibri" w:cs="Calibri"/>
      <w:i/>
      <w:iCs/>
      <w:sz w:val="21"/>
      <w:szCs w:val="21"/>
      <w:lang w:eastAsia="fr-FR"/>
    </w:rPr>
  </w:style>
  <w:style w:type="character" w:styleId="Hyperlink">
    <w:name w:val="Hyperlink"/>
    <w:aliases w:val="CEO_Hyperlink"/>
    <w:basedOn w:val="DefaultParagraphFont"/>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C20DC1"/>
    <w:pPr>
      <w:keepNext/>
      <w:keepLines/>
      <w:tabs>
        <w:tab w:val="left" w:pos="567"/>
        <w:tab w:val="left" w:pos="1134"/>
        <w:tab w:val="right" w:leader="dot" w:pos="8505"/>
        <w:tab w:val="right" w:pos="9071"/>
      </w:tabs>
      <w:spacing w:before="200"/>
      <w:ind w:left="567" w:hanging="567"/>
      <w:jc w:val="left"/>
    </w:pPr>
    <w:rPr>
      <w:rFonts w:eastAsia="SimSun"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FE5F37"/>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eastAsia="SimSun"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basedOn w:val="Enumlevel1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7116B1"/>
    <w:pPr>
      <w:spacing w:before="240" w:after="120"/>
      <w:jc w:val="center"/>
    </w:pPr>
    <w:rPr>
      <w:b w:val="0"/>
      <w:bCs/>
    </w:rPr>
  </w:style>
  <w:style w:type="character" w:customStyle="1" w:styleId="FiguretitleChar">
    <w:name w:val="Figure title Char"/>
    <w:basedOn w:val="DefaultParagraphFont"/>
    <w:link w:val="Figuretitle"/>
    <w:rsid w:val="00FE5F37"/>
    <w:rPr>
      <w:rFonts w:ascii="Calibri" w:eastAsia="SimSun"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0560EE"/>
    <w:pPr>
      <w:jc w:val="left"/>
    </w:pPr>
    <w:rPr>
      <w:b w:val="0"/>
      <w:bCs/>
      <w:i/>
      <w:iCs/>
      <w:sz w:val="19"/>
      <w:szCs w:val="19"/>
    </w:rPr>
  </w:style>
  <w:style w:type="character" w:customStyle="1" w:styleId="FigureChar">
    <w:name w:val="Figure Char"/>
    <w:basedOn w:val="FiguretitleChar"/>
    <w:link w:val="Figure"/>
    <w:rsid w:val="007116B1"/>
    <w:rPr>
      <w:rFonts w:ascii="Calibri" w:eastAsia="SimSun" w:hAnsi="Calibri" w:cs="Arial"/>
      <w:b w:val="0"/>
      <w:bCs/>
      <w:color w:val="000000"/>
      <w:sz w:val="21"/>
      <w:szCs w:val="22"/>
      <w:shd w:val="clear" w:color="auto" w:fill="E8F8FD"/>
      <w:lang w:val="en-AU" w:eastAsia="fr-FR"/>
    </w:rPr>
  </w:style>
  <w:style w:type="character" w:customStyle="1" w:styleId="href">
    <w:name w:val="href"/>
    <w:basedOn w:val="DefaultParagraphFont"/>
    <w:rsid w:val="006104A4"/>
    <w:rPr>
      <w:rFonts w:cs="Times New Roman"/>
    </w:rPr>
  </w:style>
  <w:style w:type="character" w:customStyle="1" w:styleId="figuresourceChar">
    <w:name w:val="figure source Char"/>
    <w:basedOn w:val="FiguretitleChar"/>
    <w:link w:val="figuresource"/>
    <w:rsid w:val="000560EE"/>
    <w:rPr>
      <w:rFonts w:ascii="Calibri" w:eastAsia="SimSun" w:hAnsi="Calibri" w:cs="Arial"/>
      <w:b w:val="0"/>
      <w:bCs/>
      <w:i/>
      <w:iCs/>
      <w:color w:val="000000"/>
      <w:sz w:val="19"/>
      <w:szCs w:val="19"/>
      <w:shd w:val="clear" w:color="auto" w:fill="B9E5FB"/>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0560EE"/>
    <w:pPr>
      <w:pBdr>
        <w:top w:val="single" w:sz="4" w:space="1" w:color="005173"/>
      </w:pBdr>
      <w:tabs>
        <w:tab w:val="right" w:pos="9071"/>
      </w:tabs>
      <w:ind w:left="6804"/>
      <w:jc w:val="right"/>
    </w:pPr>
  </w:style>
  <w:style w:type="character" w:customStyle="1" w:styleId="FooterChar">
    <w:name w:val="Footer Char"/>
    <w:basedOn w:val="DefaultParagraphFont"/>
    <w:link w:val="Footer"/>
    <w:rsid w:val="000560EE"/>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basedOn w:val="DefaultParagraphFont"/>
    <w:link w:val="Heading2"/>
    <w:rsid w:val="000560EE"/>
    <w:rPr>
      <w:rFonts w:ascii="Calibri" w:eastAsia="Times New Roman" w:hAnsi="Calibri" w:cs="Helvetica"/>
      <w:b/>
      <w:bCs/>
      <w:color w:val="005173"/>
      <w:sz w:val="24"/>
      <w:szCs w:val="32"/>
      <w:lang w:eastAsia="fr-FR"/>
    </w:rPr>
  </w:style>
  <w:style w:type="character" w:customStyle="1" w:styleId="PartTitleChar">
    <w:name w:val="Part Title Char"/>
    <w:basedOn w:val="Heading2Char"/>
    <w:link w:val="PartTitle"/>
    <w:rsid w:val="0010485E"/>
    <w:rPr>
      <w:rFonts w:ascii="Calibri" w:eastAsia="Times New Roman" w:hAnsi="Calibri" w:cs="Helvetica"/>
      <w:b/>
      <w:bCs/>
      <w:i/>
      <w:color w:val="548DD4" w:themeColor="text2" w:themeTint="99"/>
      <w:sz w:val="44"/>
      <w:szCs w:val="36"/>
      <w:u w:color="E36C0A"/>
      <w:lang w:val="en-AU" w:eastAsia="fr-FR"/>
    </w:rPr>
  </w:style>
  <w:style w:type="paragraph" w:styleId="FootnoteText">
    <w:name w:val="footnote text"/>
    <w:basedOn w:val="Normal"/>
    <w:link w:val="FootnoteTextChar"/>
    <w:unhideWhenUsed/>
    <w:rsid w:val="00FA6CE1"/>
    <w:pPr>
      <w:tabs>
        <w:tab w:val="left" w:pos="284"/>
      </w:tabs>
      <w:spacing w:before="60"/>
      <w:jc w:val="left"/>
    </w:pPr>
    <w:rPr>
      <w:rFonts w:asciiTheme="minorHAnsi" w:eastAsiaTheme="minorHAnsi" w:hAnsiTheme="minorHAnsi" w:cstheme="minorBidi"/>
      <w:sz w:val="18"/>
      <w:szCs w:val="20"/>
      <w:lang w:val="en-GB" w:eastAsia="en-US"/>
    </w:rPr>
  </w:style>
  <w:style w:type="character" w:customStyle="1" w:styleId="FootnoteTextChar">
    <w:name w:val="Footnote Text Char"/>
    <w:basedOn w:val="DefaultParagraphFont"/>
    <w:link w:val="FootnoteText"/>
    <w:rsid w:val="00FA6CE1"/>
    <w:rPr>
      <w:rFonts w:asciiTheme="minorHAnsi" w:eastAsiaTheme="minorHAnsi" w:hAnsiTheme="minorHAnsi" w:cstheme="minorBidi"/>
      <w:sz w:val="18"/>
      <w:lang w:val="en-GB" w:eastAsia="en-US"/>
    </w:rPr>
  </w:style>
  <w:style w:type="character" w:styleId="FootnoteReference">
    <w:name w:val="footnote reference"/>
    <w:aliases w:val="Appel note de bas de p"/>
    <w:basedOn w:val="DefaultParagraphFont"/>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3A52DB"/>
    <w:pPr>
      <w:keepNext/>
      <w:keepLines/>
      <w:tabs>
        <w:tab w:val="left" w:pos="851"/>
      </w:tabs>
      <w:spacing w:before="240"/>
      <w:jc w:val="center"/>
      <w:outlineLvl w:val="0"/>
    </w:pPr>
    <w:rPr>
      <w:rFonts w:cs="Helvetica"/>
      <w:b/>
      <w:bCs/>
      <w:color w:val="005173"/>
      <w:sz w:val="40"/>
      <w:szCs w:val="28"/>
      <w:lang w:val="en-US"/>
    </w:rPr>
  </w:style>
  <w:style w:type="paragraph" w:customStyle="1" w:styleId="Toc0">
    <w:name w:val="Toc 0"/>
    <w:basedOn w:val="Normal"/>
    <w:link w:val="Toc0Char"/>
    <w:qFormat/>
    <w:rsid w:val="00395676"/>
    <w:pPr>
      <w:tabs>
        <w:tab w:val="right" w:pos="9071"/>
      </w:tabs>
      <w:spacing w:before="200"/>
      <w:jc w:val="right"/>
    </w:pPr>
    <w:rPr>
      <w:rFonts w:cs="Helvetica"/>
      <w:bCs/>
      <w:i/>
      <w:iCs/>
      <w:noProof/>
      <w:color w:val="1F9DD9"/>
      <w:szCs w:val="28"/>
      <w:lang w:val="en-US"/>
    </w:rPr>
  </w:style>
  <w:style w:type="character" w:customStyle="1" w:styleId="Heading1Char">
    <w:name w:val="Heading 1 Char"/>
    <w:basedOn w:val="DefaultParagraphFont"/>
    <w:link w:val="Heading1"/>
    <w:uiPriority w:val="9"/>
    <w:rsid w:val="00D02287"/>
    <w:rPr>
      <w:rFonts w:ascii="Calibri" w:eastAsia="Times New Roman" w:hAnsi="Calibri" w:cs="Helvetica"/>
      <w:b/>
      <w:bCs/>
      <w:color w:val="005173"/>
      <w:sz w:val="28"/>
      <w:szCs w:val="28"/>
      <w:lang w:eastAsia="fr-FR"/>
    </w:rPr>
  </w:style>
  <w:style w:type="character" w:customStyle="1" w:styleId="ChapttitleChar">
    <w:name w:val="Chapt title Char"/>
    <w:basedOn w:val="DefaultParagraphFont"/>
    <w:link w:val="Chapttitle"/>
    <w:rsid w:val="003A52DB"/>
    <w:rPr>
      <w:rFonts w:ascii="Calibri" w:hAnsi="Calibri" w:cs="Helvetica"/>
      <w:b/>
      <w:bCs/>
      <w:color w:val="005173"/>
      <w:sz w:val="40"/>
      <w:szCs w:val="28"/>
      <w:lang w:eastAsia="fr-FR"/>
    </w:rPr>
  </w:style>
  <w:style w:type="character" w:customStyle="1" w:styleId="Toc0Char">
    <w:name w:val="Toc 0 Char"/>
    <w:basedOn w:val="DefaultParagraphFont"/>
    <w:link w:val="Toc0"/>
    <w:rsid w:val="00395676"/>
    <w:rPr>
      <w:rFonts w:ascii="Calibri" w:hAnsi="Calibri" w:cs="Helvetica"/>
      <w:bCs/>
      <w:i/>
      <w:iCs/>
      <w:noProof/>
      <w:color w:val="1F9DD9"/>
      <w:sz w:val="21"/>
      <w:szCs w:val="28"/>
      <w:lang w:eastAsia="fr-FR"/>
    </w:rPr>
  </w:style>
  <w:style w:type="paragraph" w:customStyle="1" w:styleId="HeadingB">
    <w:name w:val="Heading B"/>
    <w:basedOn w:val="Normal"/>
    <w:link w:val="HeadingBChar"/>
    <w:qFormat/>
    <w:rsid w:val="00CE0DA2"/>
    <w:pPr>
      <w:spacing w:before="240"/>
    </w:pPr>
    <w:rPr>
      <w:rFonts w:cs="Times New Roman Bold"/>
      <w:b/>
      <w:bCs/>
      <w:lang w:val="en-AU"/>
    </w:rPr>
  </w:style>
  <w:style w:type="paragraph" w:customStyle="1" w:styleId="Enumlevel1">
    <w:name w:val="Enum level 1"/>
    <w:basedOn w:val="Normal"/>
    <w:link w:val="Enumlevel1Char"/>
    <w:qFormat/>
    <w:rsid w:val="00ED3677"/>
    <w:pPr>
      <w:ind w:left="567" w:hanging="567"/>
    </w:pPr>
    <w:rPr>
      <w:rFonts w:eastAsia="SimSun" w:cs="Calibri"/>
      <w:szCs w:val="21"/>
      <w:lang w:val="en-GB" w:eastAsia="en-GB"/>
    </w:rPr>
  </w:style>
  <w:style w:type="character" w:customStyle="1" w:styleId="HeadingBChar">
    <w:name w:val="Heading B Char"/>
    <w:basedOn w:val="DefaultParagraphFont"/>
    <w:link w:val="HeadingB"/>
    <w:rsid w:val="00CE0DA2"/>
    <w:rPr>
      <w:rFonts w:ascii="Calibri" w:hAnsi="Calibri" w:cs="Times New Roman Bold"/>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basedOn w:val="DefaultParagraphFont"/>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2A225A"/>
    <w:rPr>
      <w:i/>
      <w:iCs/>
      <w:lang w:val="en-US"/>
    </w:rPr>
  </w:style>
  <w:style w:type="character" w:customStyle="1" w:styleId="CitationChar">
    <w:name w:val="Citation Char"/>
    <w:basedOn w:val="DefaultParagraphFont"/>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color w:val="000000" w:themeColor="text1"/>
      <w:lang w:val="en-GB"/>
    </w:rPr>
  </w:style>
  <w:style w:type="character" w:customStyle="1" w:styleId="Heading3Char">
    <w:name w:val="Heading 3 Char"/>
    <w:basedOn w:val="DefaultParagraphFont"/>
    <w:link w:val="Heading3"/>
    <w:locked/>
    <w:rsid w:val="00BB5150"/>
    <w:rPr>
      <w:rFonts w:ascii="Calibri" w:eastAsia="Times New Roman" w:hAnsi="Calibri" w:cs="Helvetica"/>
      <w:b/>
      <w:bCs/>
      <w:i/>
      <w:iCs/>
      <w:color w:val="943634" w:themeColor="accent2" w:themeShade="BF"/>
      <w:sz w:val="24"/>
      <w:szCs w:val="32"/>
      <w:lang w:eastAsia="fr-FR"/>
    </w:rPr>
  </w:style>
  <w:style w:type="character" w:customStyle="1" w:styleId="Heading4Char">
    <w:name w:val="Heading 4 Char"/>
    <w:basedOn w:val="DefaultParagraphFont"/>
    <w:link w:val="Heading4"/>
    <w:locked/>
    <w:rsid w:val="00634F41"/>
    <w:rPr>
      <w:rFonts w:ascii="Calibri" w:eastAsia="Times New Roman" w:hAnsi="Calibri"/>
      <w:b/>
      <w:bCs/>
      <w:color w:val="31849B"/>
      <w:sz w:val="22"/>
      <w:szCs w:val="22"/>
      <w:lang w:val="en-GB" w:eastAsia="en-CA"/>
    </w:rPr>
  </w:style>
  <w:style w:type="character" w:customStyle="1" w:styleId="Heading5Char">
    <w:name w:val="Heading 5 Char"/>
    <w:basedOn w:val="DefaultParagraphFont"/>
    <w:link w:val="Heading5"/>
    <w:locked/>
    <w:rsid w:val="00634F41"/>
    <w:rPr>
      <w:rFonts w:ascii="Calibri" w:eastAsia="Times New Roman" w:hAnsi="Calibri"/>
      <w:b/>
      <w:bCs/>
      <w:i/>
      <w:iCs/>
      <w:color w:val="31849B"/>
      <w:sz w:val="22"/>
      <w:szCs w:val="22"/>
      <w:lang w:val="en-GB" w:eastAsia="fr-FR"/>
    </w:rPr>
  </w:style>
  <w:style w:type="character" w:customStyle="1" w:styleId="Heading6Char">
    <w:name w:val="Heading 6 Char"/>
    <w:basedOn w:val="DefaultParagraphFont"/>
    <w:link w:val="Heading6"/>
    <w:locked/>
    <w:rsid w:val="00271D36"/>
    <w:rPr>
      <w:rFonts w:ascii="Calibri" w:hAnsi="Calibri"/>
      <w:b/>
      <w:bCs/>
      <w:sz w:val="21"/>
      <w:szCs w:val="22"/>
      <w:lang w:val="fr-FR" w:eastAsia="fr-FR"/>
    </w:rPr>
  </w:style>
  <w:style w:type="character" w:customStyle="1" w:styleId="Heading7Char">
    <w:name w:val="Heading 7 Char"/>
    <w:basedOn w:val="DefaultParagraphFont"/>
    <w:link w:val="Heading7"/>
    <w:locked/>
    <w:rsid w:val="00271D36"/>
    <w:rPr>
      <w:rFonts w:ascii="Calibri" w:hAnsi="Calibri"/>
      <w:sz w:val="24"/>
      <w:szCs w:val="24"/>
      <w:lang w:val="fr-FR" w:eastAsia="fr-FR"/>
    </w:rPr>
  </w:style>
  <w:style w:type="character" w:customStyle="1" w:styleId="Heading8Char">
    <w:name w:val="Heading 8 Char"/>
    <w:basedOn w:val="DefaultParagraphFont"/>
    <w:link w:val="Heading8"/>
    <w:locked/>
    <w:rsid w:val="00271D36"/>
    <w:rPr>
      <w:rFonts w:ascii="Calibri" w:hAnsi="Calibri"/>
      <w:i/>
      <w:iCs/>
      <w:sz w:val="24"/>
      <w:szCs w:val="24"/>
      <w:lang w:val="fr-FR" w:eastAsia="fr-FR"/>
    </w:rPr>
  </w:style>
  <w:style w:type="character" w:customStyle="1" w:styleId="Heading9Char">
    <w:name w:val="Heading 9 Char"/>
    <w:basedOn w:val="DefaultParagraphFont"/>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rFonts w:eastAsia="SimSun"/>
      <w:sz w:val="24"/>
      <w:szCs w:val="24"/>
      <w:lang w:val="en-GB" w:eastAsia="en-GB"/>
    </w:rPr>
  </w:style>
  <w:style w:type="character" w:styleId="FollowedHyperlink">
    <w:name w:val="FollowedHyperlink"/>
    <w:aliases w:val="CEO_FollowedHyperlink"/>
    <w:basedOn w:val="DefaultParagraphFont"/>
    <w:rsid w:val="00271D36"/>
    <w:rPr>
      <w:rFonts w:cs="Times New Roman"/>
      <w:color w:val="800080"/>
      <w:u w:val="single"/>
    </w:rPr>
  </w:style>
  <w:style w:type="paragraph" w:customStyle="1" w:styleId="Tablehead">
    <w:name w:val="Table head"/>
    <w:basedOn w:val="Normal"/>
    <w:link w:val="TableheadChar"/>
    <w:qFormat/>
    <w:rsid w:val="00446E47"/>
    <w:pPr>
      <w:autoSpaceDE w:val="0"/>
      <w:autoSpaceDN w:val="0"/>
      <w:adjustRightInd w:val="0"/>
      <w:spacing w:before="80" w:after="80"/>
      <w:jc w:val="center"/>
    </w:pPr>
    <w:rPr>
      <w:rFonts w:cs="Arial"/>
      <w:b/>
      <w:bCs/>
      <w:color w:val="FFFFFF" w:themeColor="background1"/>
      <w:sz w:val="19"/>
      <w:lang w:val="en-US"/>
    </w:rPr>
  </w:style>
  <w:style w:type="character" w:customStyle="1" w:styleId="TableheadChar">
    <w:name w:val="Table head Char"/>
    <w:basedOn w:val="DefaultParagraphFont"/>
    <w:link w:val="Tablehead"/>
    <w:rsid w:val="00446E47"/>
    <w:rPr>
      <w:rFonts w:ascii="Calibri" w:hAnsi="Calibri" w:cs="Arial"/>
      <w:b/>
      <w:bCs/>
      <w:color w:val="FFFFFF" w:themeColor="background1"/>
      <w:sz w:val="19"/>
      <w:szCs w:val="22"/>
      <w:lang w:eastAsia="fr-FR"/>
    </w:rPr>
  </w:style>
  <w:style w:type="paragraph" w:customStyle="1" w:styleId="Tabletext">
    <w:name w:val="Table text"/>
    <w:basedOn w:val="Normal"/>
    <w:link w:val="TabletextChar"/>
    <w:qFormat/>
    <w:rsid w:val="001B29B0"/>
    <w:pPr>
      <w:spacing w:before="40" w:after="40"/>
      <w:jc w:val="left"/>
    </w:pPr>
    <w:rPr>
      <w:rFonts w:asciiTheme="minorHAnsi" w:hAnsiTheme="minorHAnsi"/>
      <w:bCs/>
      <w:sz w:val="19"/>
      <w:szCs w:val="18"/>
    </w:rPr>
  </w:style>
  <w:style w:type="character" w:customStyle="1" w:styleId="TabletextChar">
    <w:name w:val="Table text Char"/>
    <w:basedOn w:val="DefaultParagraphFont"/>
    <w:link w:val="Tabletext"/>
    <w:rsid w:val="001B29B0"/>
    <w:rPr>
      <w:rFonts w:asciiTheme="minorHAnsi" w:hAnsiTheme="minorHAnsi"/>
      <w:bCs/>
      <w:sz w:val="19"/>
      <w:szCs w:val="18"/>
      <w:lang w:val="fr-FR" w:eastAsia="fr-FR"/>
    </w:rPr>
  </w:style>
  <w:style w:type="paragraph" w:customStyle="1" w:styleId="Tabletitle">
    <w:name w:val="Table title"/>
    <w:basedOn w:val="Normal"/>
    <w:link w:val="TabletitleChar"/>
    <w:qFormat/>
    <w:rsid w:val="008E4040"/>
    <w:pPr>
      <w:shd w:val="clear" w:color="auto" w:fill="FFFFFF" w:themeFill="background1"/>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basedOn w:val="DefaultParagraphFont"/>
    <w:link w:val="Tabletitle"/>
    <w:rsid w:val="008E4040"/>
    <w:rPr>
      <w:rFonts w:ascii="Calibri" w:hAnsi="Calibri" w:cs="Arial"/>
      <w:b/>
      <w:bCs/>
      <w:color w:val="005173"/>
      <w:sz w:val="21"/>
      <w:szCs w:val="24"/>
      <w:shd w:val="clear" w:color="auto" w:fill="FFFFFF" w:themeFill="background1"/>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basedOn w:val="DefaultParagraphFont"/>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basedOn w:val="DefaultParagraphFont"/>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basedOn w:val="DefaultParagraphFont"/>
    <w:link w:val="Enumlevel3"/>
    <w:rsid w:val="00B9372E"/>
    <w:rPr>
      <w:rFonts w:ascii="Calibri" w:hAnsi="Calibri"/>
      <w:iCs/>
      <w:sz w:val="21"/>
      <w:szCs w:val="22"/>
      <w:lang w:val="fr-FR" w:eastAsia="fr-FR"/>
    </w:rPr>
  </w:style>
  <w:style w:type="character" w:customStyle="1" w:styleId="BalloonTextChar15">
    <w:name w:val="Balloon Text Char15"/>
    <w:basedOn w:val="DefaultParagraphFont"/>
    <w:uiPriority w:val="99"/>
    <w:semiHidden/>
    <w:rsid w:val="003E2368"/>
    <w:rPr>
      <w:rFonts w:ascii="Lucida Grande" w:hAnsi="Lucida Grande" w:cs="Times New Roman"/>
      <w:sz w:val="18"/>
    </w:rPr>
  </w:style>
  <w:style w:type="character" w:customStyle="1" w:styleId="BalloonTextChar14">
    <w:name w:val="Balloon Text Char14"/>
    <w:basedOn w:val="DefaultParagraphFont"/>
    <w:uiPriority w:val="99"/>
    <w:semiHidden/>
    <w:rsid w:val="003E2368"/>
    <w:rPr>
      <w:rFonts w:ascii="Lucida Grande" w:hAnsi="Lucida Grande" w:cs="Times New Roman"/>
      <w:sz w:val="18"/>
    </w:rPr>
  </w:style>
  <w:style w:type="character" w:customStyle="1" w:styleId="BalloonTextChar13">
    <w:name w:val="Balloon Text Char13"/>
    <w:basedOn w:val="DefaultParagraphFont"/>
    <w:uiPriority w:val="99"/>
    <w:semiHidden/>
    <w:rsid w:val="003E2368"/>
    <w:rPr>
      <w:rFonts w:ascii="Lucida Grande" w:hAnsi="Lucida Grande" w:cs="Times New Roman"/>
      <w:sz w:val="18"/>
    </w:rPr>
  </w:style>
  <w:style w:type="character" w:customStyle="1" w:styleId="BalloonTextChar12">
    <w:name w:val="Balloon Text Char12"/>
    <w:basedOn w:val="DefaultParagraphFont"/>
    <w:uiPriority w:val="99"/>
    <w:semiHidden/>
    <w:rsid w:val="003E2368"/>
    <w:rPr>
      <w:rFonts w:ascii="Lucida Grande" w:hAnsi="Lucida Grande" w:cs="Times New Roman"/>
      <w:sz w:val="18"/>
    </w:rPr>
  </w:style>
  <w:style w:type="character" w:customStyle="1" w:styleId="BalloonTextChar11">
    <w:name w:val="Balloon Text Char11"/>
    <w:basedOn w:val="DefaultParagraphFont"/>
    <w:uiPriority w:val="99"/>
    <w:semiHidden/>
    <w:rsid w:val="003E2368"/>
    <w:rPr>
      <w:rFonts w:ascii="Lucida Grande" w:hAnsi="Lucida Grande" w:cs="Times New Roman"/>
      <w:sz w:val="18"/>
    </w:rPr>
  </w:style>
  <w:style w:type="character" w:customStyle="1" w:styleId="BalloonTextChar10">
    <w:name w:val="Balloon Text Char10"/>
    <w:basedOn w:val="DefaultParagraphFont"/>
    <w:uiPriority w:val="99"/>
    <w:semiHidden/>
    <w:rsid w:val="003E2368"/>
    <w:rPr>
      <w:rFonts w:ascii="Lucida Grande" w:hAnsi="Lucida Grande" w:cs="Times New Roman"/>
      <w:sz w:val="18"/>
    </w:rPr>
  </w:style>
  <w:style w:type="character" w:customStyle="1" w:styleId="BalloonTextChar9">
    <w:name w:val="Balloon Text Char9"/>
    <w:basedOn w:val="DefaultParagraphFont"/>
    <w:uiPriority w:val="99"/>
    <w:semiHidden/>
    <w:rsid w:val="003E2368"/>
    <w:rPr>
      <w:rFonts w:ascii="Lucida Grande" w:hAnsi="Lucida Grande" w:cs="Times New Roman"/>
      <w:sz w:val="18"/>
    </w:rPr>
  </w:style>
  <w:style w:type="character" w:customStyle="1" w:styleId="BalloonTextChar8">
    <w:name w:val="Balloon Text Char8"/>
    <w:basedOn w:val="DefaultParagraphFont"/>
    <w:uiPriority w:val="99"/>
    <w:semiHidden/>
    <w:rsid w:val="003E2368"/>
    <w:rPr>
      <w:rFonts w:ascii="Lucida Grande" w:hAnsi="Lucida Grande" w:cs="Times New Roman"/>
      <w:sz w:val="18"/>
    </w:rPr>
  </w:style>
  <w:style w:type="character" w:customStyle="1" w:styleId="BalloonTextChar7">
    <w:name w:val="Balloon Text Char7"/>
    <w:basedOn w:val="DefaultParagraphFont"/>
    <w:uiPriority w:val="99"/>
    <w:semiHidden/>
    <w:rsid w:val="003E2368"/>
    <w:rPr>
      <w:rFonts w:ascii="Lucida Grande" w:hAnsi="Lucida Grande" w:cs="Times New Roman"/>
      <w:sz w:val="18"/>
    </w:rPr>
  </w:style>
  <w:style w:type="character" w:customStyle="1" w:styleId="BalloonTextChar6">
    <w:name w:val="Balloon Text Char6"/>
    <w:basedOn w:val="DefaultParagraphFont"/>
    <w:uiPriority w:val="99"/>
    <w:semiHidden/>
    <w:rsid w:val="003E2368"/>
    <w:rPr>
      <w:rFonts w:ascii="Lucida Grande" w:hAnsi="Lucida Grande" w:cs="Times New Roman"/>
      <w:sz w:val="18"/>
    </w:rPr>
  </w:style>
  <w:style w:type="character" w:customStyle="1" w:styleId="BalloonTextChar5">
    <w:name w:val="Balloon Text Char5"/>
    <w:basedOn w:val="DefaultParagraphFont"/>
    <w:uiPriority w:val="99"/>
    <w:semiHidden/>
    <w:rsid w:val="003E2368"/>
    <w:rPr>
      <w:rFonts w:ascii="Lucida Grande" w:hAnsi="Lucida Grande" w:cs="Times New Roman"/>
      <w:sz w:val="18"/>
    </w:rPr>
  </w:style>
  <w:style w:type="character" w:customStyle="1" w:styleId="BalloonTextChar4">
    <w:name w:val="Balloon Text Char4"/>
    <w:basedOn w:val="DefaultParagraphFont"/>
    <w:uiPriority w:val="99"/>
    <w:semiHidden/>
    <w:rsid w:val="003E2368"/>
    <w:rPr>
      <w:rFonts w:ascii="Lucida Grande" w:hAnsi="Lucida Grande" w:cs="Times New Roman"/>
      <w:sz w:val="18"/>
    </w:rPr>
  </w:style>
  <w:style w:type="character" w:customStyle="1" w:styleId="BalloonTextChar3">
    <w:name w:val="Balloon Text Char3"/>
    <w:basedOn w:val="DefaultParagraphFont"/>
    <w:uiPriority w:val="99"/>
    <w:semiHidden/>
    <w:rsid w:val="003E2368"/>
    <w:rPr>
      <w:rFonts w:ascii="Lucida Grande" w:hAnsi="Lucida Grande" w:cs="Times New Roman"/>
      <w:sz w:val="18"/>
    </w:rPr>
  </w:style>
  <w:style w:type="character" w:customStyle="1" w:styleId="BalloonTextChar2">
    <w:name w:val="Balloon Text Char2"/>
    <w:basedOn w:val="DefaultParagraphFont"/>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theme="minorBidi"/>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themeColor="accent1" w:themeShade="BF"/>
      <w:lang w:val="es-CL" w:eastAsia="es-C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Questionno">
    <w:name w:val="Question_no"/>
    <w:basedOn w:val="Chapttitle"/>
    <w:link w:val="QuestionnoChar"/>
    <w:qFormat/>
    <w:rsid w:val="00395676"/>
    <w:pPr>
      <w:jc w:val="right"/>
    </w:pPr>
    <w:rPr>
      <w:rFonts w:eastAsia="Times New Roman" w:cs="Calibri"/>
      <w:sz w:val="52"/>
      <w:szCs w:val="52"/>
      <w:lang w:val="en-GB"/>
    </w:rPr>
  </w:style>
  <w:style w:type="character" w:styleId="PlaceholderText">
    <w:name w:val="Placeholder Text"/>
    <w:basedOn w:val="DefaultParagraphFon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basedOn w:val="FigureChar"/>
    <w:link w:val="Acknowledgements"/>
    <w:rsid w:val="006B135F"/>
    <w:rPr>
      <w:rFonts w:ascii="Calibri" w:eastAsia="SimSun" w:hAnsi="Calibri" w:cs="Arial"/>
      <w:b w:val="0"/>
      <w:bCs/>
      <w:color w:val="000000" w:themeColor="text1"/>
      <w:sz w:val="21"/>
      <w:szCs w:val="22"/>
      <w:shd w:val="clear" w:color="auto" w:fill="DAEEF3"/>
      <w:lang w:val="en-GB" w:eastAsia="fr-FR"/>
    </w:rPr>
  </w:style>
  <w:style w:type="character" w:customStyle="1" w:styleId="QuestionnoChar">
    <w:name w:val="Question_no Char"/>
    <w:basedOn w:val="ChapttitleChar"/>
    <w:link w:val="Questionno"/>
    <w:rsid w:val="00395676"/>
    <w:rPr>
      <w:rFonts w:ascii="Calibri" w:eastAsia="Times New Roman" w:hAnsi="Calibri" w:cs="Calibri"/>
      <w:b/>
      <w:bCs/>
      <w:color w:val="1F9DD9"/>
      <w:sz w:val="52"/>
      <w:szCs w:val="52"/>
      <w:lang w:val="en-GB" w:eastAsia="fr-FR"/>
    </w:rPr>
  </w:style>
  <w:style w:type="character" w:customStyle="1" w:styleId="TablesourceChar">
    <w:name w:val="Table source Char"/>
    <w:basedOn w:val="TabletextChar"/>
    <w:link w:val="Tablesource"/>
    <w:rsid w:val="002A225A"/>
    <w:rPr>
      <w:rFonts w:asciiTheme="minorHAnsi" w:hAnsiTheme="minorHAnsi"/>
      <w:bCs/>
      <w:i/>
      <w:iCs/>
      <w:sz w:val="19"/>
      <w:szCs w:val="18"/>
      <w:lang w:val="fr-FR" w:eastAsia="fr-FR"/>
    </w:rPr>
  </w:style>
  <w:style w:type="paragraph" w:customStyle="1" w:styleId="enumlev2">
    <w:name w:val="enumlev 2"/>
    <w:basedOn w:val="enumlev1"/>
    <w:qFormat/>
    <w:rsid w:val="00BE1873"/>
    <w:pPr>
      <w:ind w:left="568"/>
    </w:p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link w:val="CallChar"/>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enumlev1">
    <w:name w:val="enumlev1"/>
    <w:basedOn w:val="Normal"/>
    <w:link w:val="enumlev1Char"/>
    <w:qFormat/>
    <w:rsid w:val="00A51E5B"/>
    <w:pPr>
      <w:spacing w:before="0"/>
      <w:ind w:left="284" w:hanging="284"/>
    </w:pPr>
    <w:rPr>
      <w:rFonts w:eastAsia="SimSun" w:cs="Calibri"/>
      <w:sz w:val="19"/>
      <w:lang w:val="en-GB" w:eastAsia="en-GB"/>
    </w:rPr>
  </w:style>
  <w:style w:type="character" w:customStyle="1" w:styleId="enumlev1Char">
    <w:name w:val="enumlev1 Char"/>
    <w:basedOn w:val="DefaultParagraphFont"/>
    <w:link w:val="enumlev1"/>
    <w:rsid w:val="00A51E5B"/>
    <w:rPr>
      <w:rFonts w:ascii="Calibri" w:eastAsia="SimSun" w:hAnsi="Calibri" w:cs="Calibri"/>
      <w:sz w:val="19"/>
      <w:szCs w:val="22"/>
      <w:lang w:val="en-GB" w:eastAsia="en-GB"/>
    </w:rPr>
  </w:style>
  <w:style w:type="paragraph" w:customStyle="1" w:styleId="Chaptertitle">
    <w:name w:val="Chapter_title"/>
    <w:basedOn w:val="Normal"/>
    <w:qFormat/>
    <w:rsid w:val="00585FA8"/>
    <w:pPr>
      <w:jc w:val="center"/>
    </w:pPr>
    <w:rPr>
      <w:rFonts w:cstheme="minorBidi"/>
      <w:b/>
      <w:color w:val="1F9DD9"/>
      <w:sz w:val="40"/>
      <w:lang w:val="en-US" w:eastAsia="zh-CN"/>
    </w:rPr>
  </w:style>
  <w:style w:type="paragraph" w:customStyle="1" w:styleId="HeadingbI">
    <w:name w:val="Heading b+I"/>
    <w:basedOn w:val="enumlev1"/>
    <w:qFormat/>
    <w:rsid w:val="00CE0DA2"/>
    <w:pPr>
      <w:spacing w:before="240"/>
    </w:pPr>
    <w:rPr>
      <w:rFonts w:eastAsia="Times New Roman" w:cs="Helvetica"/>
      <w:b/>
      <w:bCs/>
      <w:i/>
      <w:sz w:val="24"/>
      <w:szCs w:val="28"/>
      <w:lang w:val="en-US" w:eastAsia="fr-FR"/>
    </w:rPr>
  </w:style>
  <w:style w:type="paragraph" w:customStyle="1" w:styleId="Questiontitle">
    <w:name w:val="Question_title"/>
    <w:basedOn w:val="Questionno"/>
    <w:qFormat/>
    <w:rsid w:val="000759D4"/>
    <w:rPr>
      <w:i/>
      <w:sz w:val="48"/>
      <w:lang w:val="en-US"/>
    </w:rPr>
  </w:style>
  <w:style w:type="paragraph" w:customStyle="1" w:styleId="CEOFooterContact2-3">
    <w:name w:val="CEO_FooterContact2-3"/>
    <w:basedOn w:val="CEONormal"/>
    <w:rsid w:val="00061F17"/>
    <w:pPr>
      <w:spacing w:before="0"/>
      <w:ind w:left="3827" w:hanging="2268"/>
    </w:pPr>
    <w:rPr>
      <w:sz w:val="16"/>
      <w:szCs w:val="16"/>
    </w:rPr>
  </w:style>
  <w:style w:type="paragraph" w:customStyle="1" w:styleId="CEONormal">
    <w:name w:val="CEO_Normal"/>
    <w:link w:val="CEONormalChar"/>
    <w:autoRedefine/>
    <w:rsid w:val="00061F17"/>
    <w:pPr>
      <w:spacing w:before="120"/>
    </w:pPr>
    <w:rPr>
      <w:rFonts w:ascii="Verdana" w:eastAsia="SimSun" w:hAnsi="Verdana"/>
      <w:sz w:val="19"/>
      <w:szCs w:val="19"/>
      <w:lang w:val="en-GB" w:eastAsia="en-US"/>
    </w:rPr>
  </w:style>
  <w:style w:type="paragraph" w:customStyle="1" w:styleId="CEOFooterContact1">
    <w:name w:val="CEO_FooterContact1"/>
    <w:basedOn w:val="CEONormal"/>
    <w:next w:val="CEOFooterContact2-3"/>
    <w:rsid w:val="00061F17"/>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061F17"/>
    <w:pPr>
      <w:spacing w:after="120"/>
      <w:ind w:left="743"/>
    </w:pPr>
    <w:rPr>
      <w:b/>
      <w:bCs/>
      <w:iCs/>
    </w:rPr>
  </w:style>
  <w:style w:type="paragraph" w:customStyle="1" w:styleId="CEOSourceTitle">
    <w:name w:val="CEO_Source_Title"/>
    <w:basedOn w:val="Normal"/>
    <w:rsid w:val="00061F17"/>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061F17"/>
    <w:pPr>
      <w:keepNext w:val="0"/>
      <w:numPr>
        <w:ilvl w:val="1"/>
      </w:numPr>
      <w:tabs>
        <w:tab w:val="clear" w:pos="851"/>
        <w:tab w:val="num" w:pos="576"/>
      </w:tabs>
      <w:spacing w:before="120" w:after="120"/>
      <w:ind w:left="567" w:hanging="576"/>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061F17"/>
    <w:pPr>
      <w:numPr>
        <w:numId w:val="4"/>
      </w:numPr>
      <w:spacing w:before="60" w:after="60"/>
      <w:ind w:right="709"/>
      <w:jc w:val="left"/>
    </w:pPr>
    <w:rPr>
      <w:rFonts w:ascii="Verdana" w:eastAsia="SimHei" w:hAnsi="Verdana" w:cs="Simplified Arabic"/>
      <w:bCs/>
      <w:sz w:val="19"/>
      <w:szCs w:val="19"/>
      <w:lang w:val="en-US" w:eastAsia="en-US"/>
    </w:rPr>
  </w:style>
  <w:style w:type="paragraph" w:customStyle="1" w:styleId="CEOFooter">
    <w:name w:val="CEO_Footer"/>
    <w:basedOn w:val="Normal"/>
    <w:rsid w:val="00061F17"/>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061F17"/>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061F17"/>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061F17"/>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Normal"/>
    <w:rsid w:val="00187E5E"/>
    <w:pPr>
      <w:spacing w:before="360" w:after="120"/>
      <w:jc w:val="left"/>
    </w:pPr>
    <w:rPr>
      <w:rFonts w:ascii="Verdana" w:eastAsia="SimHei" w:hAnsi="Verdana" w:cs="Simplified Arabic"/>
      <w:sz w:val="19"/>
      <w:szCs w:val="19"/>
      <w:lang w:val="en-GB" w:eastAsia="en-US"/>
    </w:rPr>
  </w:style>
  <w:style w:type="paragraph" w:customStyle="1" w:styleId="CEOParagraph111">
    <w:name w:val="CEO_Paragraph1.1.1"/>
    <w:basedOn w:val="Heading3"/>
    <w:rsid w:val="00061F17"/>
    <w:pPr>
      <w:keepNext w:val="0"/>
      <w:numPr>
        <w:ilvl w:val="2"/>
      </w:numPr>
      <w:tabs>
        <w:tab w:val="clear" w:pos="851"/>
        <w:tab w:val="num" w:pos="1418"/>
      </w:tabs>
      <w:spacing w:before="0"/>
      <w:ind w:left="1418" w:hanging="851"/>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061F17"/>
    <w:pPr>
      <w:numPr>
        <w:ilvl w:val="1"/>
        <w:numId w:val="5"/>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uiPriority w:val="99"/>
    <w:rsid w:val="00061F17"/>
    <w:pPr>
      <w:numPr>
        <w:numId w:val="6"/>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061F17"/>
    <w:pPr>
      <w:numPr>
        <w:numId w:val="7"/>
      </w:numPr>
    </w:pPr>
  </w:style>
  <w:style w:type="paragraph" w:customStyle="1" w:styleId="CEOMeetingDates">
    <w:name w:val="CEO_MeetingDates"/>
    <w:basedOn w:val="Normal"/>
    <w:rsid w:val="00061F17"/>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061F17"/>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061F17"/>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061F17"/>
    <w:pPr>
      <w:tabs>
        <w:tab w:val="left" w:pos="2098"/>
      </w:tabs>
      <w:ind w:left="2098" w:hanging="2098"/>
    </w:pPr>
    <w:rPr>
      <w:lang w:val="fr-CH"/>
    </w:rPr>
  </w:style>
  <w:style w:type="paragraph" w:customStyle="1" w:styleId="CEOQuestionDetails">
    <w:name w:val="CEO_QuestionDetails"/>
    <w:basedOn w:val="CEOOriginalLanguage"/>
    <w:rsid w:val="00061F17"/>
    <w:rPr>
      <w:b w:val="0"/>
      <w:bCs/>
    </w:rPr>
  </w:style>
  <w:style w:type="paragraph" w:customStyle="1" w:styleId="CEOSectorName">
    <w:name w:val="CEO_SectorName"/>
    <w:basedOn w:val="Normal"/>
    <w:rsid w:val="00061F17"/>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061F17"/>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061F17"/>
    <w:pPr>
      <w:spacing w:before="0"/>
    </w:pPr>
  </w:style>
  <w:style w:type="paragraph" w:customStyle="1" w:styleId="CEOSourceTitleDetails">
    <w:name w:val="CEO_SourceTitleDetails"/>
    <w:basedOn w:val="Normal"/>
    <w:rsid w:val="00061F17"/>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061F17"/>
    <w:pPr>
      <w:spacing w:before="120"/>
      <w:jc w:val="center"/>
    </w:pPr>
  </w:style>
  <w:style w:type="paragraph" w:customStyle="1" w:styleId="CEOindent-endash">
    <w:name w:val="CEO_indent-endash"/>
    <w:basedOn w:val="Normal"/>
    <w:rsid w:val="00187E5E"/>
    <w:pPr>
      <w:numPr>
        <w:numId w:val="8"/>
      </w:numPr>
      <w:tabs>
        <w:tab w:val="clear" w:pos="1134"/>
        <w:tab w:val="num" w:pos="284"/>
      </w:tabs>
      <w:ind w:left="284" w:hanging="284"/>
      <w:jc w:val="left"/>
    </w:pPr>
    <w:rPr>
      <w:rFonts w:ascii="Verdana" w:eastAsia="SimSun" w:hAnsi="Verdana"/>
      <w:sz w:val="19"/>
      <w:szCs w:val="19"/>
      <w:lang w:val="en-GB" w:eastAsia="en-US"/>
    </w:rPr>
  </w:style>
  <w:style w:type="paragraph" w:customStyle="1" w:styleId="CEOHeader">
    <w:name w:val="CEO_Header"/>
    <w:basedOn w:val="Normal"/>
    <w:rsid w:val="00061F17"/>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061F17"/>
    <w:pPr>
      <w:spacing w:after="120"/>
      <w:ind w:left="426"/>
    </w:pPr>
  </w:style>
  <w:style w:type="paragraph" w:customStyle="1" w:styleId="CEOLogo">
    <w:name w:val="CEO_Logo"/>
    <w:basedOn w:val="CEONormal"/>
    <w:rsid w:val="00061F17"/>
    <w:pPr>
      <w:spacing w:before="0"/>
      <w:jc w:val="right"/>
    </w:pPr>
  </w:style>
  <w:style w:type="paragraph" w:customStyle="1" w:styleId="CEOMeetingSTG">
    <w:name w:val="CEO_MeetingSTG"/>
    <w:basedOn w:val="CEOMeetingName"/>
    <w:rsid w:val="00061F17"/>
    <w:pPr>
      <w:spacing w:before="120" w:after="120"/>
    </w:pPr>
  </w:style>
  <w:style w:type="paragraph" w:customStyle="1" w:styleId="CEORevision">
    <w:name w:val="CEO_Revision"/>
    <w:basedOn w:val="CEONormal"/>
    <w:autoRedefine/>
    <w:rsid w:val="00061F17"/>
    <w:pPr>
      <w:tabs>
        <w:tab w:val="left" w:pos="1928"/>
      </w:tabs>
    </w:pPr>
    <w:rPr>
      <w:b/>
      <w:sz w:val="18"/>
      <w:szCs w:val="18"/>
    </w:rPr>
  </w:style>
  <w:style w:type="paragraph" w:customStyle="1" w:styleId="CEORevisionNote">
    <w:name w:val="CEO_RevisionNote"/>
    <w:basedOn w:val="CEORevision"/>
    <w:autoRedefine/>
    <w:rsid w:val="00061F17"/>
    <w:pPr>
      <w:spacing w:after="120"/>
    </w:pPr>
    <w:rPr>
      <w:b w:val="0"/>
      <w:i/>
      <w:iCs/>
      <w:lang w:val="en-US"/>
    </w:rPr>
  </w:style>
  <w:style w:type="paragraph" w:customStyle="1" w:styleId="CEOSummaryStartHere">
    <w:name w:val="CEO_Summary_StartHere"/>
    <w:rsid w:val="00061F17"/>
    <w:pPr>
      <w:spacing w:before="120" w:after="120"/>
      <w:jc w:val="center"/>
    </w:pPr>
    <w:rPr>
      <w:rFonts w:ascii="Verdana" w:eastAsia="SimHei" w:hAnsi="Verdana" w:cs="Simplified Arabic"/>
      <w:bCs/>
      <w:sz w:val="16"/>
      <w:szCs w:val="16"/>
      <w:lang w:val="fr-FR"/>
    </w:rPr>
  </w:style>
  <w:style w:type="paragraph" w:customStyle="1" w:styleId="enumlev3">
    <w:name w:val="enumlev3"/>
    <w:basedOn w:val="Normal"/>
    <w:uiPriority w:val="99"/>
    <w:rsid w:val="00061F17"/>
    <w:pPr>
      <w:tabs>
        <w:tab w:val="left" w:pos="2608"/>
        <w:tab w:val="left" w:pos="3345"/>
      </w:tabs>
      <w:spacing w:before="80"/>
      <w:ind w:left="2268" w:hanging="397"/>
      <w:jc w:val="left"/>
    </w:pPr>
    <w:rPr>
      <w:rFonts w:ascii="Times New Roman" w:eastAsia="SimSun" w:hAnsi="Times New Roman"/>
      <w:sz w:val="24"/>
      <w:szCs w:val="24"/>
      <w:lang w:val="en-GB" w:eastAsia="ja-JP"/>
    </w:rPr>
  </w:style>
  <w:style w:type="paragraph" w:customStyle="1" w:styleId="ceonormal0">
    <w:name w:val="ceonormal"/>
    <w:basedOn w:val="Normal"/>
    <w:rsid w:val="00061F17"/>
    <w:pPr>
      <w:spacing w:after="120"/>
      <w:jc w:val="left"/>
    </w:pPr>
    <w:rPr>
      <w:rFonts w:ascii="Verdana" w:eastAsia="Times New Roman" w:hAnsi="Verdana"/>
      <w:sz w:val="19"/>
      <w:szCs w:val="19"/>
      <w:lang w:val="en-US" w:eastAsia="en-US"/>
    </w:rPr>
  </w:style>
  <w:style w:type="paragraph" w:styleId="ListParagraph">
    <w:name w:val="List Paragraph"/>
    <w:basedOn w:val="Normal"/>
    <w:uiPriority w:val="34"/>
    <w:qFormat/>
    <w:rsid w:val="00061F17"/>
    <w:pPr>
      <w:spacing w:before="0" w:after="200" w:line="276" w:lineRule="auto"/>
      <w:ind w:left="720"/>
      <w:contextualSpacing/>
      <w:jc w:val="left"/>
    </w:pPr>
    <w:rPr>
      <w:rFonts w:asciiTheme="minorHAnsi" w:eastAsiaTheme="minorHAnsi" w:hAnsiTheme="minorHAnsi" w:cstheme="minorBidi"/>
      <w:sz w:val="22"/>
      <w:lang w:val="en-US" w:eastAsia="en-US"/>
    </w:rPr>
  </w:style>
  <w:style w:type="paragraph" w:styleId="BodyText">
    <w:name w:val="Body Text"/>
    <w:basedOn w:val="Normal"/>
    <w:link w:val="BodyTextChar"/>
    <w:rsid w:val="00061F17"/>
    <w:pPr>
      <w:tabs>
        <w:tab w:val="left" w:pos="794"/>
        <w:tab w:val="left" w:pos="1191"/>
        <w:tab w:val="left" w:pos="1588"/>
        <w:tab w:val="left" w:pos="1985"/>
      </w:tabs>
      <w:suppressAutoHyphens/>
      <w:overflowPunct w:val="0"/>
      <w:autoSpaceDE w:val="0"/>
      <w:spacing w:before="0" w:after="120"/>
      <w:jc w:val="left"/>
      <w:textAlignment w:val="baseline"/>
    </w:pPr>
    <w:rPr>
      <w:rFonts w:ascii="Times New Roman" w:eastAsia="Calibri" w:hAnsi="Times New Roman" w:cs="CG Times"/>
      <w:sz w:val="24"/>
      <w:szCs w:val="20"/>
      <w:lang w:val="en-GB" w:eastAsia="ar-SA"/>
    </w:rPr>
  </w:style>
  <w:style w:type="character" w:customStyle="1" w:styleId="BodyTextChar">
    <w:name w:val="Body Text Char"/>
    <w:basedOn w:val="DefaultParagraphFont"/>
    <w:link w:val="BodyText"/>
    <w:rsid w:val="00061F17"/>
    <w:rPr>
      <w:rFonts w:eastAsia="Calibri" w:cs="CG Times"/>
      <w:sz w:val="24"/>
      <w:lang w:val="en-GB" w:eastAsia="ar-SA"/>
    </w:rPr>
  </w:style>
  <w:style w:type="character" w:customStyle="1" w:styleId="a1">
    <w:name w:val="a1"/>
    <w:basedOn w:val="DefaultParagraphFont"/>
    <w:rsid w:val="00061F17"/>
    <w:rPr>
      <w:rFonts w:ascii="Trebuchet MS" w:hAnsi="Trebuchet MS"/>
      <w:noProof w:val="0"/>
      <w:color w:val="008000"/>
      <w:lang w:val="en-GB"/>
    </w:rPr>
  </w:style>
  <w:style w:type="paragraph" w:customStyle="1" w:styleId="Pa7">
    <w:name w:val="Pa7"/>
    <w:basedOn w:val="Normal"/>
    <w:next w:val="Normal"/>
    <w:uiPriority w:val="99"/>
    <w:rsid w:val="00061F17"/>
    <w:pPr>
      <w:autoSpaceDE w:val="0"/>
      <w:autoSpaceDN w:val="0"/>
      <w:adjustRightInd w:val="0"/>
      <w:spacing w:before="0" w:line="201" w:lineRule="atLeast"/>
      <w:jc w:val="left"/>
    </w:pPr>
    <w:rPr>
      <w:rFonts w:ascii="Myriad Pro" w:eastAsiaTheme="minorHAnsi" w:hAnsi="Myriad Pro" w:cstheme="minorBidi"/>
      <w:sz w:val="24"/>
      <w:szCs w:val="24"/>
      <w:lang w:val="tr-TR" w:eastAsia="en-US"/>
    </w:rPr>
  </w:style>
  <w:style w:type="paragraph" w:styleId="NormalWeb">
    <w:name w:val="Normal (Web)"/>
    <w:basedOn w:val="Normal"/>
    <w:next w:val="Normal"/>
    <w:uiPriority w:val="99"/>
    <w:rsid w:val="00061F17"/>
    <w:pPr>
      <w:autoSpaceDE w:val="0"/>
      <w:autoSpaceDN w:val="0"/>
      <w:adjustRightInd w:val="0"/>
      <w:spacing w:before="0"/>
      <w:jc w:val="left"/>
    </w:pPr>
    <w:rPr>
      <w:rFonts w:ascii="Bookman Old Style" w:eastAsiaTheme="minorHAnsi" w:hAnsi="Bookman Old Style" w:cstheme="minorBidi"/>
      <w:sz w:val="24"/>
      <w:szCs w:val="24"/>
      <w:lang w:val="tr-TR" w:eastAsia="en-US"/>
    </w:rPr>
  </w:style>
  <w:style w:type="character" w:styleId="HTMLCite">
    <w:name w:val="HTML Cite"/>
    <w:basedOn w:val="DefaultParagraphFont"/>
    <w:uiPriority w:val="99"/>
    <w:unhideWhenUsed/>
    <w:rsid w:val="00061F17"/>
    <w:rPr>
      <w:i/>
      <w:iCs/>
    </w:rPr>
  </w:style>
  <w:style w:type="paragraph" w:styleId="EndnoteText">
    <w:name w:val="endnote text"/>
    <w:basedOn w:val="Normal"/>
    <w:link w:val="EndnoteTextChar"/>
    <w:uiPriority w:val="99"/>
    <w:unhideWhenUsed/>
    <w:rsid w:val="00061F17"/>
    <w:pPr>
      <w:spacing w:before="0"/>
      <w:jc w:val="left"/>
    </w:pPr>
    <w:rPr>
      <w:rFonts w:asciiTheme="minorHAnsi" w:eastAsiaTheme="minorHAnsi" w:hAnsiTheme="minorHAnsi" w:cstheme="minorBidi"/>
      <w:sz w:val="20"/>
      <w:szCs w:val="20"/>
      <w:lang w:val="tr-TR" w:eastAsia="en-US"/>
    </w:rPr>
  </w:style>
  <w:style w:type="character" w:customStyle="1" w:styleId="EndnoteTextChar">
    <w:name w:val="Endnote Text Char"/>
    <w:basedOn w:val="DefaultParagraphFont"/>
    <w:link w:val="EndnoteText"/>
    <w:uiPriority w:val="99"/>
    <w:rsid w:val="00061F17"/>
    <w:rPr>
      <w:rFonts w:asciiTheme="minorHAnsi" w:eastAsiaTheme="minorHAnsi" w:hAnsiTheme="minorHAnsi" w:cstheme="minorBidi"/>
      <w:lang w:val="tr-TR" w:eastAsia="en-US"/>
    </w:rPr>
  </w:style>
  <w:style w:type="character" w:styleId="EndnoteReference">
    <w:name w:val="endnote reference"/>
    <w:basedOn w:val="DefaultParagraphFont"/>
    <w:uiPriority w:val="99"/>
    <w:unhideWhenUsed/>
    <w:rsid w:val="00061F17"/>
    <w:rPr>
      <w:vertAlign w:val="superscript"/>
    </w:rPr>
  </w:style>
  <w:style w:type="paragraph" w:customStyle="1" w:styleId="Heading41">
    <w:name w:val="Heading 41"/>
    <w:basedOn w:val="Normal"/>
    <w:next w:val="Normal"/>
    <w:uiPriority w:val="99"/>
    <w:rsid w:val="00061F17"/>
    <w:pPr>
      <w:autoSpaceDE w:val="0"/>
      <w:autoSpaceDN w:val="0"/>
      <w:adjustRightInd w:val="0"/>
      <w:spacing w:before="0"/>
      <w:jc w:val="left"/>
    </w:pPr>
    <w:rPr>
      <w:rFonts w:ascii="Bookman Old Style" w:eastAsiaTheme="minorHAnsi" w:hAnsi="Bookman Old Style" w:cstheme="minorBidi"/>
      <w:sz w:val="24"/>
      <w:szCs w:val="24"/>
      <w:lang w:val="tr-TR" w:eastAsia="en-US"/>
    </w:rPr>
  </w:style>
  <w:style w:type="paragraph" w:styleId="Caption">
    <w:name w:val="caption"/>
    <w:basedOn w:val="Normal"/>
    <w:next w:val="Normal"/>
    <w:qFormat/>
    <w:rsid w:val="00061F17"/>
    <w:pPr>
      <w:overflowPunct w:val="0"/>
      <w:autoSpaceDE w:val="0"/>
      <w:autoSpaceDN w:val="0"/>
      <w:adjustRightInd w:val="0"/>
      <w:spacing w:after="120"/>
      <w:jc w:val="left"/>
      <w:textAlignment w:val="baseline"/>
    </w:pPr>
    <w:rPr>
      <w:rFonts w:ascii="Times New Roman" w:eastAsia="Batang" w:hAnsi="Times New Roman"/>
      <w:b/>
      <w:sz w:val="20"/>
      <w:szCs w:val="20"/>
      <w:lang w:val="en-US" w:eastAsia="ko-KR"/>
    </w:rPr>
  </w:style>
  <w:style w:type="character" w:styleId="Strong">
    <w:name w:val="Strong"/>
    <w:basedOn w:val="DefaultParagraphFont"/>
    <w:uiPriority w:val="22"/>
    <w:qFormat/>
    <w:rsid w:val="00061F17"/>
    <w:rPr>
      <w:b/>
      <w:bCs/>
    </w:rPr>
  </w:style>
  <w:style w:type="character" w:customStyle="1" w:styleId="apple-converted-space">
    <w:name w:val="apple-converted-space"/>
    <w:basedOn w:val="DefaultParagraphFont"/>
    <w:rsid w:val="00061F17"/>
  </w:style>
  <w:style w:type="character" w:styleId="Emphasis">
    <w:name w:val="Emphasis"/>
    <w:basedOn w:val="DefaultParagraphFont"/>
    <w:uiPriority w:val="20"/>
    <w:qFormat/>
    <w:rsid w:val="00061F17"/>
    <w:rPr>
      <w:i/>
      <w:iCs/>
    </w:rPr>
  </w:style>
  <w:style w:type="character" w:styleId="CommentReference">
    <w:name w:val="annotation reference"/>
    <w:basedOn w:val="DefaultParagraphFont"/>
    <w:uiPriority w:val="99"/>
    <w:rsid w:val="00061F17"/>
    <w:rPr>
      <w:sz w:val="16"/>
      <w:szCs w:val="16"/>
    </w:rPr>
  </w:style>
  <w:style w:type="paragraph" w:styleId="CommentText">
    <w:name w:val="annotation text"/>
    <w:basedOn w:val="Normal"/>
    <w:link w:val="CommentTextChar"/>
    <w:uiPriority w:val="99"/>
    <w:rsid w:val="00061F17"/>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uiPriority w:val="99"/>
    <w:rsid w:val="00061F17"/>
    <w:rPr>
      <w:rFonts w:ascii="Verdana" w:eastAsia="SimHei" w:hAnsi="Verdana" w:cs="Simplified Arabic"/>
      <w:bCs/>
    </w:rPr>
  </w:style>
  <w:style w:type="character" w:customStyle="1" w:styleId="apple-style-span">
    <w:name w:val="apple-style-span"/>
    <w:basedOn w:val="DefaultParagraphFont"/>
    <w:rsid w:val="00061F17"/>
  </w:style>
  <w:style w:type="character" w:customStyle="1" w:styleId="CEONormalChar">
    <w:name w:val="CEO_Normal Char"/>
    <w:basedOn w:val="DefaultParagraphFont"/>
    <w:link w:val="CEONormal"/>
    <w:locked/>
    <w:rsid w:val="00061F17"/>
    <w:rPr>
      <w:rFonts w:ascii="Verdana" w:eastAsia="SimSun" w:hAnsi="Verdana"/>
      <w:sz w:val="19"/>
      <w:szCs w:val="19"/>
      <w:lang w:val="en-GB" w:eastAsia="en-US"/>
    </w:rPr>
  </w:style>
  <w:style w:type="paragraph" w:customStyle="1" w:styleId="FigureNotitle">
    <w:name w:val="Figure_No &amp; title"/>
    <w:basedOn w:val="Normal"/>
    <w:next w:val="Normal"/>
    <w:rsid w:val="00061F17"/>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ascii="Times New Roman" w:eastAsia="Times New Roman" w:hAnsi="Times New Roman"/>
      <w:b/>
      <w:sz w:val="24"/>
      <w:szCs w:val="20"/>
      <w:lang w:val="en-GB" w:eastAsia="en-US"/>
    </w:rPr>
  </w:style>
  <w:style w:type="paragraph" w:customStyle="1" w:styleId="Title1">
    <w:name w:val="Title 1"/>
    <w:basedOn w:val="Normal"/>
    <w:next w:val="Normal"/>
    <w:rsid w:val="00061F1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ascii="Times New Roman" w:eastAsia="Times New Roman" w:hAnsi="Times New Roman"/>
      <w:caps/>
      <w:sz w:val="28"/>
      <w:szCs w:val="20"/>
      <w:lang w:eastAsia="en-US"/>
    </w:rPr>
  </w:style>
  <w:style w:type="paragraph" w:styleId="TOCHeading">
    <w:name w:val="TOC Heading"/>
    <w:basedOn w:val="Heading1"/>
    <w:next w:val="Normal"/>
    <w:uiPriority w:val="39"/>
    <w:unhideWhenUsed/>
    <w:qFormat/>
    <w:rsid w:val="00061F17"/>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styleId="CommentSubject">
    <w:name w:val="annotation subject"/>
    <w:basedOn w:val="CommentText"/>
    <w:next w:val="CommentText"/>
    <w:link w:val="CommentSubjectChar"/>
    <w:uiPriority w:val="99"/>
    <w:rsid w:val="00061F17"/>
    <w:rPr>
      <w:b/>
    </w:rPr>
  </w:style>
  <w:style w:type="character" w:customStyle="1" w:styleId="CommentSubjectChar">
    <w:name w:val="Comment Subject Char"/>
    <w:basedOn w:val="CommentTextChar"/>
    <w:link w:val="CommentSubject"/>
    <w:uiPriority w:val="99"/>
    <w:rsid w:val="00061F17"/>
    <w:rPr>
      <w:rFonts w:ascii="Verdana" w:eastAsia="SimHei" w:hAnsi="Verdana" w:cs="Simplified Arabic"/>
      <w:b/>
      <w:bCs/>
    </w:rPr>
  </w:style>
  <w:style w:type="paragraph" w:customStyle="1" w:styleId="RegParagraph">
    <w:name w:val="Reg Paragraph"/>
    <w:basedOn w:val="Normal"/>
    <w:link w:val="RegParagraphChar1"/>
    <w:autoRedefine/>
    <w:rsid w:val="00061F17"/>
    <w:pPr>
      <w:widowControl w:val="0"/>
      <w:tabs>
        <w:tab w:val="left" w:pos="851"/>
        <w:tab w:val="left" w:pos="1418"/>
        <w:tab w:val="left" w:pos="1985"/>
        <w:tab w:val="left" w:pos="2552"/>
      </w:tabs>
      <w:spacing w:after="120" w:line="360" w:lineRule="auto"/>
    </w:pPr>
    <w:rPr>
      <w:rFonts w:ascii="Times New Roman" w:eastAsia="Times New Roman" w:hAnsi="Times New Roman"/>
      <w:kern w:val="28"/>
      <w:sz w:val="24"/>
      <w:szCs w:val="24"/>
      <w:lang w:val="en-GB" w:eastAsia="en-US" w:bidi="he-IL"/>
    </w:rPr>
  </w:style>
  <w:style w:type="character" w:customStyle="1" w:styleId="RegParagraphChar1">
    <w:name w:val="Reg Paragraph Char1"/>
    <w:basedOn w:val="DefaultParagraphFont"/>
    <w:link w:val="RegParagraph"/>
    <w:rsid w:val="00061F17"/>
    <w:rPr>
      <w:rFonts w:eastAsia="Times New Roman"/>
      <w:kern w:val="28"/>
      <w:sz w:val="24"/>
      <w:szCs w:val="24"/>
      <w:lang w:val="en-GB" w:eastAsia="en-US" w:bidi="he-IL"/>
    </w:rPr>
  </w:style>
  <w:style w:type="character" w:customStyle="1" w:styleId="CharChar">
    <w:name w:val="Char Char"/>
    <w:basedOn w:val="DefaultParagraphFont"/>
    <w:rsid w:val="00061F17"/>
    <w:rPr>
      <w:sz w:val="24"/>
      <w:szCs w:val="24"/>
      <w:lang w:val="en-GB" w:eastAsia="he-IL" w:bidi="he-IL"/>
    </w:rPr>
  </w:style>
  <w:style w:type="paragraph" w:customStyle="1" w:styleId="Equation">
    <w:name w:val="Equation"/>
    <w:basedOn w:val="Normal"/>
    <w:rsid w:val="00061F17"/>
    <w:pPr>
      <w:tabs>
        <w:tab w:val="left" w:pos="794"/>
        <w:tab w:val="right" w:pos="840"/>
        <w:tab w:val="center" w:pos="4820"/>
        <w:tab w:val="right" w:pos="9639"/>
      </w:tabs>
      <w:overflowPunct w:val="0"/>
      <w:autoSpaceDE w:val="0"/>
      <w:autoSpaceDN w:val="0"/>
      <w:adjustRightInd w:val="0"/>
    </w:pPr>
    <w:rPr>
      <w:rFonts w:ascii="Times New Roman" w:eastAsia="Times New Roman" w:hAnsi="Times New Roman"/>
      <w:sz w:val="24"/>
      <w:szCs w:val="20"/>
      <w:lang w:eastAsia="en-US"/>
    </w:rPr>
  </w:style>
  <w:style w:type="character" w:customStyle="1" w:styleId="CallChar">
    <w:name w:val="Call Char"/>
    <w:link w:val="Call"/>
    <w:uiPriority w:val="99"/>
    <w:rsid w:val="00061F17"/>
    <w:rPr>
      <w:rFonts w:ascii="Calibri" w:eastAsia="Times New Roman" w:hAnsi="Calibri" w:cs="Times New Roman italic"/>
      <w:i/>
      <w:sz w:val="21"/>
      <w:lang w:val="en-GB" w:eastAsia="en-US"/>
    </w:rPr>
  </w:style>
  <w:style w:type="paragraph" w:customStyle="1" w:styleId="ResNo">
    <w:name w:val="Res_No"/>
    <w:basedOn w:val="Normal"/>
    <w:next w:val="Restitle"/>
    <w:link w:val="ResNoChar"/>
    <w:uiPriority w:val="99"/>
    <w:rsid w:val="00FF79CB"/>
    <w:pPr>
      <w:keepNext/>
      <w:keepLines/>
      <w:overflowPunct w:val="0"/>
      <w:autoSpaceDE w:val="0"/>
      <w:autoSpaceDN w:val="0"/>
      <w:adjustRightInd w:val="0"/>
      <w:spacing w:before="0" w:line="280" w:lineRule="exact"/>
      <w:jc w:val="center"/>
      <w:textAlignment w:val="baseline"/>
    </w:pPr>
    <w:rPr>
      <w:rFonts w:asciiTheme="minorHAnsi" w:eastAsia="Times New Roman" w:hAnsiTheme="minorHAnsi"/>
      <w:caps/>
      <w:sz w:val="28"/>
      <w:szCs w:val="20"/>
      <w:lang w:eastAsia="en-US"/>
    </w:rPr>
  </w:style>
  <w:style w:type="paragraph" w:customStyle="1" w:styleId="Restitle">
    <w:name w:val="Res_title"/>
    <w:basedOn w:val="Normal"/>
    <w:next w:val="Resref"/>
    <w:link w:val="RestitleChar"/>
    <w:uiPriority w:val="99"/>
    <w:rsid w:val="00A11960"/>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Times New Roman" w:cs="Times New Roman Bold"/>
      <w:b/>
      <w:sz w:val="28"/>
      <w:szCs w:val="20"/>
      <w:lang w:eastAsia="en-US"/>
    </w:rPr>
  </w:style>
  <w:style w:type="paragraph" w:customStyle="1" w:styleId="Resref">
    <w:name w:val="Res_ref"/>
    <w:basedOn w:val="Normal"/>
    <w:next w:val="Normal"/>
    <w:qFormat/>
    <w:rsid w:val="00FF79CB"/>
    <w:pPr>
      <w:keepNext/>
      <w:keepLines/>
      <w:overflowPunct w:val="0"/>
      <w:autoSpaceDE w:val="0"/>
      <w:autoSpaceDN w:val="0"/>
      <w:adjustRightInd w:val="0"/>
      <w:spacing w:before="160" w:line="280" w:lineRule="exact"/>
      <w:jc w:val="center"/>
      <w:textAlignment w:val="baseline"/>
    </w:pPr>
    <w:rPr>
      <w:rFonts w:eastAsia="Times New Roman" w:cs="Times New Roman italic"/>
      <w:i/>
      <w:sz w:val="22"/>
      <w:szCs w:val="20"/>
      <w:lang w:eastAsia="en-US"/>
    </w:rPr>
  </w:style>
  <w:style w:type="character" w:customStyle="1" w:styleId="RestitleChar">
    <w:name w:val="Res_title Char"/>
    <w:link w:val="Restitle"/>
    <w:uiPriority w:val="99"/>
    <w:rsid w:val="00A11960"/>
    <w:rPr>
      <w:rFonts w:ascii="Calibri" w:eastAsia="Times New Roman" w:hAnsi="Calibri" w:cs="Times New Roman Bold"/>
      <w:b/>
      <w:sz w:val="28"/>
      <w:lang w:val="fr-FR" w:eastAsia="en-US"/>
    </w:rPr>
  </w:style>
  <w:style w:type="character" w:customStyle="1" w:styleId="ResNoChar">
    <w:name w:val="Res_No Char"/>
    <w:link w:val="ResNo"/>
    <w:uiPriority w:val="99"/>
    <w:rsid w:val="00FF79CB"/>
    <w:rPr>
      <w:rFonts w:asciiTheme="minorHAnsi" w:eastAsia="Times New Roman" w:hAnsiTheme="minorHAnsi"/>
      <w:caps/>
      <w:sz w:val="28"/>
      <w:lang w:val="fr-FR" w:eastAsia="en-US"/>
    </w:rPr>
  </w:style>
  <w:style w:type="paragraph" w:customStyle="1" w:styleId="Normalaftertitle">
    <w:name w:val="Normal after title"/>
    <w:basedOn w:val="Normal"/>
    <w:next w:val="Normal"/>
    <w:link w:val="NormalaftertitleChar"/>
    <w:uiPriority w:val="99"/>
    <w:rsid w:val="00FF79CB"/>
    <w:pPr>
      <w:tabs>
        <w:tab w:val="left" w:pos="1134"/>
        <w:tab w:val="left" w:pos="1871"/>
        <w:tab w:val="left" w:pos="2268"/>
      </w:tabs>
      <w:overflowPunct w:val="0"/>
      <w:autoSpaceDE w:val="0"/>
      <w:autoSpaceDN w:val="0"/>
      <w:adjustRightInd w:val="0"/>
      <w:spacing w:before="280"/>
      <w:textAlignment w:val="baseline"/>
    </w:pPr>
    <w:rPr>
      <w:rFonts w:eastAsia="Times New Roman"/>
      <w:sz w:val="22"/>
      <w:szCs w:val="20"/>
      <w:lang w:val="en-GB" w:eastAsia="en-US"/>
    </w:rPr>
  </w:style>
  <w:style w:type="character" w:customStyle="1" w:styleId="NormalaftertitleChar">
    <w:name w:val="Normal after title Char"/>
    <w:link w:val="Normalaftertitle"/>
    <w:uiPriority w:val="99"/>
    <w:locked/>
    <w:rsid w:val="00FF79CB"/>
    <w:rPr>
      <w:rFonts w:ascii="Calibri" w:eastAsia="Times New Roman" w:hAnsi="Calibri"/>
      <w:sz w:val="22"/>
      <w:lang w:val="en-GB" w:eastAsia="en-US"/>
    </w:rPr>
  </w:style>
  <w:style w:type="paragraph" w:customStyle="1" w:styleId="FootnoteTextS2">
    <w:name w:val="Footnote Text_S2"/>
    <w:basedOn w:val="FootnoteText"/>
    <w:uiPriority w:val="99"/>
    <w:rsid w:val="00061F17"/>
    <w:pPr>
      <w:keepLines/>
      <w:tabs>
        <w:tab w:val="clear" w:pos="284"/>
        <w:tab w:val="left" w:pos="851"/>
      </w:tabs>
      <w:overflowPunct w:val="0"/>
      <w:autoSpaceDE w:val="0"/>
      <w:autoSpaceDN w:val="0"/>
      <w:adjustRightInd w:val="0"/>
      <w:spacing w:before="120"/>
      <w:textAlignment w:val="baseline"/>
    </w:pPr>
    <w:rPr>
      <w:rFonts w:ascii="Calibri" w:eastAsia="Times New Roman" w:hAnsi="Calibri" w:cs="Times New Roman"/>
      <w:b/>
      <w:sz w:val="24"/>
    </w:rPr>
  </w:style>
  <w:style w:type="paragraph" w:styleId="NoSpacing">
    <w:name w:val="No Spacing"/>
    <w:qFormat/>
    <w:rsid w:val="00061F17"/>
    <w:rPr>
      <w:rFonts w:ascii="Calibri" w:eastAsia="Calibri" w:hAnsi="Calibri"/>
      <w:sz w:val="22"/>
      <w:szCs w:val="22"/>
      <w:lang w:eastAsia="en-US"/>
    </w:rPr>
  </w:style>
  <w:style w:type="table" w:customStyle="1" w:styleId="Style1">
    <w:name w:val="Style1"/>
    <w:basedOn w:val="TableNormal"/>
    <w:uiPriority w:val="99"/>
    <w:rsid w:val="007116B1"/>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005173"/>
      </w:tcPr>
    </w:tblStylePr>
    <w:tblStylePr w:type="band1Horz">
      <w:tblPr/>
      <w:tcPr>
        <w:shd w:val="clear" w:color="auto" w:fill="E8F8FD"/>
      </w:tcPr>
    </w:tblStylePr>
    <w:tblStylePr w:type="band2Horz">
      <w:tblPr/>
      <w:tcPr>
        <w:shd w:val="clear" w:color="auto" w:fill="FFFFFF" w:themeFill="background1"/>
      </w:tcPr>
    </w:tblStylePr>
  </w:style>
  <w:style w:type="paragraph" w:customStyle="1" w:styleId="CEODocTitle2lines-Second">
    <w:name w:val="CEO_DocTitle2lines-Second"/>
    <w:basedOn w:val="CEODocTitle2lines-First"/>
    <w:rsid w:val="001B6FDC"/>
    <w:pPr>
      <w:spacing w:before="0" w:after="480"/>
    </w:pPr>
  </w:style>
  <w:style w:type="paragraph" w:customStyle="1" w:styleId="CEODocTitle2lines-First">
    <w:name w:val="CEO_DocTitle2lines-First"/>
    <w:basedOn w:val="CEODocTitle-1line"/>
    <w:next w:val="Normal"/>
    <w:rsid w:val="001B6FDC"/>
    <w:pPr>
      <w:spacing w:after="0"/>
    </w:pPr>
  </w:style>
  <w:style w:type="paragraph" w:customStyle="1" w:styleId="CEODocTitle-1line">
    <w:name w:val="CEO_DocTitle-1line"/>
    <w:basedOn w:val="Normal"/>
    <w:next w:val="Normal"/>
    <w:rsid w:val="001B6FDC"/>
    <w:pPr>
      <w:tabs>
        <w:tab w:val="left" w:pos="851"/>
      </w:tabs>
      <w:spacing w:before="480" w:after="480"/>
      <w:jc w:val="center"/>
    </w:pPr>
    <w:rPr>
      <w:rFonts w:ascii="Verdana" w:eastAsia="SimHei" w:hAnsi="Verdana"/>
      <w:b/>
      <w:bCs/>
      <w:sz w:val="28"/>
      <w:szCs w:val="28"/>
      <w:lang w:val="en-US" w:eastAsia="en-US"/>
    </w:rPr>
  </w:style>
  <w:style w:type="paragraph" w:customStyle="1" w:styleId="CEOcontributionH1">
    <w:name w:val="CEO_contributionH1"/>
    <w:basedOn w:val="CEOcontribution-H123"/>
    <w:next w:val="CEONormal"/>
    <w:rsid w:val="001B6FDC"/>
    <w:pPr>
      <w:keepNext/>
      <w:keepLines/>
      <w:tabs>
        <w:tab w:val="clear" w:pos="567"/>
      </w:tabs>
      <w:spacing w:before="360"/>
      <w:ind w:left="0" w:firstLine="0"/>
    </w:pPr>
  </w:style>
  <w:style w:type="paragraph" w:customStyle="1" w:styleId="CEOcontribution-H123">
    <w:name w:val="CEO_contribution-H123"/>
    <w:basedOn w:val="Normal"/>
    <w:rsid w:val="001B6FDC"/>
    <w:pPr>
      <w:tabs>
        <w:tab w:val="num" w:pos="567"/>
        <w:tab w:val="left" w:pos="851"/>
      </w:tabs>
      <w:ind w:left="567" w:hanging="567"/>
      <w:jc w:val="left"/>
    </w:pPr>
    <w:rPr>
      <w:rFonts w:ascii="Verdana" w:eastAsia="SimHei" w:hAnsi="Verdana"/>
      <w:b/>
      <w:sz w:val="18"/>
      <w:szCs w:val="19"/>
      <w:lang w:val="en-GB" w:eastAsia="en-US"/>
    </w:rPr>
  </w:style>
  <w:style w:type="paragraph" w:customStyle="1" w:styleId="CEOAgendaItemN">
    <w:name w:val="CEO_AgendaItemN°"/>
    <w:basedOn w:val="CEOIndent1-123"/>
    <w:rsid w:val="001B6FDC"/>
    <w:pPr>
      <w:numPr>
        <w:numId w:val="0"/>
      </w:numPr>
      <w:tabs>
        <w:tab w:val="left" w:pos="851"/>
      </w:tabs>
      <w:ind w:right="12"/>
      <w:jc w:val="right"/>
    </w:pPr>
    <w:rPr>
      <w:rFonts w:cs="Times New Roman"/>
      <w:sz w:val="18"/>
    </w:rPr>
  </w:style>
  <w:style w:type="paragraph" w:customStyle="1" w:styleId="CEODocDates">
    <w:name w:val="CEO_DocDates"/>
    <w:basedOn w:val="Normal"/>
    <w:next w:val="Normal"/>
    <w:rsid w:val="001B6FDC"/>
    <w:pPr>
      <w:tabs>
        <w:tab w:val="left" w:pos="851"/>
      </w:tabs>
      <w:spacing w:before="0"/>
      <w:jc w:val="left"/>
    </w:pPr>
    <w:rPr>
      <w:rFonts w:ascii="Verdana" w:eastAsia="SimHei" w:hAnsi="Verdana"/>
      <w:b/>
      <w:sz w:val="18"/>
      <w:szCs w:val="19"/>
      <w:lang w:val="en-GB" w:eastAsia="en-US"/>
    </w:rPr>
  </w:style>
  <w:style w:type="paragraph" w:customStyle="1" w:styleId="CEODocNo">
    <w:name w:val="CEO_DocNo"/>
    <w:basedOn w:val="Normal"/>
    <w:next w:val="Normal"/>
    <w:rsid w:val="001B6FDC"/>
    <w:pPr>
      <w:tabs>
        <w:tab w:val="left" w:pos="851"/>
      </w:tabs>
      <w:spacing w:before="0"/>
      <w:jc w:val="left"/>
    </w:pPr>
    <w:rPr>
      <w:rFonts w:ascii="Verdana" w:eastAsia="SimHei" w:hAnsi="Verdana"/>
      <w:b/>
      <w:sz w:val="18"/>
      <w:szCs w:val="19"/>
      <w:lang w:val="en-GB" w:eastAsia="en-US"/>
    </w:rPr>
  </w:style>
  <w:style w:type="paragraph" w:customStyle="1" w:styleId="CEODocNoDetails">
    <w:name w:val="CEO_DocNoDetails"/>
    <w:basedOn w:val="Normal"/>
    <w:rsid w:val="001B6FDC"/>
    <w:pPr>
      <w:tabs>
        <w:tab w:val="left" w:pos="851"/>
      </w:tabs>
      <w:spacing w:before="80" w:after="80"/>
      <w:jc w:val="center"/>
    </w:pPr>
    <w:rPr>
      <w:rFonts w:ascii="Verdana" w:eastAsia="SimHei" w:hAnsi="Verdana"/>
      <w:bCs/>
      <w:sz w:val="18"/>
      <w:szCs w:val="19"/>
      <w:lang w:val="en-GB" w:eastAsia="en-US"/>
    </w:rPr>
  </w:style>
  <w:style w:type="paragraph" w:customStyle="1" w:styleId="CEOEmdashList">
    <w:name w:val="CEO_EmdashList"/>
    <w:basedOn w:val="CEONormal"/>
    <w:rsid w:val="001B6FDC"/>
    <w:pPr>
      <w:tabs>
        <w:tab w:val="left" w:pos="567"/>
      </w:tabs>
      <w:spacing w:before="0"/>
    </w:pPr>
    <w:rPr>
      <w:sz w:val="18"/>
      <w:lang w:val="en-US"/>
    </w:rPr>
  </w:style>
  <w:style w:type="paragraph" w:customStyle="1" w:styleId="CEOConsidering">
    <w:name w:val="CEO_Considering"/>
    <w:basedOn w:val="CEONormal"/>
    <w:rsid w:val="001B6FDC"/>
    <w:pPr>
      <w:keepNext/>
      <w:keepLines/>
      <w:tabs>
        <w:tab w:val="left" w:pos="567"/>
      </w:tabs>
      <w:spacing w:before="0" w:after="120"/>
      <w:ind w:left="851"/>
    </w:pPr>
    <w:rPr>
      <w:i/>
      <w:iCs/>
      <w:sz w:val="18"/>
      <w:lang w:val="en-US"/>
    </w:rPr>
  </w:style>
  <w:style w:type="paragraph" w:customStyle="1" w:styleId="CEOEndBar">
    <w:name w:val="CEO_EndBar"/>
    <w:basedOn w:val="CEONormal"/>
    <w:rsid w:val="001B6FDC"/>
    <w:pPr>
      <w:tabs>
        <w:tab w:val="left" w:pos="567"/>
      </w:tabs>
      <w:spacing w:before="0" w:after="120"/>
      <w:jc w:val="center"/>
    </w:pPr>
    <w:rPr>
      <w:sz w:val="18"/>
      <w:lang w:val="en-US"/>
    </w:rPr>
  </w:style>
  <w:style w:type="paragraph" w:customStyle="1" w:styleId="CEOExtract">
    <w:name w:val="CEO_Extract"/>
    <w:basedOn w:val="CEONormal"/>
    <w:rsid w:val="001B6FDC"/>
    <w:pPr>
      <w:keepNext/>
      <w:keepLines/>
      <w:tabs>
        <w:tab w:val="left" w:pos="567"/>
      </w:tabs>
      <w:spacing w:before="0" w:after="120"/>
    </w:pPr>
    <w:rPr>
      <w:sz w:val="18"/>
      <w:lang w:val="en-US"/>
    </w:rPr>
  </w:style>
  <w:style w:type="paragraph" w:customStyle="1" w:styleId="CEOActionRequired">
    <w:name w:val="CEO_ActionRequired"/>
    <w:basedOn w:val="CEONormal"/>
    <w:rsid w:val="001B6FDC"/>
    <w:pPr>
      <w:tabs>
        <w:tab w:val="left" w:pos="567"/>
        <w:tab w:val="left" w:pos="1928"/>
      </w:tabs>
      <w:spacing w:before="0"/>
    </w:pPr>
    <w:rPr>
      <w:b/>
      <w:sz w:val="18"/>
      <w:lang w:val="en-US"/>
    </w:rPr>
  </w:style>
  <w:style w:type="paragraph" w:customStyle="1" w:styleId="CEOAbstract">
    <w:name w:val="CEO_Abstract"/>
    <w:rsid w:val="001B6FDC"/>
    <w:pPr>
      <w:spacing w:before="360" w:after="120"/>
    </w:pPr>
    <w:rPr>
      <w:rFonts w:ascii="Verdana" w:eastAsia="SimHei" w:hAnsi="Verdana" w:cs="Simplified Arabic"/>
      <w:b/>
      <w:sz w:val="18"/>
      <w:szCs w:val="22"/>
      <w:lang w:val="fr-CA"/>
    </w:rPr>
  </w:style>
  <w:style w:type="paragraph" w:customStyle="1" w:styleId="CEOActionRequiredDetails">
    <w:name w:val="CEO_ActionRequiredDetails"/>
    <w:rsid w:val="001B6FDC"/>
    <w:pPr>
      <w:spacing w:before="120"/>
    </w:pPr>
    <w:rPr>
      <w:rFonts w:ascii="Verdana" w:eastAsia="SimSun" w:hAnsi="Verdana"/>
      <w:bCs/>
      <w:sz w:val="18"/>
      <w:szCs w:val="19"/>
      <w:lang w:val="en-GB" w:eastAsia="en-US"/>
    </w:rPr>
  </w:style>
  <w:style w:type="paragraph" w:customStyle="1" w:styleId="CEOAgendaItemIndent">
    <w:name w:val="CEO_AgendaItemIndent"/>
    <w:basedOn w:val="Normal"/>
    <w:uiPriority w:val="99"/>
    <w:rsid w:val="001B6FDC"/>
    <w:pPr>
      <w:tabs>
        <w:tab w:val="left" w:pos="459"/>
        <w:tab w:val="left" w:pos="851"/>
      </w:tabs>
      <w:spacing w:before="60" w:after="60"/>
      <w:ind w:left="34" w:right="12"/>
      <w:jc w:val="left"/>
    </w:pPr>
    <w:rPr>
      <w:rFonts w:ascii="Verdana" w:eastAsia="SimSun" w:hAnsi="Verdana"/>
      <w:sz w:val="18"/>
      <w:szCs w:val="19"/>
      <w:lang w:val="en-US" w:eastAsia="en-US"/>
    </w:rPr>
  </w:style>
  <w:style w:type="paragraph" w:customStyle="1" w:styleId="Reasons">
    <w:name w:val="Reasons"/>
    <w:basedOn w:val="Normal"/>
    <w:qFormat/>
    <w:rsid w:val="001B6FDC"/>
    <w:pPr>
      <w:tabs>
        <w:tab w:val="left" w:pos="851"/>
      </w:tabs>
      <w:spacing w:before="0"/>
      <w:jc w:val="left"/>
    </w:pPr>
    <w:rPr>
      <w:rFonts w:ascii="Times New Roman" w:eastAsia="Times New Roman" w:hAnsi="Times New Roman"/>
      <w:sz w:val="24"/>
      <w:szCs w:val="20"/>
      <w:lang w:val="en-US" w:eastAsia="en-US"/>
    </w:rPr>
  </w:style>
  <w:style w:type="character" w:customStyle="1" w:styleId="hps">
    <w:name w:val="hps"/>
    <w:basedOn w:val="DefaultParagraphFont"/>
    <w:uiPriority w:val="99"/>
    <w:rsid w:val="001B6FDC"/>
    <w:rPr>
      <w:rFonts w:cs="Times New Roman"/>
    </w:rPr>
  </w:style>
  <w:style w:type="paragraph" w:styleId="ListBullet3">
    <w:name w:val="List Bullet 3"/>
    <w:basedOn w:val="Normal"/>
    <w:autoRedefine/>
    <w:rsid w:val="001B6FDC"/>
    <w:pPr>
      <w:numPr>
        <w:numId w:val="21"/>
      </w:numPr>
      <w:tabs>
        <w:tab w:val="left" w:pos="851"/>
      </w:tabs>
      <w:spacing w:before="0"/>
      <w:jc w:val="left"/>
    </w:pPr>
    <w:rPr>
      <w:rFonts w:ascii="Times New Roman" w:eastAsia="Times New Roman" w:hAnsi="Times New Roman"/>
      <w:sz w:val="24"/>
      <w:szCs w:val="20"/>
      <w:lang w:val="en-US" w:eastAsia="en-US"/>
    </w:rPr>
  </w:style>
  <w:style w:type="paragraph" w:styleId="TableofFigures">
    <w:name w:val="table of figures"/>
    <w:basedOn w:val="Normal"/>
    <w:next w:val="Normal"/>
    <w:uiPriority w:val="99"/>
    <w:rsid w:val="001B6FDC"/>
    <w:pPr>
      <w:tabs>
        <w:tab w:val="left" w:pos="851"/>
      </w:tabs>
      <w:jc w:val="left"/>
    </w:pPr>
    <w:rPr>
      <w:rFonts w:ascii="Verdana" w:eastAsia="SimHei" w:hAnsi="Verdana" w:cs="Simplified Arabic"/>
      <w:bCs/>
      <w:sz w:val="19"/>
      <w:szCs w:val="28"/>
      <w:lang w:val="en-US" w:eastAsia="zh-CN"/>
    </w:rPr>
  </w:style>
  <w:style w:type="paragraph" w:customStyle="1" w:styleId="Headingb0">
    <w:name w:val="Heading_b"/>
    <w:basedOn w:val="Heading3"/>
    <w:next w:val="Normal"/>
    <w:uiPriority w:val="99"/>
    <w:rsid w:val="008A262D"/>
    <w:pPr>
      <w:keepLines/>
      <w:tabs>
        <w:tab w:val="left" w:pos="794"/>
        <w:tab w:val="left" w:pos="1134"/>
        <w:tab w:val="left" w:pos="1701"/>
        <w:tab w:val="left" w:pos="2268"/>
        <w:tab w:val="left" w:pos="2835"/>
      </w:tabs>
      <w:overflowPunct w:val="0"/>
      <w:autoSpaceDE w:val="0"/>
      <w:autoSpaceDN w:val="0"/>
      <w:adjustRightInd w:val="0"/>
      <w:spacing w:before="160"/>
      <w:jc w:val="left"/>
      <w:textAlignment w:val="baseline"/>
      <w:outlineLvl w:val="0"/>
    </w:pPr>
    <w:rPr>
      <w:rFonts w:asciiTheme="minorHAnsi" w:hAnsiTheme="minorHAnsi" w:cs="Times New Roman"/>
      <w:bCs w:val="0"/>
      <w:i w:val="0"/>
      <w:iCs w:val="0"/>
      <w:color w:val="auto"/>
      <w:sz w:val="18"/>
      <w:szCs w:val="20"/>
      <w:lang w:val="en-GB" w:eastAsia="en-US"/>
    </w:rPr>
  </w:style>
  <w:style w:type="paragraph" w:customStyle="1" w:styleId="FiguresandTables">
    <w:name w:val="Figures and Tables"/>
    <w:basedOn w:val="Normal"/>
    <w:qFormat/>
    <w:rsid w:val="001B6FDC"/>
    <w:pPr>
      <w:keepNext/>
      <w:tabs>
        <w:tab w:val="left" w:pos="794"/>
        <w:tab w:val="left" w:pos="851"/>
      </w:tabs>
      <w:spacing w:before="240" w:after="120"/>
      <w:jc w:val="center"/>
    </w:pPr>
    <w:rPr>
      <w:rFonts w:ascii="Verdana" w:eastAsia="SimHei" w:hAnsi="Verdana" w:cs="Simplified Arabic"/>
      <w:b/>
      <w:sz w:val="18"/>
      <w:szCs w:val="28"/>
      <w:lang w:val="ru-R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header" Target="header7.xml"/><Relationship Id="rId21" Type="http://schemas.openxmlformats.org/officeDocument/2006/relationships/image" Target="media/image4.png"/><Relationship Id="rId42" Type="http://schemas.openxmlformats.org/officeDocument/2006/relationships/package" Target="embeddings/Microsoft_Excel_Worksheet4.xlsx"/><Relationship Id="rId47" Type="http://schemas.openxmlformats.org/officeDocument/2006/relationships/hyperlink" Target="http://www.itu.int/md/D10-SG01-INF-0034/" TargetMode="External"/><Relationship Id="rId63" Type="http://schemas.openxmlformats.org/officeDocument/2006/relationships/hyperlink" Target="http://eur-lex.europa.eu/LexUriServ/LexUriServ.do?uri=OJ:L:2004:184:0001:0009:EN:PDF" TargetMode="External"/><Relationship Id="rId68" Type="http://schemas.openxmlformats.org/officeDocument/2006/relationships/hyperlink" Target="http://www.gpo.gov/fdsys/pkg/CFR-2011-title47-vol1/xml/CFR-2011-title47-vol1-sec1-1310.xml" TargetMode="External"/><Relationship Id="rId84" Type="http://schemas.openxmlformats.org/officeDocument/2006/relationships/hyperlink" Target="http://www.itu.int/pub/R-HDB-23-2011" TargetMode="External"/><Relationship Id="rId89" Type="http://schemas.openxmlformats.org/officeDocument/2006/relationships/hyperlink" Target="http://www.itu.int/ITU-T/recommendations/rec.aspx?rec=9139" TargetMode="External"/><Relationship Id="rId112" Type="http://schemas.openxmlformats.org/officeDocument/2006/relationships/hyperlink" Target="http://www.who.int/mediacentre/factsheets/fs193/en/index.html" TargetMode="External"/><Relationship Id="rId16" Type="http://schemas.openxmlformats.org/officeDocument/2006/relationships/header" Target="header4.xml"/><Relationship Id="rId107" Type="http://schemas.openxmlformats.org/officeDocument/2006/relationships/hyperlink" Target="http://old.sviva.gov.il/bin/en.jsp?enPage=e_BlankPage&amp;enDisplay=view&amp;enDispWhat=Object&amp;enDispWho=Articals%5el6805&amp;enZone=non_ionizing" TargetMode="External"/><Relationship Id="rId11" Type="http://schemas.openxmlformats.org/officeDocument/2006/relationships/header" Target="header2.xml"/><Relationship Id="rId24" Type="http://schemas.openxmlformats.org/officeDocument/2006/relationships/hyperlink" Target="mailto:miguel.alcaine@itu.int" TargetMode="External"/><Relationship Id="rId32" Type="http://schemas.openxmlformats.org/officeDocument/2006/relationships/hyperlink" Target="http://www.dot.gov.in/2013/DOT%20Advt%20modified%201%20Dec%202012-final-hindi%20version.pdf" TargetMode="External"/><Relationship Id="rId37" Type="http://schemas.openxmlformats.org/officeDocument/2006/relationships/image" Target="media/image7.emf"/><Relationship Id="rId40" Type="http://schemas.openxmlformats.org/officeDocument/2006/relationships/package" Target="embeddings/Microsoft_Excel_Worksheet3.xlsx"/><Relationship Id="rId45" Type="http://schemas.openxmlformats.org/officeDocument/2006/relationships/image" Target="media/image11.emf"/><Relationship Id="rId53" Type="http://schemas.openxmlformats.org/officeDocument/2006/relationships/hyperlink" Target="http://www.itu.int/md/D10-SG01-INF-0018/" TargetMode="External"/><Relationship Id="rId58" Type="http://schemas.openxmlformats.org/officeDocument/2006/relationships/hyperlink" Target="http://www.iec.ch/" TargetMode="External"/><Relationship Id="rId66" Type="http://schemas.openxmlformats.org/officeDocument/2006/relationships/hyperlink" Target="http://transition.fcc.gov/Bureaus/Engineering_Technology/Documents/bulletins/oet65/oet65b.pdf" TargetMode="External"/><Relationship Id="rId74" Type="http://schemas.openxmlformats.org/officeDocument/2006/relationships/hyperlink" Target="http://monographs.iarc.fr/ENG/Monographs/vol102/mono102.pdf" TargetMode="External"/><Relationship Id="rId79" Type="http://schemas.openxmlformats.org/officeDocument/2006/relationships/hyperlink" Target="http://webstore.iec.ch/webstore/webstore.nsf/artnum/033746" TargetMode="External"/><Relationship Id="rId87" Type="http://schemas.openxmlformats.org/officeDocument/2006/relationships/hyperlink" Target="http://www.itu.int/ITU-T/studygroups/com05/" TargetMode="External"/><Relationship Id="rId102" Type="http://schemas.openxmlformats.org/officeDocument/2006/relationships/hyperlink" Target="http://www.mtt-tpms.org/symposia_v6/COMCAS2009/fileuploads/292-JI4GGWYnIdKk-2.pdf" TargetMode="External"/><Relationship Id="rId110" Type="http://schemas.openxmlformats.org/officeDocument/2006/relationships/hyperlink" Target="http://oem.bmj.com/content/66/8/550.full.pdf+html" TargetMode="External"/><Relationship Id="rId115" Type="http://schemas.openxmlformats.org/officeDocument/2006/relationships/hyperlink" Target="http://www.itu.int/ITU-D/ict/facts/2011/material/ICTFactsFigures2011.pdf" TargetMode="External"/><Relationship Id="rId5" Type="http://schemas.openxmlformats.org/officeDocument/2006/relationships/settings" Target="settings.xml"/><Relationship Id="rId61" Type="http://schemas.openxmlformats.org/officeDocument/2006/relationships/hyperlink" Target="http://www.cenelec.eu/dyn/www/f?p=104:110:3556960516540125::::FSP_PROJECT:14880" TargetMode="External"/><Relationship Id="rId82" Type="http://schemas.openxmlformats.org/officeDocument/2006/relationships/hyperlink" Target="http://standards.ieee.org/findstds/standard/1528-2003.html" TargetMode="External"/><Relationship Id="rId90" Type="http://schemas.openxmlformats.org/officeDocument/2006/relationships/hyperlink" Target="http://www.itu.int/ITU-T/recommendations/rec.aspx?rec=9140&amp;lang=en" TargetMode="External"/><Relationship Id="rId95" Type="http://schemas.openxmlformats.org/officeDocument/2006/relationships/hyperlink" Target="http://www.itu.int/rec/T-REC-K.91-201205-I" TargetMode="External"/><Relationship Id="rId19" Type="http://schemas.openxmlformats.org/officeDocument/2006/relationships/hyperlink" Target="http://www.itu.int/md/D10-SG01-c-0278" TargetMode="Externa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footer" Target="footer6.xml"/><Relationship Id="rId30" Type="http://schemas.openxmlformats.org/officeDocument/2006/relationships/hyperlink" Target="http://www.dot.gov.in/2013/Eng_final.pdf%20dated%2015-01-2013.pdf" TargetMode="External"/><Relationship Id="rId35" Type="http://schemas.openxmlformats.org/officeDocument/2006/relationships/image" Target="media/image6.emf"/><Relationship Id="rId43" Type="http://schemas.openxmlformats.org/officeDocument/2006/relationships/image" Target="media/image10.emf"/><Relationship Id="rId48" Type="http://schemas.openxmlformats.org/officeDocument/2006/relationships/hyperlink" Target="http://www.itu.int/md/D10-SG01-C-0088/" TargetMode="External"/><Relationship Id="rId56" Type="http://schemas.openxmlformats.org/officeDocument/2006/relationships/hyperlink" Target="http://www.icnirp.org" TargetMode="External"/><Relationship Id="rId64" Type="http://schemas.openxmlformats.org/officeDocument/2006/relationships/hyperlink" Target="http://transition.fcc.gov/Bureaus/Engineering_Technology/Documents/bulletins/oet65/oet65.pdf" TargetMode="External"/><Relationship Id="rId69" Type="http://schemas.openxmlformats.org/officeDocument/2006/relationships/hyperlink" Target="http://ecfr.gpoaccess.gov/cgi/t/text/text-idx?c=ecfr&amp;sid=e28e4f93164e296912c3ab9b5964ddde&amp;rgn=div8&amp;view=text&amp;node=47:1.0.1.1.3.9.226.62&amp;idno=47" TargetMode="External"/><Relationship Id="rId77" Type="http://schemas.openxmlformats.org/officeDocument/2006/relationships/hyperlink" Target="http://www.icnirp.de/documents/StatementEMF.pdf" TargetMode="External"/><Relationship Id="rId100" Type="http://schemas.openxmlformats.org/officeDocument/2006/relationships/hyperlink" Target="http://eprints.mdx.ac.uk/133/2/MazarAug08.pdf" TargetMode="External"/><Relationship Id="rId105" Type="http://schemas.openxmlformats.org/officeDocument/2006/relationships/hyperlink" Target="http://www.ituworld2011.com/published/ituworld2011/sessions/TS11/TS11_Nghinamundova-A%20Comparison%20Between%20European%20and%20North%20American%20Wireless%20Regulations-Mazar.pdf" TargetMode="External"/><Relationship Id="rId113" Type="http://schemas.openxmlformats.org/officeDocument/2006/relationships/hyperlink" Target="http://www.who.int/mediacentre/factsheets/fs193/en/index.html" TargetMode="External"/><Relationship Id="rId118"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hyperlink" Target="http://www.itu.int/md/D10-SG01-C-0082" TargetMode="External"/><Relationship Id="rId72" Type="http://schemas.openxmlformats.org/officeDocument/2006/relationships/hyperlink" Target="http://www.iarc.fr/en/media-centre/pr/2011/pdfs/pr208_E.pdf" TargetMode="External"/><Relationship Id="rId80" Type="http://schemas.openxmlformats.org/officeDocument/2006/relationships/hyperlink" Target="http://webstore.iec.ch/webstore/webstore.nsf/artnum/045152!opendocument" TargetMode="External"/><Relationship Id="rId85" Type="http://schemas.openxmlformats.org/officeDocument/2006/relationships/hyperlink" Target="http://www.itu.int/rec/R-REC-BS/recommendation.asp?lang=en&amp;parent=R-REC-BS.1698" TargetMode="External"/><Relationship Id="rId93" Type="http://schemas.openxmlformats.org/officeDocument/2006/relationships/hyperlink" Target="http://www.itu.int/rec/T-REC-K.70-201105-I!Amd2" TargetMode="External"/><Relationship Id="rId98" Type="http://schemas.openxmlformats.org/officeDocument/2006/relationships/hyperlink" Target="http://www.tele.soumu.go.jp/resource/j/ele/body/emf_pamphlet.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5.xml"/><Relationship Id="rId33" Type="http://schemas.openxmlformats.org/officeDocument/2006/relationships/hyperlink" Target="http://www.dot.gov.in/" TargetMode="External"/><Relationship Id="rId38" Type="http://schemas.openxmlformats.org/officeDocument/2006/relationships/package" Target="embeddings/Microsoft_Excel_Worksheet2.xlsx"/><Relationship Id="rId46" Type="http://schemas.openxmlformats.org/officeDocument/2006/relationships/package" Target="embeddings/Microsoft_Excel_Worksheet6.xlsx"/><Relationship Id="rId59" Type="http://schemas.openxmlformats.org/officeDocument/2006/relationships/hyperlink" Target="http://www.cenelec.org" TargetMode="External"/><Relationship Id="rId67" Type="http://schemas.openxmlformats.org/officeDocument/2006/relationships/hyperlink" Target="http://transition.fcc.gov/Bureaus/Engineering_Technology/Documents/bulletins/oet65/oet65c.pdf" TargetMode="External"/><Relationship Id="rId103" Type="http://schemas.openxmlformats.org/officeDocument/2006/relationships/hyperlink" Target="http://www.comcas.org/" TargetMode="External"/><Relationship Id="rId108" Type="http://schemas.openxmlformats.org/officeDocument/2006/relationships/hyperlink" Target="http://www.hpa.org.uk/webc/HPAwebFile/HPAweb_C/1194947415497" TargetMode="External"/><Relationship Id="rId116" Type="http://schemas.openxmlformats.org/officeDocument/2006/relationships/hyperlink" Target="http://www.itu.int/en/ITU-D/Statistics/Documents/facts/ICTFactsFigures2013.pdf" TargetMode="External"/><Relationship Id="rId20" Type="http://schemas.openxmlformats.org/officeDocument/2006/relationships/image" Target="media/image3.png"/><Relationship Id="rId41" Type="http://schemas.openxmlformats.org/officeDocument/2006/relationships/image" Target="media/image9.emf"/><Relationship Id="rId54" Type="http://schemas.openxmlformats.org/officeDocument/2006/relationships/hyperlink" Target="http://www.itu.int/md/D10-SG01-C-0228/" TargetMode="External"/><Relationship Id="rId62" Type="http://schemas.openxmlformats.org/officeDocument/2006/relationships/hyperlink" Target="http://ec.europa.eu/enterprise/sectors/electrical/files/lv/rec519_en.pdf" TargetMode="External"/><Relationship Id="rId70" Type="http://schemas.openxmlformats.org/officeDocument/2006/relationships/hyperlink" Target="http://transition.fcc.gov/Daily_Releases/Daily_Business/2013/db0329/FCC-13-39A1.pdf" TargetMode="External"/><Relationship Id="rId75" Type="http://schemas.openxmlformats.org/officeDocument/2006/relationships/hyperlink" Target="http://monographs.iarc.fr/ENG/Monographs/vol102/index.php" TargetMode="External"/><Relationship Id="rId83" Type="http://schemas.openxmlformats.org/officeDocument/2006/relationships/hyperlink" Target="http://standards.ieee.org/getieee/C95/download/C95.1-2005.pdf" TargetMode="External"/><Relationship Id="rId88" Type="http://schemas.openxmlformats.org/officeDocument/2006/relationships/hyperlink" Target="http://www.itu.int/rec/T-REC-K.52-200412-I" TargetMode="External"/><Relationship Id="rId91" Type="http://schemas.openxmlformats.org/officeDocument/2006/relationships/hyperlink" Target="http://www.itu.int/rec/T-REC-K.70-201105-I!Amd2" TargetMode="External"/><Relationship Id="rId96" Type="http://schemas.openxmlformats.org/officeDocument/2006/relationships/hyperlink" Target="http://www.who.int/docstore/peh-emf/EMFStandards/who-0102/Asia/Japan_files/table_ja.htm" TargetMode="External"/><Relationship Id="rId111" Type="http://schemas.openxmlformats.org/officeDocument/2006/relationships/hyperlink" Target="http://whqlibdoc.who.int/publications/2007/9789241595612_eng.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hectormario.carril@ties.itu.int" TargetMode="External"/><Relationship Id="rId28" Type="http://schemas.openxmlformats.org/officeDocument/2006/relationships/chart" Target="charts/chart1.xml"/><Relationship Id="rId36" Type="http://schemas.openxmlformats.org/officeDocument/2006/relationships/package" Target="embeddings/Microsoft_Excel_Worksheet1.xlsx"/><Relationship Id="rId49" Type="http://schemas.openxmlformats.org/officeDocument/2006/relationships/hyperlink" Target="http://www.itu.int/md/D10-SG01-C-0181/" TargetMode="External"/><Relationship Id="rId57" Type="http://schemas.openxmlformats.org/officeDocument/2006/relationships/hyperlink" Target="http://grouper.ieee.org/groups/scc28" TargetMode="External"/><Relationship Id="rId106" Type="http://schemas.openxmlformats.org/officeDocument/2006/relationships/hyperlink" Target="http://www.itu.int/worl2011" TargetMode="External"/><Relationship Id="rId114" Type="http://schemas.openxmlformats.org/officeDocument/2006/relationships/hyperlink" Target="http://www.who.int/docstore/peh-emf/EMFStandards/who-0102/Worldmap5.htm" TargetMode="External"/><Relationship Id="rId119"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http://www.dot.gov.in/2013/DOT%20Advt%20modified%201%20Dec%202012-final-hindi%20version.pdf" TargetMode="External"/><Relationship Id="rId44" Type="http://schemas.openxmlformats.org/officeDocument/2006/relationships/package" Target="embeddings/Microsoft_Excel_Worksheet5.xlsx"/><Relationship Id="rId52" Type="http://schemas.openxmlformats.org/officeDocument/2006/relationships/hyperlink" Target="http://www.itu.int/md/D10-RGQ23.1-C-0015/" TargetMode="External"/><Relationship Id="rId60" Type="http://schemas.openxmlformats.org/officeDocument/2006/relationships/hyperlink" Target="http://www.sviva.gov.il/subjectsEnv/Radiation/Communication_Facilities/cellular/Documents/shidur_selulariim_peilim_1.xls" TargetMode="External"/><Relationship Id="rId65" Type="http://schemas.openxmlformats.org/officeDocument/2006/relationships/hyperlink" Target="http://transition.fcc.gov/Bureaus/Engineering_Technology/Documents/bulletins/oet65/oet65c.pdf" TargetMode="External"/><Relationship Id="rId73" Type="http://schemas.openxmlformats.org/officeDocument/2006/relationships/hyperlink" Target="http://monographs.iarc.fr/ENG/Monographs/vol102/mono102.pdf" TargetMode="External"/><Relationship Id="rId78" Type="http://schemas.openxmlformats.org/officeDocument/2006/relationships/hyperlink" Target="http://www.icnirp.de/documents/RFReview.pdf" TargetMode="External"/><Relationship Id="rId81" Type="http://schemas.openxmlformats.org/officeDocument/2006/relationships/hyperlink" Target="http://webbooks.net/freestuff/C95.1.pdf" TargetMode="External"/><Relationship Id="rId86" Type="http://schemas.openxmlformats.org/officeDocument/2006/relationships/hyperlink" Target="http://www.itu.int/pub/publications.aspx?lang=en&amp;parent=R-HDB-23-2011http://www.itu.int/pub/publications.aspx?lang=en&amp;parent=R-HDB-23-2011" TargetMode="External"/><Relationship Id="rId94" Type="http://schemas.openxmlformats.org/officeDocument/2006/relationships/hyperlink" Target="http://www.itu.int/rec/T-REC-K.70-201302-P!Amd3" TargetMode="External"/><Relationship Id="rId99" Type="http://schemas.openxmlformats.org/officeDocument/2006/relationships/hyperlink" Target="http://www.jmoe.org/download.php?file=13673436230.pdf&amp;nome=Volume%2012%20-%20Number%201%20-%20Estimating%20the%20Location%20of%20Maximum%20Exposure%20to%20Electromagnetic%20Fields%20Associated%20with%20a%20Radiocommunication%20Station.pdf" TargetMode="External"/><Relationship Id="rId101" Type="http://schemas.openxmlformats.org/officeDocument/2006/relationships/hyperlink" Target="http://www.itu.int/rec/dologin_pub.asp?lang=e&amp;id=T-REC-K.52-200412-I!!PDF-E&amp;type=items"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image" Target="media/image8.emf"/><Relationship Id="rId109" Type="http://schemas.openxmlformats.org/officeDocument/2006/relationships/hyperlink" Target="http://www.google.co.il/url?sa=t&amp;rct=j&amp;q=&amp;esrc=s&amp;frm=1&amp;source=web&amp;cd=1&amp;ved=0CB4QFjAA&amp;url=http%3A%2F%2Fwww.bakom.admin.ch%2Fdokumentation%2Fzahlen%2F00545%2F00547%2F00548%2Findex.html%3Fdownload%3DNHzLpZeg7t%2Clnp6I0NTU042l2Z6ln1ad1IZn4Z2qZpnO2Yuq2Z6gpJCDdH17f2ym162epYbg2c_JjKbNoKSn6A--%26lang%3Den&amp;ei=WbE3ULXVCpHbsgbWiYGoDA&amp;usg=AFQjCNFuJG5xOzk810Klg1-bnuVDTGjpjA&amp;sig2=8YVPSTt9ddkxjJl8D-HZ4w" TargetMode="External"/><Relationship Id="rId34" Type="http://schemas.openxmlformats.org/officeDocument/2006/relationships/hyperlink" Target="http://www.dot.gov.in" TargetMode="External"/><Relationship Id="rId50" Type="http://schemas.openxmlformats.org/officeDocument/2006/relationships/hyperlink" Target="http://www.itu.int/md/D10-SG01-C-0135/" TargetMode="External"/><Relationship Id="rId55" Type="http://schemas.openxmlformats.org/officeDocument/2006/relationships/hyperlink" Target="https://www.itu.int/md/D10-SG01-C-0278/" TargetMode="External"/><Relationship Id="rId76" Type="http://schemas.openxmlformats.org/officeDocument/2006/relationships/hyperlink" Target="http://www.icnirp.de/documents/emfgdl.pdf" TargetMode="External"/><Relationship Id="rId97" Type="http://schemas.openxmlformats.org/officeDocument/2006/relationships/hyperlink" Target="http://www.tele.soumu.go.jp/resource/j/ele/body/emf_pamphlet.pdf" TargetMode="External"/><Relationship Id="rId104" Type="http://schemas.openxmlformats.org/officeDocument/2006/relationships/hyperlink" Target="http://www.mtt-tpms.org/symposia_v6/COMCAS2009/fileuploads/292-JI4GGWYnIdKk-2.pdf"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catedra-coitt.euitt.upm.es/web_salud_medioamb/Informes/informes_PDF/rf/HealthCanada/99ehd237.pdf" TargetMode="External"/><Relationship Id="rId92" Type="http://schemas.openxmlformats.org/officeDocument/2006/relationships/hyperlink" Target="http://www.itu.int/ITU-T/recommendations/rec.aspx?rec=9140&amp;lang=en" TargetMode="External"/><Relationship Id="rId2" Type="http://schemas.openxmlformats.org/officeDocument/2006/relationships/numbering" Target="numbering.xml"/><Relationship Id="rId29" Type="http://schemas.openxmlformats.org/officeDocument/2006/relationships/chart" Target="charts/chart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dot.gov.in/sites/default/files/Mobile%20Communication-Radio%20Waves%20and%20Safety%2010th%20sept%2012%20final.pdf" TargetMode="External"/><Relationship Id="rId13" Type="http://schemas.openxmlformats.org/officeDocument/2006/relationships/hyperlink" Target="http://www.itu.int/en/ITU-T/climatechange/emf-1305/Documents/Presentations/s3p5-RKBhatnagar.pdf" TargetMode="External"/><Relationship Id="rId18" Type="http://schemas.openxmlformats.org/officeDocument/2006/relationships/hyperlink" Target="http://www.itu.int/ITU-D/study_groups/SGP_2010-2014/doc/rgq/2010/D10-RGQ23.1-en.pdf" TargetMode="External"/><Relationship Id="rId3" Type="http://schemas.openxmlformats.org/officeDocument/2006/relationships/hyperlink" Target="http://www.sviva.gov.il/subjectsEnv/Radiation/Communication_Facilities/cellular/Documents/shidur_selulariim_peilim_1.xls" TargetMode="External"/><Relationship Id="rId21" Type="http://schemas.openxmlformats.org/officeDocument/2006/relationships/hyperlink" Target="http://www.itu.int/pub/S-CONF-ACTF-2010/en" TargetMode="External"/><Relationship Id="rId7" Type="http://schemas.openxmlformats.org/officeDocument/2006/relationships/hyperlink" Target="http://www.dot.gov.in/sites/default/files/Precautionary%20Guidelines%20for%20mobile%20Users.pdf" TargetMode="External"/><Relationship Id="rId12" Type="http://schemas.openxmlformats.org/officeDocument/2006/relationships/hyperlink" Target="http://www.itu.int/en/ITU-T/climatechange/emf-1305/Documents/Presentations/s2part2p3-RKBhatnagar.pdf" TargetMode="External"/><Relationship Id="rId17" Type="http://schemas.openxmlformats.org/officeDocument/2006/relationships/hyperlink" Target="http://eprints.mdx.ac.uk/133/2/MazarAug08.pdf" TargetMode="External"/><Relationship Id="rId2" Type="http://schemas.openxmlformats.org/officeDocument/2006/relationships/hyperlink" Target="http://www.who.int/docstore/peh-emf/publications/facts_press/EMF-Precaution.htm" TargetMode="External"/><Relationship Id="rId16" Type="http://schemas.openxmlformats.org/officeDocument/2006/relationships/hyperlink" Target="http://www.sartick.com/" TargetMode="External"/><Relationship Id="rId20" Type="http://schemas.openxmlformats.org/officeDocument/2006/relationships/hyperlink" Target="http://www.itu.int/ITU-D/conferences/wtdc/2010/pdf/WTDC10_DraftPreliminaryReport.pdf" TargetMode="External"/><Relationship Id="rId1" Type="http://schemas.openxmlformats.org/officeDocument/2006/relationships/hyperlink" Target="http://www.itu.int/en/ITU-T/climatechange/emf-1305/Documents/Turin-Call-to-Action.pdf" TargetMode="External"/><Relationship Id="rId6" Type="http://schemas.openxmlformats.org/officeDocument/2006/relationships/hyperlink" Target="http://www.dot.gov.in/sites/default/files/Advisory%20Guidelines%20For%20State%20Govts%20effective%20from%2001-08-13.pdf" TargetMode="External"/><Relationship Id="rId11" Type="http://schemas.openxmlformats.org/officeDocument/2006/relationships/hyperlink" Target="http://www.dot.gov.in/sites/default/files/748%20circular.pdf" TargetMode="External"/><Relationship Id="rId24" Type="http://schemas.openxmlformats.org/officeDocument/2006/relationships/hyperlink" Target="http://www.itu.int/ITU-D/CDS/sg/rgqlist.asp?lg=1&amp;sp=2010&amp;rgq=D10-RGQ23.1&amp;stg=1" TargetMode="External"/><Relationship Id="rId5" Type="http://schemas.openxmlformats.org/officeDocument/2006/relationships/hyperlink" Target="http://www.dot.gov.in/sites/default/files/Revision%20of%20SAR%20Limit%20mobile%20handsets.pdf" TargetMode="External"/><Relationship Id="rId15" Type="http://schemas.openxmlformats.org/officeDocument/2006/relationships/hyperlink" Target="http://www.who.int/entity/peh-emf/standards/emf_model/en/index.html" TargetMode="External"/><Relationship Id="rId23" Type="http://schemas.openxmlformats.org/officeDocument/2006/relationships/hyperlink" Target="http://www.itu.int/md/D10-RGQ23.1-INF-0004/" TargetMode="External"/><Relationship Id="rId10" Type="http://schemas.openxmlformats.org/officeDocument/2006/relationships/hyperlink" Target="http://www.dot.gov.in/sites/default/files/TEC%20Test%20Procedure%20EMFields%20From%20BTS%20Antennae.pdf" TargetMode="External"/><Relationship Id="rId19" Type="http://schemas.openxmlformats.org/officeDocument/2006/relationships/hyperlink" Target="http://www.itu.int/pub/T-RES-T.72-2012" TargetMode="External"/><Relationship Id="rId4" Type="http://schemas.openxmlformats.org/officeDocument/2006/relationships/hyperlink" Target="http://www.dot.gov.in/access-services/journey-emf" TargetMode="External"/><Relationship Id="rId9" Type="http://schemas.openxmlformats.org/officeDocument/2006/relationships/hyperlink" Target="http://www.dot.gov.in/sites/default/files/SAR%20Testing.pdf" TargetMode="External"/><Relationship Id="rId14" Type="http://schemas.openxmlformats.org/officeDocument/2006/relationships/hyperlink" Target="http://www.who.int/peh-emf/standards/framework/en/index.html" TargetMode="External"/><Relationship Id="rId22" Type="http://schemas.openxmlformats.org/officeDocument/2006/relationships/hyperlink" Target="http://www.icnirp.de/documents/emfgdl.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My%20Documents\BOOK\Agregate5_3Yuval.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My%20Documents\BOOK\Agregate5_3Yuv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80272864664965"/>
          <c:y val="0.11209739958975694"/>
          <c:w val="0.8457798911988067"/>
          <c:h val="0.71641791044776049"/>
        </c:manualLayout>
      </c:layout>
      <c:scatterChart>
        <c:scatterStyle val="lineMarker"/>
        <c:varyColors val="0"/>
        <c:ser>
          <c:idx val="0"/>
          <c:order val="0"/>
          <c:tx>
            <c:v>occupational</c:v>
          </c:tx>
          <c:spPr>
            <a:ln w="19050">
              <a:solidFill>
                <a:srgbClr val="006600"/>
              </a:solidFill>
              <a:prstDash val="sysDash"/>
            </a:ln>
          </c:spPr>
          <c:marker>
            <c:symbol val="diamond"/>
            <c:size val="8"/>
            <c:spPr>
              <a:solidFill>
                <a:srgbClr val="000080"/>
              </a:solidFill>
              <a:ln>
                <a:solidFill>
                  <a:srgbClr val="000080"/>
                </a:solidFill>
                <a:prstDash val="solid"/>
              </a:ln>
            </c:spPr>
          </c:marker>
          <c:dPt>
            <c:idx val="5"/>
            <c:bubble3D val="0"/>
            <c:spPr>
              <a:ln w="19050">
                <a:solidFill>
                  <a:srgbClr val="006600"/>
                </a:solidFill>
                <a:prstDash val="sysDot"/>
              </a:ln>
            </c:spPr>
          </c:dPt>
          <c:dLbls>
            <c:dLbl>
              <c:idx val="2"/>
              <c:delete val="1"/>
            </c:dLbl>
            <c:dLbl>
              <c:idx val="3"/>
              <c:delete val="1"/>
            </c:dLbl>
            <c:dLbl>
              <c:idx val="7"/>
              <c:delete val="1"/>
            </c:dLbl>
            <c:spPr>
              <a:noFill/>
              <a:ln w="25400">
                <a:noFill/>
              </a:ln>
            </c:spPr>
            <c:txPr>
              <a:bodyPr/>
              <a:lstStyle/>
              <a:p>
                <a:pPr>
                  <a:defRPr lang="he-IL"/>
                </a:pPr>
                <a:endParaRPr lang="ru-RU"/>
              </a:p>
            </c:txPr>
            <c:dLblPos val="b"/>
            <c:showLegendKey val="0"/>
            <c:showVal val="1"/>
            <c:showCatName val="0"/>
            <c:showSerName val="0"/>
            <c:showPercent val="0"/>
            <c:showBubbleSize val="0"/>
            <c:showLeaderLines val="0"/>
          </c:dLbls>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1"/>
          <c:order val="1"/>
          <c:tx>
            <c:v>general public</c:v>
          </c:tx>
          <c:spPr>
            <a:ln w="19050"/>
          </c:spPr>
          <c:dLbls>
            <c:dLbl>
              <c:idx val="2"/>
              <c:layout>
                <c:manualLayout>
                  <c:x val="-2.4912112880336016E-2"/>
                  <c:y val="-5.331782178512158E-2"/>
                </c:manualLayout>
              </c:layout>
              <c:dLblPos val="r"/>
              <c:showLegendKey val="0"/>
              <c:showVal val="1"/>
              <c:showCatName val="0"/>
              <c:showSerName val="0"/>
              <c:showPercent val="0"/>
              <c:showBubbleSize val="0"/>
            </c:dLbl>
            <c:dLbl>
              <c:idx val="3"/>
              <c:delete val="1"/>
            </c:dLbl>
            <c:dLbl>
              <c:idx val="4"/>
              <c:delete val="1"/>
            </c:dLbl>
            <c:spPr>
              <a:noFill/>
              <a:ln w="25400">
                <a:noFill/>
              </a:ln>
            </c:spPr>
            <c:txPr>
              <a:bodyPr/>
              <a:lstStyle/>
              <a:p>
                <a:pPr>
                  <a:defRPr lang="he-IL"/>
                </a:pPr>
                <a:endParaRPr lang="ru-RU"/>
              </a:p>
            </c:txPr>
            <c:dLblPos val="t"/>
            <c:showLegendKey val="0"/>
            <c:showVal val="1"/>
            <c:showCatName val="0"/>
            <c:showSerName val="0"/>
            <c:showPercent val="0"/>
            <c:showBubbleSize val="0"/>
            <c:showLeaderLines val="0"/>
          </c:dLbls>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
          <c:order val="2"/>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3"/>
          <c:order val="3"/>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4"/>
          <c:order val="4"/>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5"/>
          <c:order val="5"/>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6"/>
          <c:order val="6"/>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7"/>
          <c:order val="7"/>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8"/>
          <c:order val="8"/>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9"/>
          <c:order val="9"/>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10"/>
          <c:order val="10"/>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11"/>
          <c:order val="11"/>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12"/>
          <c:order val="12"/>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13"/>
          <c:order val="13"/>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14"/>
          <c:order val="14"/>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15"/>
          <c:order val="15"/>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16"/>
          <c:order val="16"/>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levels'!$I$7</c:f>
              <c:numCache>
                <c:formatCode>General</c:formatCode>
                <c:ptCount val="1"/>
                <c:pt idx="0">
                  <c:v>0</c:v>
                </c:pt>
              </c:numCache>
            </c:numRef>
          </c:yVal>
          <c:smooth val="0"/>
        </c:ser>
        <c:ser>
          <c:idx val="17"/>
          <c:order val="17"/>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levels'!$I$7</c:f>
              <c:numCache>
                <c:formatCode>General</c:formatCode>
                <c:ptCount val="1"/>
                <c:pt idx="0">
                  <c:v>0</c:v>
                </c:pt>
              </c:numCache>
            </c:numRef>
          </c:yVal>
          <c:smooth val="0"/>
        </c:ser>
        <c:ser>
          <c:idx val="18"/>
          <c:order val="18"/>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19"/>
          <c:order val="19"/>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0"/>
          <c:order val="20"/>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21"/>
          <c:order val="21"/>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2"/>
          <c:order val="22"/>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23"/>
          <c:order val="23"/>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4"/>
          <c:order val="24"/>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25"/>
          <c:order val="25"/>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6"/>
          <c:order val="26"/>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27"/>
          <c:order val="27"/>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8"/>
          <c:order val="28"/>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29"/>
          <c:order val="29"/>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30"/>
          <c:order val="30"/>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31"/>
          <c:order val="31"/>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32"/>
          <c:order val="32"/>
          <c:tx>
            <c:v>occupational</c:v>
          </c:tx>
          <c:spPr>
            <a:ln w="19050">
              <a:solidFill>
                <a:srgbClr val="006600"/>
              </a:solidFill>
              <a:prstDash val="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33"/>
          <c:order val="33"/>
          <c:tx>
            <c:v>general public</c:v>
          </c:tx>
          <c:spPr>
            <a:ln w="19050">
              <a:solidFill>
                <a:srgbClr val="C00000"/>
              </a:solidFill>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34"/>
          <c:order val="34"/>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levels'!$I$7</c:f>
              <c:numCache>
                <c:formatCode>General</c:formatCode>
                <c:ptCount val="1"/>
                <c:pt idx="0">
                  <c:v>0</c:v>
                </c:pt>
              </c:numCache>
            </c:numRef>
          </c:yVal>
          <c:smooth val="0"/>
        </c:ser>
        <c:ser>
          <c:idx val="35"/>
          <c:order val="35"/>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levels'!$I$7</c:f>
              <c:numCache>
                <c:formatCode>General</c:formatCode>
                <c:ptCount val="1"/>
                <c:pt idx="0">
                  <c:v>0</c:v>
                </c:pt>
              </c:numCache>
            </c:numRef>
          </c:yVal>
          <c:smooth val="0"/>
        </c:ser>
        <c:dLbls>
          <c:showLegendKey val="0"/>
          <c:showVal val="0"/>
          <c:showCatName val="0"/>
          <c:showSerName val="0"/>
          <c:showPercent val="0"/>
          <c:showBubbleSize val="0"/>
        </c:dLbls>
        <c:axId val="46466944"/>
        <c:axId val="46469120"/>
      </c:scatterChart>
      <c:valAx>
        <c:axId val="46466944"/>
        <c:scaling>
          <c:logBase val="10"/>
          <c:orientation val="minMax"/>
        </c:scaling>
        <c:delete val="1"/>
        <c:axPos val="b"/>
        <c:majorGridlines>
          <c:spPr>
            <a:ln w="317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ash"/>
            </a:ln>
          </c:spPr>
        </c:majorGridlines>
        <c:title>
          <c:tx>
            <c:rich>
              <a:bodyPr/>
              <a:lstStyle/>
              <a:p>
                <a:pPr>
                  <a:defRPr lang="he-IL"/>
                </a:pPr>
                <a:r>
                  <a:rPr lang="en-US"/>
                  <a:t>Frequency</a:t>
                </a:r>
              </a:p>
            </c:rich>
          </c:tx>
          <c:layout>
            <c:manualLayout>
              <c:xMode val="edge"/>
              <c:yMode val="edge"/>
              <c:x val="0.44062682268883102"/>
              <c:y val="0.92808980192354862"/>
            </c:manualLayout>
          </c:layout>
          <c:overlay val="0"/>
          <c:spPr>
            <a:noFill/>
            <a:ln w="25400">
              <a:noFill/>
            </a:ln>
          </c:spPr>
        </c:title>
        <c:numFmt formatCode="General" sourceLinked="0"/>
        <c:majorTickMark val="in"/>
        <c:minorTickMark val="in"/>
        <c:tickLblPos val="none"/>
        <c:crossAx val="46469120"/>
        <c:crossesAt val="1"/>
        <c:crossBetween val="midCat"/>
      </c:valAx>
      <c:valAx>
        <c:axId val="46469120"/>
        <c:scaling>
          <c:logBase val="10"/>
          <c:orientation val="minMax"/>
          <c:max val="50000"/>
        </c:scaling>
        <c:delete val="0"/>
        <c:axPos val="l"/>
        <c:title>
          <c:tx>
            <c:rich>
              <a:bodyPr/>
              <a:lstStyle/>
              <a:p>
                <a:pPr>
                  <a:defRPr lang="he-IL"/>
                </a:pPr>
                <a:r>
                  <a:rPr lang="en-US"/>
                  <a:t>E(v/m)</a:t>
                </a:r>
              </a:p>
            </c:rich>
          </c:tx>
          <c:layout>
            <c:manualLayout>
              <c:xMode val="edge"/>
              <c:yMode val="edge"/>
              <c:x val="2.5974085255153406E-2"/>
              <c:y val="0.37313442503491784"/>
            </c:manualLayout>
          </c:layout>
          <c:overlay val="0"/>
          <c:spPr>
            <a:noFill/>
            <a:ln w="25400">
              <a:noFill/>
            </a:ln>
          </c:spPr>
        </c:title>
        <c:numFmt formatCode="#,##0" sourceLinked="0"/>
        <c:majorTickMark val="out"/>
        <c:minorTickMark val="in"/>
        <c:tickLblPos val="nextTo"/>
        <c:spPr>
          <a:ln w="3175">
            <a:solidFill>
              <a:srgbClr val="000000"/>
            </a:solidFill>
            <a:prstDash val="solid"/>
          </a:ln>
        </c:spPr>
        <c:txPr>
          <a:bodyPr rot="0" vert="horz"/>
          <a:lstStyle/>
          <a:p>
            <a:pPr>
              <a:defRPr lang="he-IL"/>
            </a:pPr>
            <a:endParaRPr lang="ru-RU"/>
          </a:p>
        </c:txPr>
        <c:crossAx val="46466944"/>
        <c:crosses val="autoZero"/>
        <c:crossBetween val="midCat"/>
      </c:valAx>
      <c:spPr>
        <a:noFill/>
        <a:ln w="12700">
          <a:solidFill>
            <a:srgbClr val="808080"/>
          </a:solidFill>
          <a:prstDash val="solid"/>
        </a:ln>
      </c:spPr>
    </c:plotArea>
    <c:plotVisOnly val="1"/>
    <c:dispBlanksAs val="gap"/>
    <c:showDLblsOverMax val="0"/>
  </c:chart>
  <c:spPr>
    <a:solidFill>
      <a:srgbClr val="FFFFFF"/>
    </a:solidFill>
    <a:ln w="3175">
      <a:solidFill>
        <a:srgbClr val="006600"/>
      </a:solidFill>
      <a:prstDash val="solid"/>
    </a:ln>
  </c:spPr>
  <c:txPr>
    <a:bodyPr/>
    <a:lstStyle/>
    <a:p>
      <a:pPr>
        <a:defRPr sz="975" b="0" i="0" u="none" strike="noStrike" baseline="0">
          <a:solidFill>
            <a:srgbClr val="000000"/>
          </a:solidFill>
          <a:latin typeface="Times New Roman" pitchFamily="18" charset="0"/>
          <a:ea typeface="Arial"/>
          <a:cs typeface="Times New Roman" pitchFamily="18" charset="0"/>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531787693205007E-2"/>
          <c:y val="7.9445462041989892E-2"/>
          <c:w val="0.88026372344246007"/>
          <c:h val="0.71391842420871365"/>
        </c:manualLayout>
      </c:layout>
      <c:scatterChart>
        <c:scatterStyle val="lineMarker"/>
        <c:varyColors val="0"/>
        <c:ser>
          <c:idx val="1"/>
          <c:order val="0"/>
          <c:tx>
            <c:strRef>
              <c:f>'ICNIRP levels'!$E$68</c:f>
              <c:strCache>
                <c:ptCount val="1"/>
                <c:pt idx="0">
                  <c:v>general public exposure</c:v>
                </c:pt>
              </c:strCache>
            </c:strRef>
          </c:tx>
          <c:spPr>
            <a:ln w="19050">
              <a:solidFill>
                <a:srgbClr val="006600"/>
              </a:solidFill>
              <a:prstDash val="dash"/>
            </a:ln>
          </c:spPr>
          <c:dLbls>
            <c:spPr>
              <a:noFill/>
              <a:ln w="25400">
                <a:noFill/>
              </a:ln>
            </c:spPr>
            <c:txPr>
              <a:bodyPr/>
              <a:lstStyle/>
              <a:p>
                <a:pPr>
                  <a:defRPr lang="he-IL"/>
                </a:pPr>
                <a:endParaRPr lang="ru-RU"/>
              </a:p>
            </c:txPr>
            <c:dLblPos val="b"/>
            <c:showLegendKey val="0"/>
            <c:showVal val="1"/>
            <c:showCatName val="1"/>
            <c:showSerName val="0"/>
            <c:showPercent val="0"/>
            <c:showBubbleSize val="0"/>
            <c:showLeaderLines val="0"/>
          </c:dLbls>
          <c:xVal>
            <c:numRef>
              <c:f>'ICNIRP levels'!$C$35:$F$35</c:f>
              <c:numCache>
                <c:formatCode>General</c:formatCode>
                <c:ptCount val="4"/>
                <c:pt idx="0">
                  <c:v>10</c:v>
                </c:pt>
                <c:pt idx="1">
                  <c:v>400</c:v>
                </c:pt>
                <c:pt idx="2" formatCode="_(* #,##0_);_(* \(#,##0\);_(* &quot;-&quot;??_);_(@_)">
                  <c:v>2000</c:v>
                </c:pt>
                <c:pt idx="3" formatCode="_(* #,##0_);_(* \(#,##0\);_(* &quot;-&quot;??_);_(@_)">
                  <c:v>300000</c:v>
                </c:pt>
              </c:numCache>
            </c:numRef>
          </c:xVal>
          <c:yVal>
            <c:numRef>
              <c:f>'ICNIRP levels'!$C$36:$F$36</c:f>
              <c:numCache>
                <c:formatCode>_(* #,##0_);_(* \(#,##0\);_(* "-"_);_(@_)</c:formatCode>
                <c:ptCount val="4"/>
                <c:pt idx="0">
                  <c:v>2</c:v>
                </c:pt>
                <c:pt idx="1">
                  <c:v>2</c:v>
                </c:pt>
                <c:pt idx="2" formatCode="General">
                  <c:v>10</c:v>
                </c:pt>
                <c:pt idx="3" formatCode="General">
                  <c:v>10</c:v>
                </c:pt>
              </c:numCache>
            </c:numRef>
          </c:yVal>
          <c:smooth val="0"/>
        </c:ser>
        <c:ser>
          <c:idx val="0"/>
          <c:order val="1"/>
          <c:tx>
            <c:strRef>
              <c:f>'ICNIRP levels'!$E$69</c:f>
              <c:strCache>
                <c:ptCount val="1"/>
                <c:pt idx="0">
                  <c:v>occupational  exposure</c:v>
                </c:pt>
              </c:strCache>
            </c:strRef>
          </c:tx>
          <c:spPr>
            <a:ln w="19050">
              <a:solidFill>
                <a:srgbClr val="FF0000"/>
              </a:solidFill>
            </a:ln>
          </c:spPr>
          <c:dLbls>
            <c:spPr>
              <a:noFill/>
              <a:ln w="25400">
                <a:noFill/>
              </a:ln>
            </c:spPr>
            <c:txPr>
              <a:bodyPr/>
              <a:lstStyle/>
              <a:p>
                <a:pPr>
                  <a:defRPr lang="he-IL"/>
                </a:pPr>
                <a:endParaRPr lang="ru-RU"/>
              </a:p>
            </c:txPr>
            <c:dLblPos val="b"/>
            <c:showLegendKey val="0"/>
            <c:showVal val="1"/>
            <c:showCatName val="0"/>
            <c:showSerName val="0"/>
            <c:showPercent val="0"/>
            <c:showBubbleSize val="0"/>
            <c:separator>, </c:separator>
            <c:showLeaderLines val="0"/>
          </c:dLbls>
          <c:xVal>
            <c:numRef>
              <c:f>'ICNIRP levels'!$C$35:$F$35</c:f>
              <c:numCache>
                <c:formatCode>General</c:formatCode>
                <c:ptCount val="4"/>
                <c:pt idx="0">
                  <c:v>10</c:v>
                </c:pt>
                <c:pt idx="1">
                  <c:v>400</c:v>
                </c:pt>
                <c:pt idx="2" formatCode="_(* #,##0_);_(* \(#,##0\);_(* &quot;-&quot;??_);_(@_)">
                  <c:v>2000</c:v>
                </c:pt>
                <c:pt idx="3" formatCode="_(* #,##0_);_(* \(#,##0\);_(* &quot;-&quot;??_);_(@_)">
                  <c:v>300000</c:v>
                </c:pt>
              </c:numCache>
            </c:numRef>
          </c:xVal>
          <c:yVal>
            <c:numRef>
              <c:f>'ICNIRP levels'!$C$37:$F$37</c:f>
              <c:numCache>
                <c:formatCode>General</c:formatCode>
                <c:ptCount val="4"/>
                <c:pt idx="0">
                  <c:v>10</c:v>
                </c:pt>
                <c:pt idx="1">
                  <c:v>10</c:v>
                </c:pt>
                <c:pt idx="2">
                  <c:v>50</c:v>
                </c:pt>
                <c:pt idx="3">
                  <c:v>50</c:v>
                </c:pt>
              </c:numCache>
            </c:numRef>
          </c:yVal>
          <c:smooth val="0"/>
        </c:ser>
        <c:dLbls>
          <c:showLegendKey val="0"/>
          <c:showVal val="0"/>
          <c:showCatName val="0"/>
          <c:showSerName val="0"/>
          <c:showPercent val="0"/>
          <c:showBubbleSize val="0"/>
        </c:dLbls>
        <c:axId val="46513152"/>
        <c:axId val="46519424"/>
      </c:scatterChart>
      <c:valAx>
        <c:axId val="46513152"/>
        <c:scaling>
          <c:logBase val="10"/>
          <c:orientation val="minMax"/>
          <c:min val="10"/>
        </c:scaling>
        <c:delete val="0"/>
        <c:axPos val="b"/>
        <c:majorGridlines>
          <c:spPr>
            <a:ln w="3175">
              <a:solidFill>
                <a:srgbClr val="000000"/>
              </a:solidFill>
              <a:prstDash val="sysDash"/>
            </a:ln>
          </c:spPr>
        </c:majorGridlines>
        <c:title>
          <c:tx>
            <c:rich>
              <a:bodyPr/>
              <a:lstStyle/>
              <a:p>
                <a:pPr>
                  <a:defRPr lang="he-IL"/>
                </a:pPr>
                <a:r>
                  <a:rPr lang="en-US"/>
                  <a:t>Frequency (MHz)</a:t>
                </a:r>
              </a:p>
            </c:rich>
          </c:tx>
          <c:layout>
            <c:manualLayout>
              <c:xMode val="edge"/>
              <c:yMode val="edge"/>
              <c:x val="0.43831205967675202"/>
              <c:y val="0.8865672125174584"/>
            </c:manualLayout>
          </c:layout>
          <c:overlay val="0"/>
          <c:spPr>
            <a:noFill/>
            <a:ln w="25400">
              <a:noFill/>
            </a:ln>
          </c:spPr>
        </c:title>
        <c:numFmt formatCode="#,##0" sourceLinked="0"/>
        <c:majorTickMark val="out"/>
        <c:minorTickMark val="in"/>
        <c:tickLblPos val="nextTo"/>
        <c:spPr>
          <a:ln w="3175">
            <a:solidFill>
              <a:srgbClr val="000000"/>
            </a:solidFill>
            <a:prstDash val="solid"/>
          </a:ln>
        </c:spPr>
        <c:txPr>
          <a:bodyPr rot="0" vert="horz"/>
          <a:lstStyle/>
          <a:p>
            <a:pPr>
              <a:defRPr lang="he-IL" sz="975" b="0" i="0" u="none" strike="noStrike" baseline="0">
                <a:solidFill>
                  <a:srgbClr val="000000"/>
                </a:solidFill>
                <a:latin typeface="Arial"/>
                <a:ea typeface="Arial"/>
                <a:cs typeface="Arial"/>
              </a:defRPr>
            </a:pPr>
            <a:endParaRPr lang="ru-RU"/>
          </a:p>
        </c:txPr>
        <c:crossAx val="46519424"/>
        <c:crosses val="autoZero"/>
        <c:crossBetween val="midCat"/>
        <c:minorUnit val="10"/>
      </c:valAx>
      <c:valAx>
        <c:axId val="46519424"/>
        <c:scaling>
          <c:logBase val="10"/>
          <c:orientation val="minMax"/>
          <c:max val="100"/>
        </c:scaling>
        <c:delete val="0"/>
        <c:axPos val="l"/>
        <c:title>
          <c:tx>
            <c:rich>
              <a:bodyPr/>
              <a:lstStyle/>
              <a:p>
                <a:pPr>
                  <a:defRPr lang="he-IL" sz="1000"/>
                </a:pPr>
                <a:r>
                  <a:rPr lang="en-US" sz="1000"/>
                  <a:t>Power    Density (W/m</a:t>
                </a:r>
                <a:r>
                  <a:rPr lang="en-US" sz="1000" baseline="30000"/>
                  <a:t>2</a:t>
                </a:r>
                <a:r>
                  <a:rPr lang="en-US" sz="1000"/>
                  <a:t>)</a:t>
                </a:r>
              </a:p>
            </c:rich>
          </c:tx>
          <c:layout>
            <c:manualLayout>
              <c:xMode val="edge"/>
              <c:yMode val="edge"/>
              <c:x val="2.102107028288139E-3"/>
              <c:y val="0.11093714652674903"/>
            </c:manualLayout>
          </c:layout>
          <c:overlay val="0"/>
          <c:spPr>
            <a:noFill/>
            <a:ln w="25400">
              <a:noFill/>
            </a:ln>
          </c:spPr>
        </c:title>
        <c:numFmt formatCode="0" sourceLinked="0"/>
        <c:majorTickMark val="out"/>
        <c:minorTickMark val="in"/>
        <c:tickLblPos val="nextTo"/>
        <c:spPr>
          <a:ln w="3175">
            <a:solidFill>
              <a:srgbClr val="000000"/>
            </a:solidFill>
            <a:prstDash val="solid"/>
          </a:ln>
        </c:spPr>
        <c:txPr>
          <a:bodyPr rot="0" vert="horz"/>
          <a:lstStyle/>
          <a:p>
            <a:pPr>
              <a:defRPr lang="he-IL" sz="800"/>
            </a:pPr>
            <a:endParaRPr lang="ru-RU"/>
          </a:p>
        </c:txPr>
        <c:crossAx val="46513152"/>
        <c:crosses val="autoZero"/>
        <c:crossBetween val="midCat"/>
        <c:majorUnit val="10"/>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75" b="0" i="0" u="none" strike="noStrike" baseline="0">
          <a:solidFill>
            <a:srgbClr val="000000"/>
          </a:solidFill>
          <a:latin typeface="Times New Roman" pitchFamily="18" charset="0"/>
          <a:ea typeface="Arial"/>
          <a:cs typeface="Arial"/>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0.81535</cdr:x>
      <cdr:y>0.67291</cdr:y>
    </cdr:from>
    <cdr:to>
      <cdr:x>0.95917</cdr:x>
      <cdr:y>0.73099</cdr:y>
    </cdr:to>
    <cdr:sp macro="" textlink="">
      <cdr:nvSpPr>
        <cdr:cNvPr id="23553" name="Text Box 1"/>
        <cdr:cNvSpPr txBox="1">
          <a:spLocks xmlns:a="http://schemas.openxmlformats.org/drawingml/2006/main" noChangeArrowheads="1"/>
        </cdr:cNvSpPr>
      </cdr:nvSpPr>
      <cdr:spPr bwMode="auto">
        <a:xfrm xmlns:a="http://schemas.openxmlformats.org/drawingml/2006/main">
          <a:off x="5906235" y="2444133"/>
          <a:ext cx="1041770" cy="21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r" rtl="0">
            <a:defRPr sz="1000"/>
          </a:pPr>
          <a:r>
            <a:rPr lang="en-GB" sz="1200">
              <a:solidFill>
                <a:srgbClr val="006600"/>
              </a:solidFill>
              <a:effectLst/>
              <a:latin typeface="+mn-lt"/>
              <a:ea typeface="+mn-ea"/>
              <a:cs typeface="+mn-cs"/>
            </a:rPr>
            <a:t>public exposure</a:t>
          </a:r>
          <a:endParaRPr lang="en-US" sz="1200">
            <a:solidFill>
              <a:srgbClr val="006600"/>
            </a:solidFill>
          </a:endParaRPr>
        </a:p>
      </cdr:txBody>
    </cdr:sp>
  </cdr:relSizeAnchor>
  <cdr:relSizeAnchor xmlns:cdr="http://schemas.openxmlformats.org/drawingml/2006/chartDrawing">
    <cdr:from>
      <cdr:x>0.76307</cdr:x>
      <cdr:y>0.2302</cdr:y>
    </cdr:from>
    <cdr:to>
      <cdr:x>0.96111</cdr:x>
      <cdr:y>0.28828</cdr:y>
    </cdr:to>
    <cdr:sp macro="" textlink="">
      <cdr:nvSpPr>
        <cdr:cNvPr id="4" name="Text Box 1"/>
        <cdr:cNvSpPr txBox="1">
          <a:spLocks xmlns:a="http://schemas.openxmlformats.org/drawingml/2006/main" noChangeArrowheads="1"/>
        </cdr:cNvSpPr>
      </cdr:nvSpPr>
      <cdr:spPr bwMode="auto">
        <a:xfrm xmlns:a="http://schemas.openxmlformats.org/drawingml/2006/main">
          <a:off x="5527523" y="836143"/>
          <a:ext cx="1434560" cy="21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rtl="0">
            <a:defRPr sz="1000"/>
          </a:pPr>
          <a:r>
            <a:rPr lang="en-GB" sz="1200">
              <a:solidFill>
                <a:srgbClr val="FF0000"/>
              </a:solidFill>
              <a:effectLst/>
              <a:latin typeface="+mn-lt"/>
              <a:ea typeface="+mn-ea"/>
              <a:cs typeface="+mn-cs"/>
            </a:rPr>
            <a:t>occupational exposure</a:t>
          </a:r>
          <a:endParaRPr lang="en-US" sz="1200">
            <a:solidFill>
              <a:srgbClr val="FF0000"/>
            </a:solidFill>
          </a:endParaRPr>
        </a:p>
      </cdr:txBody>
    </cdr:sp>
  </cdr:relSizeAnchor>
  <cdr:relSizeAnchor xmlns:cdr="http://schemas.openxmlformats.org/drawingml/2006/chartDrawing">
    <cdr:from>
      <cdr:x>0.11352</cdr:x>
      <cdr:y>0.88127</cdr:y>
    </cdr:from>
    <cdr:to>
      <cdr:x>0.16562</cdr:x>
      <cdr:y>0.94651</cdr:y>
    </cdr:to>
    <cdr:sp macro="" textlink="">
      <cdr:nvSpPr>
        <cdr:cNvPr id="6" name="Text Box 2"/>
        <cdr:cNvSpPr txBox="1">
          <a:spLocks xmlns:a="http://schemas.openxmlformats.org/drawingml/2006/main" noChangeArrowheads="1"/>
        </cdr:cNvSpPr>
      </cdr:nvSpPr>
      <cdr:spPr bwMode="auto">
        <a:xfrm xmlns:a="http://schemas.openxmlformats.org/drawingml/2006/main">
          <a:off x="622815" y="2425891"/>
          <a:ext cx="285847" cy="1796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0.12278</cdr:x>
      <cdr:y>0.89972</cdr:y>
    </cdr:from>
    <cdr:to>
      <cdr:x>0.17488</cdr:x>
      <cdr:y>0.96497</cdr:y>
    </cdr:to>
    <cdr:sp macro="" textlink="">
      <cdr:nvSpPr>
        <cdr:cNvPr id="7" name="Text Box 2"/>
        <cdr:cNvSpPr txBox="1">
          <a:spLocks xmlns:a="http://schemas.openxmlformats.org/drawingml/2006/main" noChangeArrowheads="1"/>
        </cdr:cNvSpPr>
      </cdr:nvSpPr>
      <cdr:spPr bwMode="auto">
        <a:xfrm xmlns:a="http://schemas.openxmlformats.org/drawingml/2006/main">
          <a:off x="673615" y="2476691"/>
          <a:ext cx="285847" cy="1796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0.11352</cdr:x>
      <cdr:y>0.88127</cdr:y>
    </cdr:from>
    <cdr:to>
      <cdr:x>0.16562</cdr:x>
      <cdr:y>0.94651</cdr:y>
    </cdr:to>
    <cdr:sp macro="" textlink="">
      <cdr:nvSpPr>
        <cdr:cNvPr id="8" name="Text Box 2"/>
        <cdr:cNvSpPr txBox="1">
          <a:spLocks xmlns:a="http://schemas.openxmlformats.org/drawingml/2006/main" noChangeArrowheads="1"/>
        </cdr:cNvSpPr>
      </cdr:nvSpPr>
      <cdr:spPr bwMode="auto">
        <a:xfrm xmlns:a="http://schemas.openxmlformats.org/drawingml/2006/main">
          <a:off x="622815" y="2425891"/>
          <a:ext cx="285847" cy="1796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drawings/drawing2.xml><?xml version="1.0" encoding="utf-8"?>
<c:userShapes xmlns:c="http://schemas.openxmlformats.org/drawingml/2006/chart">
  <cdr:relSizeAnchor xmlns:cdr="http://schemas.openxmlformats.org/drawingml/2006/chartDrawing">
    <cdr:from>
      <cdr:x>0.74672</cdr:x>
      <cdr:y>0.53846</cdr:y>
    </cdr:from>
    <cdr:to>
      <cdr:x>0.94572</cdr:x>
      <cdr:y>0.69783</cdr:y>
    </cdr:to>
    <cdr:sp macro="" textlink="">
      <cdr:nvSpPr>
        <cdr:cNvPr id="2" name="Text Box 1"/>
        <cdr:cNvSpPr txBox="1"/>
      </cdr:nvSpPr>
      <cdr:spPr>
        <a:xfrm xmlns:a="http://schemas.openxmlformats.org/drawingml/2006/main">
          <a:off x="4096811" y="1475740"/>
          <a:ext cx="1091774" cy="436786"/>
        </a:xfrm>
        <a:prstGeom xmlns:a="http://schemas.openxmlformats.org/drawingml/2006/main" prst="rect">
          <a:avLst/>
        </a:prstGeom>
      </cdr:spPr>
      <cdr:txBody>
        <a:bodyPr xmlns:a="http://schemas.openxmlformats.org/drawingml/2006/main" vertOverflow="clip" wrap="none" rtlCol="0">
          <a:sp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solidFill>
                <a:srgbClr val="006600"/>
              </a:solidFill>
              <a:effectLst/>
              <a:latin typeface="+mn-lt"/>
              <a:ea typeface="+mn-ea"/>
              <a:cs typeface="+mn-cs"/>
            </a:rPr>
            <a:t>public</a:t>
          </a:r>
          <a:r>
            <a:rPr lang="en-US" sz="1100">
              <a:effectLst/>
              <a:latin typeface="+mn-lt"/>
              <a:ea typeface="+mn-ea"/>
              <a:cs typeface="+mn-cs"/>
            </a:rPr>
            <a:t> </a:t>
          </a:r>
          <a:r>
            <a:rPr lang="en-US" sz="1100">
              <a:solidFill>
                <a:srgbClr val="006600"/>
              </a:solidFill>
              <a:effectLst/>
              <a:latin typeface="+mn-lt"/>
              <a:ea typeface="+mn-ea"/>
              <a:cs typeface="+mn-cs"/>
            </a:rPr>
            <a:t>exposure</a:t>
          </a:r>
        </a:p>
        <a:p xmlns:a="http://schemas.openxmlformats.org/drawingml/2006/main">
          <a:endParaRPr lang="en-US" sz="1100"/>
        </a:p>
      </cdr:txBody>
    </cdr:sp>
  </cdr:relSizeAnchor>
  <cdr:relSizeAnchor xmlns:cdr="http://schemas.openxmlformats.org/drawingml/2006/chartDrawing">
    <cdr:from>
      <cdr:x>0.67033</cdr:x>
      <cdr:y>0.0797</cdr:y>
    </cdr:from>
    <cdr:to>
      <cdr:x>0.94637</cdr:x>
      <cdr:y>0.17623</cdr:y>
    </cdr:to>
    <cdr:sp macro="" textlink="">
      <cdr:nvSpPr>
        <cdr:cNvPr id="3" name="Text Box 2"/>
        <cdr:cNvSpPr txBox="1"/>
      </cdr:nvSpPr>
      <cdr:spPr>
        <a:xfrm xmlns:a="http://schemas.openxmlformats.org/drawingml/2006/main">
          <a:off x="3677707" y="218440"/>
          <a:ext cx="1514453" cy="264560"/>
        </a:xfrm>
        <a:prstGeom xmlns:a="http://schemas.openxmlformats.org/drawingml/2006/main" prst="rect">
          <a:avLst/>
        </a:prstGeom>
      </cdr:spPr>
      <cdr:txBody>
        <a:bodyPr xmlns:a="http://schemas.openxmlformats.org/drawingml/2006/main" vertOverflow="clip" wrap="none" rtlCol="0">
          <a:spAutoFit/>
        </a:bodyPr>
        <a:lstStyle xmlns:a="http://schemas.openxmlformats.org/drawingml/2006/main"/>
        <a:p xmlns:a="http://schemas.openxmlformats.org/drawingml/2006/main">
          <a:pPr algn="r"/>
          <a:r>
            <a:rPr lang="en-US" sz="1100">
              <a:solidFill>
                <a:srgbClr val="FF0000"/>
              </a:solidFill>
              <a:effectLst/>
              <a:latin typeface="+mn-lt"/>
              <a:ea typeface="+mn-ea"/>
              <a:cs typeface="+mn-cs"/>
            </a:rPr>
            <a:t>occupational  exposure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8A585-66D1-4EB4-9E1D-91BD0D487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61</Pages>
  <Words>16545</Words>
  <Characters>116782</Characters>
  <Application>Microsoft Office Word</Application>
  <DocSecurity>0</DocSecurity>
  <Lines>973</Lines>
  <Paragraphs>266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Title of the report</vt:lpstr>
      <vt:lpstr>HIPCAR Model Policy Guidelines and Legislative Text: Access to Public Information (Freedom of Information)</vt:lpstr>
    </vt:vector>
  </TitlesOfParts>
  <Company>ITU</Company>
  <LinksUpToDate>false</LinksUpToDate>
  <CharactersWithSpaces>133061</CharactersWithSpaces>
  <SharedDoc>false</SharedDoc>
  <HLinks>
    <vt:vector size="90" baseType="variant">
      <vt:variant>
        <vt:i4>1179711</vt:i4>
      </vt:variant>
      <vt:variant>
        <vt:i4>80</vt:i4>
      </vt:variant>
      <vt:variant>
        <vt:i4>0</vt:i4>
      </vt:variant>
      <vt:variant>
        <vt:i4>5</vt:i4>
      </vt:variant>
      <vt:variant>
        <vt:lpwstr/>
      </vt:variant>
      <vt:variant>
        <vt:lpwstr>_Toc261948823</vt:lpwstr>
      </vt:variant>
      <vt:variant>
        <vt:i4>1179711</vt:i4>
      </vt:variant>
      <vt:variant>
        <vt:i4>74</vt:i4>
      </vt:variant>
      <vt:variant>
        <vt:i4>0</vt:i4>
      </vt:variant>
      <vt:variant>
        <vt:i4>5</vt:i4>
      </vt:variant>
      <vt:variant>
        <vt:lpwstr/>
      </vt:variant>
      <vt:variant>
        <vt:lpwstr>_Toc261948822</vt:lpwstr>
      </vt:variant>
      <vt:variant>
        <vt:i4>1179711</vt:i4>
      </vt:variant>
      <vt:variant>
        <vt:i4>68</vt:i4>
      </vt:variant>
      <vt:variant>
        <vt:i4>0</vt:i4>
      </vt:variant>
      <vt:variant>
        <vt:i4>5</vt:i4>
      </vt:variant>
      <vt:variant>
        <vt:lpwstr/>
      </vt:variant>
      <vt:variant>
        <vt:lpwstr>_Toc261948821</vt:lpwstr>
      </vt:variant>
      <vt:variant>
        <vt:i4>1179711</vt:i4>
      </vt:variant>
      <vt:variant>
        <vt:i4>62</vt:i4>
      </vt:variant>
      <vt:variant>
        <vt:i4>0</vt:i4>
      </vt:variant>
      <vt:variant>
        <vt:i4>5</vt:i4>
      </vt:variant>
      <vt:variant>
        <vt:lpwstr/>
      </vt:variant>
      <vt:variant>
        <vt:lpwstr>_Toc261948820</vt:lpwstr>
      </vt:variant>
      <vt:variant>
        <vt:i4>1114175</vt:i4>
      </vt:variant>
      <vt:variant>
        <vt:i4>56</vt:i4>
      </vt:variant>
      <vt:variant>
        <vt:i4>0</vt:i4>
      </vt:variant>
      <vt:variant>
        <vt:i4>5</vt:i4>
      </vt:variant>
      <vt:variant>
        <vt:lpwstr/>
      </vt:variant>
      <vt:variant>
        <vt:lpwstr>_Toc261948818</vt:lpwstr>
      </vt:variant>
      <vt:variant>
        <vt:i4>1114175</vt:i4>
      </vt:variant>
      <vt:variant>
        <vt:i4>50</vt:i4>
      </vt:variant>
      <vt:variant>
        <vt:i4>0</vt:i4>
      </vt:variant>
      <vt:variant>
        <vt:i4>5</vt:i4>
      </vt:variant>
      <vt:variant>
        <vt:lpwstr/>
      </vt:variant>
      <vt:variant>
        <vt:lpwstr>_Toc261948817</vt:lpwstr>
      </vt:variant>
      <vt:variant>
        <vt:i4>1114175</vt:i4>
      </vt:variant>
      <vt:variant>
        <vt:i4>44</vt:i4>
      </vt:variant>
      <vt:variant>
        <vt:i4>0</vt:i4>
      </vt:variant>
      <vt:variant>
        <vt:i4>5</vt:i4>
      </vt:variant>
      <vt:variant>
        <vt:lpwstr/>
      </vt:variant>
      <vt:variant>
        <vt:lpwstr>_Toc261948816</vt:lpwstr>
      </vt:variant>
      <vt:variant>
        <vt:i4>1114175</vt:i4>
      </vt:variant>
      <vt:variant>
        <vt:i4>38</vt:i4>
      </vt:variant>
      <vt:variant>
        <vt:i4>0</vt:i4>
      </vt:variant>
      <vt:variant>
        <vt:i4>5</vt:i4>
      </vt:variant>
      <vt:variant>
        <vt:lpwstr/>
      </vt:variant>
      <vt:variant>
        <vt:lpwstr>_Toc261948815</vt:lpwstr>
      </vt:variant>
      <vt:variant>
        <vt:i4>1114175</vt:i4>
      </vt:variant>
      <vt:variant>
        <vt:i4>32</vt:i4>
      </vt:variant>
      <vt:variant>
        <vt:i4>0</vt:i4>
      </vt:variant>
      <vt:variant>
        <vt:i4>5</vt:i4>
      </vt:variant>
      <vt:variant>
        <vt:lpwstr/>
      </vt:variant>
      <vt:variant>
        <vt:lpwstr>_Toc261948813</vt:lpwstr>
      </vt:variant>
      <vt:variant>
        <vt:i4>1114175</vt:i4>
      </vt:variant>
      <vt:variant>
        <vt:i4>26</vt:i4>
      </vt:variant>
      <vt:variant>
        <vt:i4>0</vt:i4>
      </vt:variant>
      <vt:variant>
        <vt:i4>5</vt:i4>
      </vt:variant>
      <vt:variant>
        <vt:lpwstr/>
      </vt:variant>
      <vt:variant>
        <vt:lpwstr>_Toc261948811</vt:lpwstr>
      </vt:variant>
      <vt:variant>
        <vt:i4>1114175</vt:i4>
      </vt:variant>
      <vt:variant>
        <vt:i4>20</vt:i4>
      </vt:variant>
      <vt:variant>
        <vt:i4>0</vt:i4>
      </vt:variant>
      <vt:variant>
        <vt:i4>5</vt:i4>
      </vt:variant>
      <vt:variant>
        <vt:lpwstr/>
      </vt:variant>
      <vt:variant>
        <vt:lpwstr>_Toc261948810</vt:lpwstr>
      </vt:variant>
      <vt:variant>
        <vt:i4>1048639</vt:i4>
      </vt:variant>
      <vt:variant>
        <vt:i4>14</vt:i4>
      </vt:variant>
      <vt:variant>
        <vt:i4>0</vt:i4>
      </vt:variant>
      <vt:variant>
        <vt:i4>5</vt:i4>
      </vt:variant>
      <vt:variant>
        <vt:lpwstr/>
      </vt:variant>
      <vt:variant>
        <vt:lpwstr>_Toc261948809</vt:lpwstr>
      </vt:variant>
      <vt:variant>
        <vt:i4>1048639</vt:i4>
      </vt:variant>
      <vt:variant>
        <vt:i4>8</vt:i4>
      </vt:variant>
      <vt:variant>
        <vt:i4>0</vt:i4>
      </vt:variant>
      <vt:variant>
        <vt:i4>5</vt:i4>
      </vt:variant>
      <vt:variant>
        <vt:lpwstr/>
      </vt:variant>
      <vt:variant>
        <vt:lpwstr>_Toc261948808</vt:lpwstr>
      </vt:variant>
      <vt:variant>
        <vt:i4>1048639</vt:i4>
      </vt:variant>
      <vt:variant>
        <vt:i4>2</vt:i4>
      </vt:variant>
      <vt:variant>
        <vt:i4>0</vt:i4>
      </vt:variant>
      <vt:variant>
        <vt:i4>5</vt:i4>
      </vt:variant>
      <vt:variant>
        <vt:lpwstr/>
      </vt:variant>
      <vt:variant>
        <vt:lpwstr>_Toc261948807</vt:lpwstr>
      </vt:variant>
      <vt:variant>
        <vt:i4>4063337</vt:i4>
      </vt:variant>
      <vt:variant>
        <vt:i4>0</vt:i4>
      </vt:variant>
      <vt:variant>
        <vt:i4>0</vt:i4>
      </vt:variant>
      <vt:variant>
        <vt:i4>5</vt:i4>
      </vt:variant>
      <vt:variant>
        <vt:lpwstr>http://www.uncitral.org/uncitral/en/uncitral_texts/electronic_commerce/1996Model.html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report</dc:title>
  <dc:subject>ITU/EU-funded HIPCAR project</dc:subject>
  <dc:creator>Al-Yammouni, Hala</dc:creator>
  <cp:lastModifiedBy>Sikacheva, Violetta</cp:lastModifiedBy>
  <cp:revision>13</cp:revision>
  <cp:lastPrinted>2014-01-13T08:21:00Z</cp:lastPrinted>
  <dcterms:created xsi:type="dcterms:W3CDTF">2014-01-14T15:00:00Z</dcterms:created>
  <dcterms:modified xsi:type="dcterms:W3CDTF">2014-01-17T14:48:00Z</dcterms:modified>
</cp:coreProperties>
</file>