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D73E69">
        <w:trPr>
          <w:cantSplit/>
        </w:trPr>
        <w:tc>
          <w:tcPr>
            <w:tcW w:w="2693" w:type="dxa"/>
            <w:tcBorders>
              <w:left w:val="nil"/>
              <w:bottom w:val="single" w:sz="4" w:space="0" w:color="auto"/>
            </w:tcBorders>
          </w:tcPr>
          <w:p w:rsidR="00EB6A81" w:rsidRDefault="00EB6A81" w:rsidP="00D73E69">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bookmarkStart w:id="7" w:name="_Toc256424056"/>
            <w:bookmarkStart w:id="8" w:name="_Toc258938498"/>
            <w:r>
              <w:rPr>
                <w:rFonts w:ascii="Trebuchet MS" w:hAnsi="Trebuchet MS"/>
                <w:i/>
                <w:iCs/>
              </w:rPr>
              <w:t xml:space="preserve">QUESTION </w:t>
            </w:r>
            <w:r w:rsidR="001F587B">
              <w:rPr>
                <w:rFonts w:ascii="Trebuchet MS" w:hAnsi="Trebuchet MS"/>
                <w:i/>
                <w:iCs/>
              </w:rPr>
              <w:t>21</w:t>
            </w:r>
            <w:r>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bookmarkEnd w:id="7"/>
            <w:bookmarkEnd w:id="8"/>
          </w:p>
        </w:tc>
      </w:tr>
      <w:tr w:rsidR="002A62A0" w:rsidTr="00D73E69">
        <w:trPr>
          <w:cantSplit/>
          <w:trHeight w:val="895"/>
        </w:trPr>
        <w:tc>
          <w:tcPr>
            <w:tcW w:w="2693" w:type="dxa"/>
            <w:tcBorders>
              <w:top w:val="single" w:sz="4" w:space="0" w:color="auto"/>
              <w:left w:val="nil"/>
            </w:tcBorders>
          </w:tcPr>
          <w:p w:rsidR="00E12B0E" w:rsidRDefault="00E12B0E" w:rsidP="00AC0D6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9" w:name="_Toc258938499"/>
            <w:bookmarkStart w:id="10" w:name="_Toc256424057"/>
            <w:r>
              <w:rPr>
                <w:rFonts w:ascii="Trebuchet MS" w:hAnsi="Trebuchet MS" w:cs="Arial"/>
                <w:b w:val="0"/>
                <w:bCs/>
                <w:i/>
                <w:iCs/>
                <w:lang w:val="en-US"/>
              </w:rPr>
              <w:t>R</w:t>
            </w:r>
            <w:r w:rsidR="00AC0D6A">
              <w:rPr>
                <w:rFonts w:ascii="Trebuchet MS" w:hAnsi="Trebuchet MS" w:cs="Arial"/>
                <w:b w:val="0"/>
                <w:bCs/>
                <w:i/>
                <w:iCs/>
                <w:lang w:val="en-US"/>
              </w:rPr>
              <w:t>ap</w:t>
            </w:r>
            <w:r>
              <w:rPr>
                <w:rFonts w:ascii="Trebuchet MS" w:hAnsi="Trebuchet MS" w:cs="Arial"/>
                <w:b w:val="0"/>
                <w:bCs/>
                <w:i/>
                <w:iCs/>
                <w:lang w:val="en-US"/>
              </w:rPr>
              <w:t>port</w:t>
            </w:r>
            <w:bookmarkEnd w:id="9"/>
            <w:r w:rsidR="00AC0D6A">
              <w:rPr>
                <w:rFonts w:ascii="Trebuchet MS" w:hAnsi="Trebuchet MS" w:cs="Arial"/>
                <w:b w:val="0"/>
                <w:bCs/>
                <w:i/>
                <w:iCs/>
                <w:lang w:val="en-US"/>
              </w:rPr>
              <w:t xml:space="preserve"> final</w:t>
            </w:r>
          </w:p>
          <w:bookmarkEnd w:id="10"/>
          <w:p w:rsidR="002A62A0" w:rsidRPr="00F8454D" w:rsidRDefault="002A62A0" w:rsidP="00E12B0E">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B90670" w:rsidRPr="00A40540" w:rsidRDefault="00B90670" w:rsidP="00B90670">
      <w:pPr>
        <w:rPr>
          <w:rFonts w:ascii="Arial" w:hAnsi="Arial" w:cs="Arial"/>
        </w:rPr>
      </w:pPr>
    </w:p>
    <w:p w:rsidR="00B90670" w:rsidRPr="00D75C49" w:rsidRDefault="00B90670" w:rsidP="00B90670">
      <w:pPr>
        <w:shd w:val="clear" w:color="auto" w:fill="B3B3B3"/>
        <w:tabs>
          <w:tab w:val="clear" w:pos="794"/>
          <w:tab w:val="clear" w:pos="1191"/>
          <w:tab w:val="clear" w:pos="1588"/>
          <w:tab w:val="clear" w:pos="1985"/>
          <w:tab w:val="left" w:pos="1247"/>
          <w:tab w:val="left" w:pos="5347"/>
        </w:tabs>
        <w:spacing w:before="160"/>
        <w:ind w:right="-142"/>
        <w:jc w:val="left"/>
        <w:rPr>
          <w:rFonts w:ascii="Trebuchet MS" w:hAnsi="Trebuchet MS" w:cs="Arial"/>
          <w:color w:val="FFFFFF"/>
          <w:sz w:val="32"/>
          <w:lang w:val="fr-CH"/>
        </w:rPr>
      </w:pPr>
      <w:r w:rsidRPr="00D75C49">
        <w:rPr>
          <w:rFonts w:ascii="Trebuchet MS" w:hAnsi="Trebuchet MS" w:cs="Arial"/>
          <w:b/>
          <w:bCs/>
          <w:color w:val="FFFFFF"/>
          <w:sz w:val="32"/>
          <w:lang w:val="fr-CH"/>
        </w:rPr>
        <w:t>UIT-D</w:t>
      </w:r>
      <w:r w:rsidRPr="00D75C49">
        <w:rPr>
          <w:rFonts w:ascii="Trebuchet MS" w:hAnsi="Trebuchet MS" w:cs="Arial"/>
          <w:color w:val="FFFFFF"/>
          <w:sz w:val="32"/>
          <w:lang w:val="fr-CH"/>
        </w:rPr>
        <w:tab/>
      </w:r>
      <w:r w:rsidRPr="00404376">
        <w:rPr>
          <w:rFonts w:ascii="Trebuchet MS" w:hAnsi="Trebuchet MS" w:cs="Arial"/>
          <w:color w:val="FFFFFF"/>
          <w:sz w:val="32"/>
          <w:szCs w:val="32"/>
          <w:lang w:val="fr-CH"/>
        </w:rPr>
        <w:t>COMISSION D'ÉTUDES 1</w:t>
      </w:r>
      <w:r w:rsidRPr="00D75C49">
        <w:rPr>
          <w:rFonts w:ascii="Trebuchet MS" w:hAnsi="Trebuchet MS" w:cs="Arial"/>
          <w:color w:val="FFFFFF"/>
          <w:sz w:val="32"/>
          <w:szCs w:val="32"/>
          <w:lang w:val="fr-CH"/>
        </w:rPr>
        <w:tab/>
      </w:r>
      <w:r w:rsidRPr="00404376">
        <w:rPr>
          <w:rFonts w:ascii="Trebuchet MS" w:hAnsi="Trebuchet MS" w:cs="Arial"/>
          <w:color w:val="FFFFFF"/>
          <w:sz w:val="32"/>
          <w:szCs w:val="32"/>
          <w:lang w:val="fr-CH"/>
        </w:rPr>
        <w:t>4</w:t>
      </w:r>
      <w:r w:rsidRPr="00404376">
        <w:rPr>
          <w:rFonts w:ascii="Trebuchet MS" w:hAnsi="Trebuchet MS" w:cs="Arial"/>
          <w:color w:val="FFFFFF"/>
          <w:sz w:val="32"/>
          <w:szCs w:val="32"/>
          <w:vertAlign w:val="superscript"/>
          <w:lang w:val="fr-CH"/>
        </w:rPr>
        <w:t>e</w:t>
      </w:r>
      <w:r w:rsidRPr="00404376">
        <w:rPr>
          <w:rFonts w:ascii="Trebuchet MS" w:hAnsi="Trebuchet MS" w:cs="Arial"/>
          <w:color w:val="FFFFFF"/>
          <w:sz w:val="32"/>
          <w:szCs w:val="32"/>
          <w:lang w:val="fr-CH"/>
        </w:rPr>
        <w:t xml:space="preserve"> PÉRIODE D'ÉTUDES</w:t>
      </w:r>
      <w:r w:rsidRPr="00D75C49">
        <w:rPr>
          <w:rFonts w:ascii="Trebuchet MS" w:hAnsi="Trebuchet MS" w:cs="Arial"/>
          <w:color w:val="FFFFFF"/>
          <w:sz w:val="32"/>
          <w:szCs w:val="32"/>
          <w:lang w:val="fr-CH"/>
        </w:rPr>
        <w:t xml:space="preserve"> (2006-2010)</w:t>
      </w:r>
    </w:p>
    <w:p w:rsidR="00EB6A81" w:rsidRPr="00B90670" w:rsidRDefault="00EB6A81" w:rsidP="00EB6A81">
      <w:pPr>
        <w:ind w:right="2520"/>
        <w:jc w:val="right"/>
        <w:rPr>
          <w:rFonts w:ascii="Arial" w:hAnsi="Arial" w:cs="Arial"/>
          <w:lang w:val="fr-CH"/>
        </w:rPr>
      </w:pPr>
    </w:p>
    <w:p w:rsidR="00EB6A81" w:rsidRPr="00B90670" w:rsidRDefault="00EB6A81" w:rsidP="00EB6A81">
      <w:pPr>
        <w:ind w:right="2520"/>
        <w:jc w:val="right"/>
        <w:rPr>
          <w:rFonts w:ascii="Arial" w:hAnsi="Arial" w:cs="Arial"/>
          <w:lang w:val="fr-FR"/>
        </w:rPr>
      </w:pPr>
    </w:p>
    <w:p w:rsidR="00EB6A81" w:rsidRPr="00B90670" w:rsidRDefault="00EB6A81" w:rsidP="00EB6A81">
      <w:pPr>
        <w:ind w:right="2520"/>
        <w:jc w:val="right"/>
        <w:rPr>
          <w:rFonts w:ascii="Arial" w:hAnsi="Arial" w:cs="Arial"/>
          <w:lang w:val="fr-FR"/>
        </w:rPr>
      </w:pPr>
    </w:p>
    <w:p w:rsidR="00EB6A81" w:rsidRPr="00297D79" w:rsidRDefault="00E12B0E" w:rsidP="00D73E69">
      <w:pPr>
        <w:spacing w:line="600" w:lineRule="exact"/>
        <w:ind w:right="2517"/>
        <w:jc w:val="right"/>
        <w:rPr>
          <w:rFonts w:ascii="Trebuchet MS" w:hAnsi="Trebuchet MS" w:cs="Tahoma"/>
          <w:b/>
          <w:i/>
          <w:iCs/>
          <w:sz w:val="44"/>
          <w:szCs w:val="44"/>
          <w:lang w:val="fr-FR"/>
        </w:rPr>
      </w:pPr>
      <w:r w:rsidRPr="00297D79">
        <w:rPr>
          <w:rFonts w:ascii="Trebuchet MS" w:hAnsi="Trebuchet MS" w:cs="Tahoma"/>
          <w:b/>
          <w:i/>
          <w:iCs/>
          <w:sz w:val="44"/>
          <w:szCs w:val="44"/>
          <w:lang w:val="fr-FR"/>
        </w:rPr>
        <w:t xml:space="preserve">QUESTION </w:t>
      </w:r>
      <w:r w:rsidR="001F587B" w:rsidRPr="00297D79">
        <w:rPr>
          <w:rFonts w:ascii="Trebuchet MS" w:hAnsi="Trebuchet MS" w:cs="Tahoma"/>
          <w:b/>
          <w:i/>
          <w:iCs/>
          <w:sz w:val="44"/>
          <w:szCs w:val="44"/>
          <w:lang w:val="fr-FR"/>
        </w:rPr>
        <w:t>21</w:t>
      </w:r>
      <w:r w:rsidRPr="00297D79">
        <w:rPr>
          <w:rFonts w:ascii="Trebuchet MS" w:hAnsi="Trebuchet MS" w:cs="Tahoma"/>
          <w:b/>
          <w:i/>
          <w:iCs/>
          <w:sz w:val="44"/>
          <w:szCs w:val="44"/>
          <w:lang w:val="fr-FR"/>
        </w:rPr>
        <w:t>/1:</w:t>
      </w:r>
    </w:p>
    <w:p w:rsidR="00E12B0E" w:rsidRPr="00E66182" w:rsidRDefault="00E66182" w:rsidP="00E66182">
      <w:pPr>
        <w:spacing w:line="600" w:lineRule="exact"/>
        <w:ind w:right="2517"/>
        <w:jc w:val="right"/>
        <w:rPr>
          <w:rFonts w:ascii="Trebuchet MS" w:hAnsi="Trebuchet MS" w:cs="Tahoma"/>
          <w:bCs/>
          <w:i/>
          <w:iCs/>
          <w:sz w:val="40"/>
          <w:szCs w:val="40"/>
          <w:lang w:val="fr-FR"/>
        </w:rPr>
      </w:pPr>
      <w:r w:rsidRPr="00E66182">
        <w:rPr>
          <w:rFonts w:ascii="Trebuchet MS" w:hAnsi="Trebuchet MS" w:cs="Tahoma"/>
          <w:bCs/>
          <w:i/>
          <w:iCs/>
          <w:sz w:val="40"/>
          <w:szCs w:val="40"/>
          <w:lang w:val="fr-FR"/>
        </w:rPr>
        <w:t xml:space="preserve">Incidence du développement des télécommunications sur </w:t>
      </w:r>
      <w:r>
        <w:rPr>
          <w:rFonts w:ascii="Trebuchet MS" w:hAnsi="Trebuchet MS" w:cs="Tahoma"/>
          <w:bCs/>
          <w:i/>
          <w:iCs/>
          <w:sz w:val="40"/>
          <w:szCs w:val="40"/>
          <w:lang w:val="fr-FR"/>
        </w:rPr>
        <w:br/>
      </w:r>
      <w:r w:rsidRPr="00E66182">
        <w:rPr>
          <w:rFonts w:ascii="Trebuchet MS" w:hAnsi="Trebuchet MS" w:cs="Tahoma"/>
          <w:bCs/>
          <w:i/>
          <w:iCs/>
          <w:sz w:val="40"/>
          <w:szCs w:val="40"/>
          <w:lang w:val="fr-FR"/>
        </w:rPr>
        <w:t>la création d'emplois</w:t>
      </w:r>
    </w:p>
    <w:p w:rsidR="00E12B0E" w:rsidRPr="00E66182" w:rsidRDefault="00E12B0E" w:rsidP="001542C1">
      <w:pPr>
        <w:spacing w:line="600" w:lineRule="exact"/>
        <w:ind w:right="2517"/>
        <w:jc w:val="right"/>
        <w:rPr>
          <w:rFonts w:ascii="Trebuchet MS" w:hAnsi="Trebuchet MS" w:cs="Tahoma"/>
          <w:i/>
          <w:iCs/>
          <w:sz w:val="44"/>
          <w:szCs w:val="44"/>
          <w:lang w:val="fr-FR"/>
        </w:rPr>
      </w:pPr>
    </w:p>
    <w:p w:rsidR="00115571" w:rsidRPr="00E66182" w:rsidRDefault="00115571" w:rsidP="00EB6A81">
      <w:pPr>
        <w:rPr>
          <w:lang w:val="fr-FR"/>
        </w:rPr>
      </w:pPr>
    </w:p>
    <w:p w:rsidR="00115571" w:rsidRPr="00E66182" w:rsidRDefault="00115571" w:rsidP="00EB6A81">
      <w:pPr>
        <w:rPr>
          <w:lang w:val="fr-FR"/>
        </w:rPr>
      </w:pPr>
    </w:p>
    <w:p w:rsidR="00115571" w:rsidRPr="00E66182" w:rsidRDefault="00115571" w:rsidP="00EB6A81">
      <w:pPr>
        <w:rPr>
          <w:lang w:val="fr-FR"/>
        </w:rPr>
      </w:pPr>
    </w:p>
    <w:p w:rsidR="00115571" w:rsidRPr="00E66182" w:rsidRDefault="00115571" w:rsidP="00EB6A81">
      <w:pPr>
        <w:rPr>
          <w:lang w:val="fr-FR"/>
        </w:rPr>
      </w:pPr>
    </w:p>
    <w:p w:rsidR="00E83FA2" w:rsidRPr="00E66182" w:rsidRDefault="00E83FA2" w:rsidP="00EB6A81">
      <w:pPr>
        <w:jc w:val="right"/>
        <w:rPr>
          <w:bCs/>
          <w:lang w:val="fr-FR"/>
        </w:rPr>
      </w:pPr>
    </w:p>
    <w:p w:rsidR="00B27BCC" w:rsidRPr="00E66182" w:rsidRDefault="00B27BCC" w:rsidP="00E83FA2">
      <w:pPr>
        <w:pStyle w:val="Heading1"/>
        <w:jc w:val="center"/>
        <w:rPr>
          <w:lang w:val="fr-FR"/>
        </w:rPr>
        <w:sectPr w:rsidR="00B27BCC" w:rsidRPr="00E66182"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E66182" w:rsidRDefault="00B27BCC" w:rsidP="00B27BCC">
      <w:pPr>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27BCC" w:rsidRPr="00E66182" w:rsidRDefault="00B27BCC" w:rsidP="00B27BCC">
      <w:pPr>
        <w:jc w:val="left"/>
        <w:rPr>
          <w:b/>
          <w:bCs/>
          <w:lang w:val="fr-FR"/>
        </w:rPr>
      </w:pPr>
    </w:p>
    <w:p w:rsidR="00B90670" w:rsidRPr="00D75C49" w:rsidRDefault="00B90670" w:rsidP="00B90670">
      <w:pPr>
        <w:jc w:val="lef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90670" w:rsidRPr="00C30982" w:rsidTr="00E76CE8">
        <w:trPr>
          <w:trHeight w:val="1145"/>
          <w:jc w:val="center"/>
        </w:trPr>
        <w:tc>
          <w:tcPr>
            <w:tcW w:w="9620" w:type="dxa"/>
            <w:shd w:val="clear" w:color="auto" w:fill="FFFFFF"/>
          </w:tcPr>
          <w:p w:rsidR="00B90670" w:rsidRPr="007D187E" w:rsidRDefault="00B90670" w:rsidP="00E76CE8">
            <w:pPr>
              <w:rPr>
                <w:b/>
                <w:bCs/>
                <w:szCs w:val="24"/>
                <w:lang w:val="fr-CH"/>
              </w:rPr>
            </w:pPr>
            <w:r w:rsidRPr="007D187E">
              <w:rPr>
                <w:b/>
                <w:bCs/>
                <w:szCs w:val="24"/>
                <w:lang w:val="fr-CH"/>
              </w:rPr>
              <w:t>DÉNI DE RESPONSABILITÉ</w:t>
            </w:r>
          </w:p>
          <w:p w:rsidR="00B90670" w:rsidRPr="00D75C49" w:rsidRDefault="00B90670" w:rsidP="00E76CE8">
            <w:pPr>
              <w:pStyle w:val="Normalaftertitle"/>
              <w:spacing w:before="160" w:after="160"/>
              <w:rPr>
                <w:lang w:val="fr-CH"/>
              </w:rPr>
            </w:pPr>
            <w:r w:rsidRPr="007D187E">
              <w:rPr>
                <w:b/>
                <w:bCs/>
                <w:szCs w:val="24"/>
                <w:lang w:val="fr-CH"/>
              </w:rPr>
              <w:t>Le présent rapport a été établi par un grand nombre de volontaires provenant d'administrations et opérateurs différents. La mention de telle ou telle entreprise ou de tel ou tel produit n'implique en aucune manière une approbation ou une recommandation de la part de l'UIT.</w:t>
            </w:r>
          </w:p>
        </w:tc>
      </w:tr>
    </w:tbl>
    <w:p w:rsidR="00B27BCC" w:rsidRPr="00B90670" w:rsidRDefault="00B27BCC" w:rsidP="00B27BCC">
      <w:pPr>
        <w:rPr>
          <w:lang w:val="fr-FR"/>
        </w:rPr>
      </w:pPr>
    </w:p>
    <w:p w:rsidR="00747593" w:rsidRPr="00B90670" w:rsidRDefault="00747593" w:rsidP="00747593">
      <w:pPr>
        <w:pStyle w:val="FigureNotitle"/>
        <w:rPr>
          <w:sz w:val="28"/>
          <w:lang w:val="fr-FR"/>
        </w:rPr>
        <w:sectPr w:rsidR="00747593" w:rsidRPr="00B90670" w:rsidSect="00747593">
          <w:headerReference w:type="even" r:id="rId13"/>
          <w:pgSz w:w="11907" w:h="16840" w:code="9"/>
          <w:pgMar w:top="1418" w:right="1134" w:bottom="1418" w:left="1134" w:header="720" w:footer="720" w:gutter="0"/>
          <w:paperSrc w:first="15" w:other="15"/>
          <w:pgNumType w:fmt="lowerRoman"/>
          <w:cols w:space="720"/>
          <w:vAlign w:val="both"/>
        </w:sectPr>
      </w:pPr>
    </w:p>
    <w:p w:rsidR="00E83FA2" w:rsidRPr="00297D79" w:rsidRDefault="00B90670" w:rsidP="00903888">
      <w:pPr>
        <w:pStyle w:val="Figure"/>
        <w:keepNext w:val="0"/>
        <w:keepLines w:val="0"/>
        <w:spacing w:before="120" w:after="0"/>
        <w:rPr>
          <w:b/>
          <w:bCs/>
          <w:sz w:val="28"/>
          <w:szCs w:val="22"/>
          <w:lang w:val="fr-FR"/>
        </w:rPr>
      </w:pPr>
      <w:r>
        <w:rPr>
          <w:b/>
          <w:bCs/>
          <w:sz w:val="28"/>
          <w:szCs w:val="22"/>
          <w:lang w:val="fr-FR"/>
        </w:rPr>
        <w:lastRenderedPageBreak/>
        <w:t>TABLE DES MATIERES</w:t>
      </w:r>
    </w:p>
    <w:p w:rsidR="00C47313" w:rsidRPr="00297D79" w:rsidRDefault="0008342F" w:rsidP="00C47313">
      <w:pPr>
        <w:pStyle w:val="Recdate"/>
        <w:keepLines w:val="0"/>
        <w:tabs>
          <w:tab w:val="right" w:pos="9639"/>
        </w:tabs>
        <w:jc w:val="left"/>
        <w:rPr>
          <w:rFonts w:asciiTheme="minorHAnsi" w:eastAsiaTheme="minorEastAsia" w:hAnsiTheme="minorHAnsi" w:cstheme="minorBidi"/>
          <w:noProof/>
          <w:szCs w:val="22"/>
          <w:lang w:val="fr-FR" w:eastAsia="zh-CN"/>
        </w:rPr>
      </w:pPr>
      <w:r w:rsidRPr="00297D79">
        <w:rPr>
          <w:iCs/>
          <w:lang w:val="fr-FR"/>
        </w:rPr>
        <w:tab/>
      </w:r>
      <w:r w:rsidRPr="00297D79">
        <w:rPr>
          <w:b/>
          <w:iCs/>
          <w:lang w:val="fr-FR"/>
        </w:rPr>
        <w:t>Page</w:t>
      </w:r>
    </w:p>
    <w:p w:rsidR="00903888" w:rsidRPr="00297D79" w:rsidRDefault="00903888" w:rsidP="00F27E5C">
      <w:pPr>
        <w:pStyle w:val="TOC1"/>
        <w:tabs>
          <w:tab w:val="clear" w:pos="8789"/>
          <w:tab w:val="clear" w:pos="9214"/>
          <w:tab w:val="left" w:leader="dot" w:pos="9072"/>
          <w:tab w:val="right" w:pos="9639"/>
        </w:tabs>
        <w:rPr>
          <w:lang w:val="fr-FR"/>
        </w:rPr>
      </w:pPr>
    </w:p>
    <w:p w:rsidR="00903888" w:rsidRPr="00297D79" w:rsidRDefault="00903888" w:rsidP="00E63ADD">
      <w:pPr>
        <w:pStyle w:val="TOC1"/>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1</w:t>
      </w:r>
      <w:r w:rsidRPr="00297D79">
        <w:rPr>
          <w:rStyle w:val="Hyperlink"/>
          <w:noProof/>
          <w:color w:val="auto"/>
          <w:u w:val="none"/>
          <w:lang w:val="fr-FR"/>
        </w:rPr>
        <w:tab/>
        <w:t xml:space="preserve">Domaine d'études </w:t>
      </w:r>
      <w:r w:rsidR="00E63ADD">
        <w:rPr>
          <w:rStyle w:val="Hyperlink"/>
          <w:noProof/>
          <w:color w:val="auto"/>
          <w:u w:val="none"/>
          <w:lang w:val="fr-FR"/>
        </w:rPr>
        <w:t>–</w:t>
      </w:r>
      <w:r w:rsidRPr="00297D79">
        <w:rPr>
          <w:rStyle w:val="Hyperlink"/>
          <w:noProof/>
          <w:color w:val="auto"/>
          <w:u w:val="none"/>
          <w:lang w:val="fr-FR"/>
        </w:rPr>
        <w:t xml:space="preserve"> Définition de la Question et programme de travail</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1</w:t>
      </w:r>
    </w:p>
    <w:p w:rsidR="00903888" w:rsidRPr="00297D79" w:rsidRDefault="00903888" w:rsidP="00DA73D6">
      <w:pPr>
        <w:pStyle w:val="TOC1"/>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2</w:t>
      </w:r>
      <w:r w:rsidRPr="00297D79">
        <w:rPr>
          <w:rStyle w:val="Hyperlink"/>
          <w:noProof/>
          <w:color w:val="auto"/>
          <w:u w:val="none"/>
          <w:lang w:val="fr-FR"/>
        </w:rPr>
        <w:tab/>
        <w:t xml:space="preserve">Tendances internationales des services de télécommunication: libéralisation des marchés des télécommunications; </w:t>
      </w:r>
      <w:r w:rsidR="00DA73D6">
        <w:rPr>
          <w:rStyle w:val="Hyperlink"/>
          <w:noProof/>
          <w:color w:val="auto"/>
          <w:u w:val="none"/>
          <w:lang w:val="fr-FR"/>
        </w:rPr>
        <w:t>nouveaux produits et services</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1</w:t>
      </w:r>
    </w:p>
    <w:p w:rsidR="00903888" w:rsidRPr="00297D79" w:rsidRDefault="00903888" w:rsidP="00903888">
      <w:pPr>
        <w:pStyle w:val="TOC2"/>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2.1</w:t>
      </w:r>
      <w:r w:rsidRPr="00297D79">
        <w:rPr>
          <w:rStyle w:val="Hyperlink"/>
          <w:noProof/>
          <w:color w:val="auto"/>
          <w:u w:val="none"/>
          <w:lang w:val="fr-FR"/>
        </w:rPr>
        <w:tab/>
        <w:t>Libéralisation des marchés des télécommunications</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1</w:t>
      </w:r>
    </w:p>
    <w:p w:rsidR="00903888" w:rsidRPr="00297D79" w:rsidRDefault="00903888" w:rsidP="00903888">
      <w:pPr>
        <w:pStyle w:val="TOC2"/>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2.2</w:t>
      </w:r>
      <w:r w:rsidRPr="00297D79">
        <w:rPr>
          <w:rStyle w:val="Hyperlink"/>
          <w:noProof/>
          <w:color w:val="auto"/>
          <w:u w:val="none"/>
          <w:lang w:val="fr-FR"/>
        </w:rPr>
        <w:tab/>
        <w:t>Nouveaux produits et services et nouvelles méthodes de travail dans le secteur des télécommunications</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3</w:t>
      </w:r>
    </w:p>
    <w:p w:rsidR="00903888" w:rsidRPr="00297D79" w:rsidRDefault="00903888" w:rsidP="00903888">
      <w:pPr>
        <w:pStyle w:val="TOC1"/>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3</w:t>
      </w:r>
      <w:r w:rsidRPr="00297D79">
        <w:rPr>
          <w:rStyle w:val="Hyperlink"/>
          <w:noProof/>
          <w:color w:val="auto"/>
          <w:u w:val="none"/>
          <w:lang w:val="fr-FR"/>
        </w:rPr>
        <w:tab/>
        <w:t>Analyse qualitative et quantitative de l'incidence du développement des télécommunications sur l'emploi dans le secteur des télécommunications</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4</w:t>
      </w:r>
    </w:p>
    <w:p w:rsidR="00903888" w:rsidRPr="00297D79" w:rsidRDefault="00903888" w:rsidP="00903888">
      <w:pPr>
        <w:pStyle w:val="TOC2"/>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3.1</w:t>
      </w:r>
      <w:r w:rsidRPr="00297D79">
        <w:rPr>
          <w:rStyle w:val="Hyperlink"/>
          <w:noProof/>
          <w:color w:val="auto"/>
          <w:u w:val="none"/>
          <w:lang w:val="fr-FR"/>
        </w:rPr>
        <w:tab/>
        <w:t>Incidences sur les entreprises de téléphonie fixe</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4</w:t>
      </w:r>
    </w:p>
    <w:p w:rsidR="00903888" w:rsidRPr="00297D79" w:rsidRDefault="00903888" w:rsidP="00903888">
      <w:pPr>
        <w:pStyle w:val="TOC2"/>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3.2</w:t>
      </w:r>
      <w:r w:rsidRPr="00297D79">
        <w:rPr>
          <w:rStyle w:val="Hyperlink"/>
          <w:noProof/>
          <w:color w:val="auto"/>
          <w:u w:val="none"/>
          <w:lang w:val="fr-FR"/>
        </w:rPr>
        <w:tab/>
        <w:t>Incidences sur les entreprises de téléphonie mobile</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7</w:t>
      </w:r>
    </w:p>
    <w:p w:rsidR="00903888" w:rsidRPr="00297D79" w:rsidRDefault="00903888" w:rsidP="00903888">
      <w:pPr>
        <w:pStyle w:val="TOC2"/>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3.3</w:t>
      </w:r>
      <w:r w:rsidRPr="00297D79">
        <w:rPr>
          <w:rStyle w:val="Hyperlink"/>
          <w:noProof/>
          <w:color w:val="auto"/>
          <w:u w:val="none"/>
          <w:lang w:val="fr-FR"/>
        </w:rPr>
        <w:tab/>
        <w:t>Incidences de l'</w:t>
      </w:r>
      <w:r w:rsidR="00DA73D6" w:rsidRPr="00297D79">
        <w:rPr>
          <w:rStyle w:val="Hyperlink"/>
          <w:noProof/>
          <w:color w:val="auto"/>
          <w:u w:val="none"/>
          <w:lang w:val="fr-FR"/>
        </w:rPr>
        <w:t>I</w:t>
      </w:r>
      <w:r w:rsidRPr="00297D79">
        <w:rPr>
          <w:rStyle w:val="Hyperlink"/>
          <w:noProof/>
          <w:color w:val="auto"/>
          <w:u w:val="none"/>
          <w:lang w:val="fr-FR"/>
        </w:rPr>
        <w:t>nternet</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8</w:t>
      </w:r>
    </w:p>
    <w:p w:rsidR="00903888" w:rsidRPr="00903888" w:rsidRDefault="00903888" w:rsidP="00903888">
      <w:pPr>
        <w:pStyle w:val="TOC1"/>
        <w:tabs>
          <w:tab w:val="clear" w:pos="8789"/>
          <w:tab w:val="clear" w:pos="9214"/>
          <w:tab w:val="left" w:leader="dot" w:pos="9072"/>
          <w:tab w:val="right" w:pos="9639"/>
        </w:tabs>
        <w:rPr>
          <w:rStyle w:val="Hyperlink"/>
          <w:noProof/>
          <w:color w:val="auto"/>
          <w:u w:val="none"/>
          <w:lang w:val="fr-FR"/>
        </w:rPr>
      </w:pPr>
      <w:r w:rsidRPr="00903888">
        <w:rPr>
          <w:rStyle w:val="Hyperlink"/>
          <w:noProof/>
          <w:color w:val="auto"/>
          <w:u w:val="none"/>
          <w:lang w:val="fr-FR"/>
        </w:rPr>
        <w:t>4</w:t>
      </w:r>
      <w:r w:rsidRPr="00903888">
        <w:rPr>
          <w:rStyle w:val="Hyperlink"/>
          <w:noProof/>
          <w:color w:val="auto"/>
          <w:u w:val="none"/>
          <w:lang w:val="fr-FR"/>
        </w:rPr>
        <w:tab/>
        <w:t>Approches stratégiques liées à l'emploi direct</w:t>
      </w:r>
      <w:r>
        <w:rPr>
          <w:rStyle w:val="Hyperlink"/>
          <w:noProof/>
          <w:color w:val="auto"/>
          <w:u w:val="none"/>
          <w:lang w:val="fr-FR"/>
        </w:rPr>
        <w:tab/>
      </w:r>
      <w:r>
        <w:rPr>
          <w:rStyle w:val="Hyperlink"/>
          <w:noProof/>
          <w:color w:val="auto"/>
          <w:u w:val="none"/>
          <w:lang w:val="fr-FR"/>
        </w:rPr>
        <w:tab/>
      </w:r>
      <w:r w:rsidR="001B0D78">
        <w:rPr>
          <w:rStyle w:val="Hyperlink"/>
          <w:noProof/>
          <w:color w:val="auto"/>
          <w:u w:val="none"/>
          <w:lang w:val="fr-FR"/>
        </w:rPr>
        <w:t>9</w:t>
      </w:r>
    </w:p>
    <w:p w:rsidR="00903888" w:rsidRPr="00297D79" w:rsidRDefault="00903888" w:rsidP="00903888">
      <w:pPr>
        <w:pStyle w:val="TOC1"/>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5</w:t>
      </w:r>
      <w:r w:rsidRPr="00297D79">
        <w:rPr>
          <w:rStyle w:val="Hyperlink"/>
          <w:noProof/>
          <w:color w:val="auto"/>
          <w:u w:val="none"/>
          <w:lang w:val="fr-FR"/>
        </w:rPr>
        <w:tab/>
        <w:t>Evolution des emplois indirects ou induits et des emplois sur le "marché gris"</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14</w:t>
      </w:r>
    </w:p>
    <w:p w:rsidR="00903888" w:rsidRPr="00297D79" w:rsidRDefault="00903888" w:rsidP="00903888">
      <w:pPr>
        <w:pStyle w:val="TOC1"/>
        <w:tabs>
          <w:tab w:val="clear" w:pos="8789"/>
          <w:tab w:val="clear" w:pos="9214"/>
          <w:tab w:val="left" w:leader="dot" w:pos="9072"/>
          <w:tab w:val="right" w:pos="9639"/>
        </w:tabs>
        <w:rPr>
          <w:rStyle w:val="Hyperlink"/>
          <w:noProof/>
          <w:color w:val="auto"/>
          <w:u w:val="none"/>
          <w:lang w:val="fr-FR"/>
        </w:rPr>
      </w:pPr>
      <w:r w:rsidRPr="00297D79">
        <w:rPr>
          <w:rStyle w:val="Hyperlink"/>
          <w:noProof/>
          <w:color w:val="auto"/>
          <w:u w:val="none"/>
          <w:lang w:val="fr-FR"/>
        </w:rPr>
        <w:t>6</w:t>
      </w:r>
      <w:r w:rsidRPr="00297D79">
        <w:rPr>
          <w:rStyle w:val="Hyperlink"/>
          <w:noProof/>
          <w:color w:val="auto"/>
          <w:u w:val="none"/>
          <w:lang w:val="fr-FR"/>
        </w:rPr>
        <w:tab/>
        <w:t>Conclusion</w:t>
      </w:r>
      <w:r w:rsidRPr="00297D79">
        <w:rPr>
          <w:rStyle w:val="Hyperlink"/>
          <w:noProof/>
          <w:color w:val="auto"/>
          <w:u w:val="none"/>
          <w:lang w:val="fr-FR"/>
        </w:rPr>
        <w:tab/>
      </w:r>
      <w:r w:rsidRPr="00297D79">
        <w:rPr>
          <w:rStyle w:val="Hyperlink"/>
          <w:noProof/>
          <w:color w:val="auto"/>
          <w:u w:val="none"/>
          <w:lang w:val="fr-FR"/>
        </w:rPr>
        <w:tab/>
      </w:r>
      <w:r w:rsidR="001B0D78">
        <w:rPr>
          <w:rStyle w:val="Hyperlink"/>
          <w:noProof/>
          <w:color w:val="auto"/>
          <w:u w:val="none"/>
          <w:lang w:val="fr-FR"/>
        </w:rPr>
        <w:t>17</w:t>
      </w:r>
    </w:p>
    <w:p w:rsidR="00903888" w:rsidRPr="00297D79" w:rsidRDefault="00903888" w:rsidP="00F27E5C">
      <w:pPr>
        <w:pStyle w:val="TOC1"/>
        <w:tabs>
          <w:tab w:val="clear" w:pos="8789"/>
          <w:tab w:val="clear" w:pos="9214"/>
          <w:tab w:val="left" w:leader="dot" w:pos="9072"/>
          <w:tab w:val="right" w:pos="9639"/>
        </w:tabs>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F27E5C" w:rsidRPr="00297D79" w:rsidRDefault="00F27E5C" w:rsidP="00F27E5C">
      <w:pPr>
        <w:rPr>
          <w:lang w:val="fr-FR"/>
        </w:rPr>
      </w:pPr>
    </w:p>
    <w:p w:rsidR="00096FCD" w:rsidRPr="00297D79" w:rsidRDefault="00096FCD" w:rsidP="00511555">
      <w:pPr>
        <w:rPr>
          <w:rFonts w:eastAsia="SimSun"/>
          <w:noProof/>
          <w:webHidden/>
          <w:sz w:val="24"/>
          <w:lang w:val="fr-FR" w:eastAsia="zh-CN"/>
        </w:rPr>
      </w:pPr>
    </w:p>
    <w:p w:rsidR="0010386F" w:rsidRPr="00297D79" w:rsidRDefault="0010386F" w:rsidP="00E83FA2">
      <w:pPr>
        <w:rPr>
          <w:lang w:val="fr-FR"/>
        </w:rPr>
        <w:sectPr w:rsidR="0010386F" w:rsidRPr="00297D79" w:rsidSect="001542C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B22BE0" w:rsidRPr="00297D79" w:rsidRDefault="00EC2A2B" w:rsidP="00C15CB2">
      <w:pPr>
        <w:pStyle w:val="Questiontitle"/>
        <w:rPr>
          <w:lang w:val="fr-FR"/>
        </w:rPr>
      </w:pPr>
      <w:r w:rsidRPr="00297D79">
        <w:rPr>
          <w:lang w:val="fr-FR"/>
        </w:rPr>
        <w:lastRenderedPageBreak/>
        <w:t>QUESTION</w:t>
      </w:r>
      <w:r w:rsidR="006B709C" w:rsidRPr="00297D79">
        <w:rPr>
          <w:lang w:val="fr-FR"/>
        </w:rPr>
        <w:t xml:space="preserve"> </w:t>
      </w:r>
      <w:r w:rsidR="00C15CB2" w:rsidRPr="00297D79">
        <w:rPr>
          <w:lang w:val="fr-FR"/>
        </w:rPr>
        <w:t>21</w:t>
      </w:r>
      <w:r w:rsidR="00CE7324" w:rsidRPr="00297D79">
        <w:rPr>
          <w:lang w:val="fr-FR"/>
        </w:rPr>
        <w:t>-</w:t>
      </w:r>
      <w:r w:rsidR="00C15CB2" w:rsidRPr="00297D79">
        <w:rPr>
          <w:lang w:val="fr-FR"/>
        </w:rPr>
        <w:t>1</w:t>
      </w:r>
      <w:r w:rsidRPr="00297D79">
        <w:rPr>
          <w:lang w:val="fr-FR"/>
        </w:rPr>
        <w:t>/</w:t>
      </w:r>
      <w:r w:rsidR="006148CB" w:rsidRPr="00297D79">
        <w:rPr>
          <w:lang w:val="fr-FR"/>
        </w:rPr>
        <w:t>1</w:t>
      </w:r>
    </w:p>
    <w:p w:rsidR="00912CE9" w:rsidRPr="00912CE9" w:rsidRDefault="00C82AF3" w:rsidP="00912CE9">
      <w:pPr>
        <w:pStyle w:val="Heading1"/>
        <w:rPr>
          <w:noProof/>
          <w:lang w:val="fr-FR"/>
        </w:rPr>
      </w:pPr>
      <w:bookmarkStart w:id="11" w:name="_Toc258938500"/>
      <w:r w:rsidRPr="00912CE9">
        <w:rPr>
          <w:lang w:val="fr-FR"/>
        </w:rPr>
        <w:t>1</w:t>
      </w:r>
      <w:r w:rsidRPr="00912CE9">
        <w:rPr>
          <w:lang w:val="fr-FR"/>
        </w:rPr>
        <w:tab/>
      </w:r>
      <w:bookmarkEnd w:id="11"/>
      <w:r w:rsidR="00912CE9" w:rsidRPr="00912CE9">
        <w:rPr>
          <w:noProof/>
          <w:lang w:val="fr-FR"/>
        </w:rPr>
        <w:t>Domaine d'études</w:t>
      </w:r>
      <w:r w:rsidR="00E63ADD">
        <w:rPr>
          <w:noProof/>
          <w:lang w:val="fr-FR"/>
        </w:rPr>
        <w:t xml:space="preserve"> – </w:t>
      </w:r>
      <w:r w:rsidR="00912CE9" w:rsidRPr="00912CE9">
        <w:rPr>
          <w:noProof/>
          <w:lang w:val="fr-FR"/>
        </w:rPr>
        <w:t>Définition de la Question et programme de travail</w:t>
      </w:r>
    </w:p>
    <w:p w:rsidR="00912CE9" w:rsidRPr="00912CE9" w:rsidRDefault="00912CE9" w:rsidP="00912CE9">
      <w:pPr>
        <w:rPr>
          <w:lang w:val="fr-FR"/>
        </w:rPr>
      </w:pPr>
      <w:r w:rsidRPr="00912CE9">
        <w:rPr>
          <w:lang w:val="fr-FR"/>
        </w:rPr>
        <w:t>La libéralisation et la privatisation du secteur des télécommunications au cours de ces dernières années ont suscité des investissements considérables partout dans le monde. Ces investissements ont permis de mettre en place des services, qui ont à leur tour entraîné de nouveaux investissements car la demande dépassait l'offre. Aujourd'hui, dans la plupart des pays, le secteur des télécommunications est source d'importants avantages économiques si l'on considère sa part dans le PIB, les recettes publiques qu'il génère par le biais de diverses taxes et l'emploi qu'il crée.</w:t>
      </w:r>
    </w:p>
    <w:p w:rsidR="00912CE9" w:rsidRPr="00912CE9" w:rsidRDefault="00912CE9" w:rsidP="00912CE9">
      <w:pPr>
        <w:rPr>
          <w:lang w:val="fr-FR"/>
        </w:rPr>
      </w:pPr>
      <w:r w:rsidRPr="00912CE9">
        <w:rPr>
          <w:lang w:val="fr-FR"/>
        </w:rPr>
        <w:t>En effet, les réformes politiques susmentionnées ont une influence décisive visible sur la structure et le niveau d'emploi direct dans le secteur des télécommunications. Si des emplois ont été détruits dans certains domaines, en particulier chez les opérateurs de services de télécommunication traditionnels, le dynamisme général qui en a résulté a permis d'en créer ailleurs, dans des proportions parfois plus importantes. Un nombre considérable d'emplois ont vu le jour chez les nouveaux opérateurs de réseaux et fournisseurs de services de télécommunication, les marchés ayant été ouverts à la concurrence, et chez les fabricants pour répondre à la nouvelle demande.</w:t>
      </w:r>
    </w:p>
    <w:p w:rsidR="00912CE9" w:rsidRPr="00912CE9" w:rsidRDefault="00912CE9" w:rsidP="00912CE9">
      <w:pPr>
        <w:rPr>
          <w:lang w:val="fr-FR"/>
        </w:rPr>
      </w:pPr>
      <w:r w:rsidRPr="00912CE9">
        <w:rPr>
          <w:lang w:val="fr-FR"/>
        </w:rPr>
        <w:t>Le secteur génère aussi de nombreux emplois indirects. Les fournisseurs des opérateurs ont connu une période de croissance ces dernières années. Sous l'effet de la libéralisation, il a fallu envisager d'externaliser certaines activités liées aux télécommunications. Les services IT sont eux aussi un moteur important de la création d'emplois grâce à la délocalisation dans divers domaines (centres d'appel, transcription médicale, gestion de bases de données, services administratifs, traitement de données, ressources humaines, services de sites web, comptabilité des recettes, etc.). Dans de nombreux pays en développement, le marché gris a généré de nouveaux emplois grâce à des activités comme la revente, la maintenance d'équipements, ou encore la vente de pièces de rechange.</w:t>
      </w:r>
    </w:p>
    <w:p w:rsidR="00C82AF3" w:rsidRPr="00912CE9" w:rsidRDefault="00912CE9" w:rsidP="00912CE9">
      <w:pPr>
        <w:rPr>
          <w:lang w:val="fr-FR"/>
        </w:rPr>
      </w:pPr>
      <w:r w:rsidRPr="00912CE9">
        <w:rPr>
          <w:lang w:val="fr-FR"/>
        </w:rPr>
        <w:t xml:space="preserve">Le présent rapport porte sur une évaluation qualitative et quantitative des emplois créés directement ou indirectement grâce au développement des télécommunications sur les marchés du travail nationaux après un processus de privatisation et de libéralisation, en particulier dans les trois </w:t>
      </w:r>
      <w:proofErr w:type="spellStart"/>
      <w:r w:rsidRPr="00912CE9">
        <w:rPr>
          <w:lang w:val="fr-FR"/>
        </w:rPr>
        <w:t>sous</w:t>
      </w:r>
      <w:r w:rsidRPr="00912CE9">
        <w:rPr>
          <w:lang w:val="fr-FR"/>
        </w:rPr>
        <w:noBreakHyphen/>
        <w:t>secteurs</w:t>
      </w:r>
      <w:proofErr w:type="spellEnd"/>
      <w:r w:rsidRPr="00912CE9">
        <w:rPr>
          <w:lang w:val="fr-FR"/>
        </w:rPr>
        <w:t xml:space="preserve"> suivants</w:t>
      </w:r>
      <w:r w:rsidR="00C82AF3" w:rsidRPr="00912CE9">
        <w:rPr>
          <w:lang w:val="fr-FR"/>
        </w:rPr>
        <w:t>:</w:t>
      </w:r>
    </w:p>
    <w:p w:rsidR="00C82AF3" w:rsidRPr="00297D79" w:rsidRDefault="00C82AF3" w:rsidP="00BB642E">
      <w:pPr>
        <w:pStyle w:val="enumlev1"/>
        <w:rPr>
          <w:lang w:val="fr-FR"/>
        </w:rPr>
      </w:pPr>
      <w:r w:rsidRPr="00297D79">
        <w:rPr>
          <w:lang w:val="fr-FR"/>
        </w:rPr>
        <w:t>1</w:t>
      </w:r>
      <w:r w:rsidR="00BB642E">
        <w:rPr>
          <w:lang w:val="fr-FR"/>
        </w:rPr>
        <w:t>)</w:t>
      </w:r>
      <w:r w:rsidRPr="00297D79">
        <w:rPr>
          <w:lang w:val="fr-FR"/>
        </w:rPr>
        <w:tab/>
      </w:r>
      <w:r w:rsidR="00912CE9" w:rsidRPr="00297D79">
        <w:rPr>
          <w:rFonts w:eastAsia="SimHei"/>
          <w:lang w:val="fr-FR" w:eastAsia="zh-CN"/>
        </w:rPr>
        <w:t>téléphonie fixe</w:t>
      </w:r>
      <w:r w:rsidRPr="00297D79">
        <w:rPr>
          <w:lang w:val="fr-FR"/>
        </w:rPr>
        <w:t>;</w:t>
      </w:r>
    </w:p>
    <w:p w:rsidR="00C82AF3" w:rsidRPr="00297D79" w:rsidRDefault="00C82AF3" w:rsidP="00BB642E">
      <w:pPr>
        <w:pStyle w:val="enumlev1"/>
        <w:rPr>
          <w:lang w:val="fr-FR"/>
        </w:rPr>
      </w:pPr>
      <w:r w:rsidRPr="00297D79">
        <w:rPr>
          <w:lang w:val="fr-FR"/>
        </w:rPr>
        <w:t>2</w:t>
      </w:r>
      <w:r w:rsidR="00BB642E">
        <w:rPr>
          <w:lang w:val="fr-FR"/>
        </w:rPr>
        <w:t>)</w:t>
      </w:r>
      <w:r w:rsidRPr="00297D79">
        <w:rPr>
          <w:lang w:val="fr-FR"/>
        </w:rPr>
        <w:tab/>
      </w:r>
      <w:r w:rsidR="00912CE9" w:rsidRPr="00297D79">
        <w:rPr>
          <w:rFonts w:asciiTheme="majorBidi" w:eastAsia="SimHei" w:hAnsiTheme="majorBidi" w:cstheme="majorBidi"/>
          <w:bCs/>
          <w:szCs w:val="24"/>
          <w:lang w:val="fr-FR" w:eastAsia="zh-CN"/>
        </w:rPr>
        <w:t>téléphonie mobile; et</w:t>
      </w:r>
    </w:p>
    <w:p w:rsidR="00C82AF3" w:rsidRPr="00297D79" w:rsidRDefault="00C82AF3" w:rsidP="00BB642E">
      <w:pPr>
        <w:pStyle w:val="enumlev1"/>
        <w:rPr>
          <w:lang w:val="fr-FR"/>
        </w:rPr>
      </w:pPr>
      <w:r w:rsidRPr="00297D79">
        <w:rPr>
          <w:lang w:val="fr-FR"/>
        </w:rPr>
        <w:t>3</w:t>
      </w:r>
      <w:r w:rsidR="00BB642E">
        <w:rPr>
          <w:lang w:val="fr-FR"/>
        </w:rPr>
        <w:t>)</w:t>
      </w:r>
      <w:r w:rsidRPr="00297D79">
        <w:rPr>
          <w:lang w:val="fr-FR"/>
        </w:rPr>
        <w:tab/>
        <w:t>Internet</w:t>
      </w:r>
    </w:p>
    <w:p w:rsidR="00912CE9" w:rsidRPr="00912CE9" w:rsidRDefault="00912CE9" w:rsidP="00912CE9">
      <w:pPr>
        <w:rPr>
          <w:lang w:val="fr-FR"/>
        </w:rPr>
      </w:pPr>
      <w:r w:rsidRPr="00912CE9">
        <w:rPr>
          <w:lang w:val="fr-FR"/>
        </w:rPr>
        <w:t xml:space="preserve">Il décrit en premier lieu les tendances récentes de la réglementation, des services et des investissements dans le secteur des télécommunications et leurs effets sur l'économie dans son ensemble en termes de nouveaux emplois créés. On s'intéressera en deuxième lieu à l'incidence sur l'emploi direct dans le secteur des télécommunications, avant d'analyser les </w:t>
      </w:r>
      <w:r w:rsidRPr="00B56515">
        <w:rPr>
          <w:lang w:val="fr-CH"/>
        </w:rPr>
        <w:t xml:space="preserve">stratégies </w:t>
      </w:r>
      <w:r w:rsidRPr="00912CE9">
        <w:rPr>
          <w:lang w:val="fr-FR"/>
        </w:rPr>
        <w:t>adoptées par les pays et les entreprises en matière d'emploi. Le rapport fournit ensuite une évaluation des emplois indirects, induits et sur le "marché gris".</w:t>
      </w:r>
    </w:p>
    <w:p w:rsidR="00912CE9" w:rsidRPr="00912CE9" w:rsidRDefault="00912CE9" w:rsidP="00912CE9">
      <w:pPr>
        <w:rPr>
          <w:lang w:val="fr-FR"/>
        </w:rPr>
      </w:pPr>
      <w:r w:rsidRPr="00912CE9">
        <w:rPr>
          <w:lang w:val="fr-FR"/>
        </w:rPr>
        <w:t>Cette étude repose sur un examen des publications existantes à ce sujet et sur les contributions soumises par les pays concernant l'expérience qu'ils ont acquise et les politiques qu'ils ont menées.</w:t>
      </w:r>
    </w:p>
    <w:p w:rsidR="00912CE9" w:rsidRPr="00912CE9" w:rsidRDefault="00912CE9" w:rsidP="00912CE9">
      <w:pPr>
        <w:pStyle w:val="Heading1"/>
        <w:rPr>
          <w:lang w:val="fr-FR"/>
        </w:rPr>
      </w:pPr>
      <w:bookmarkStart w:id="12" w:name="_Toc219785628"/>
      <w:r w:rsidRPr="00912CE9">
        <w:rPr>
          <w:lang w:val="fr-FR"/>
        </w:rPr>
        <w:t>2</w:t>
      </w:r>
      <w:r w:rsidRPr="00912CE9">
        <w:rPr>
          <w:lang w:val="fr-FR"/>
        </w:rPr>
        <w:tab/>
        <w:t>Tendances internationales des services de télécommunication: libéralisation des marchés des télécommunications</w:t>
      </w:r>
      <w:bookmarkEnd w:id="12"/>
      <w:r w:rsidRPr="00912CE9">
        <w:rPr>
          <w:lang w:val="fr-FR"/>
        </w:rPr>
        <w:t>, nouveaux produits et services</w:t>
      </w:r>
    </w:p>
    <w:p w:rsidR="00912CE9" w:rsidRPr="00297D79" w:rsidRDefault="00912CE9" w:rsidP="00912CE9">
      <w:pPr>
        <w:pStyle w:val="Heading2"/>
        <w:rPr>
          <w:lang w:val="fr-FR"/>
        </w:rPr>
      </w:pPr>
      <w:bookmarkStart w:id="13" w:name="_Toc219785629"/>
      <w:r w:rsidRPr="00297D79">
        <w:rPr>
          <w:lang w:val="fr-FR"/>
        </w:rPr>
        <w:t>2.1</w:t>
      </w:r>
      <w:r w:rsidRPr="00297D79">
        <w:rPr>
          <w:lang w:val="fr-FR"/>
        </w:rPr>
        <w:tab/>
        <w:t>Libéralisation des marchés des télécommunications</w:t>
      </w:r>
      <w:bookmarkEnd w:id="13"/>
    </w:p>
    <w:p w:rsidR="00C82AF3" w:rsidRPr="00912CE9" w:rsidRDefault="00912CE9" w:rsidP="00912CE9">
      <w:pPr>
        <w:rPr>
          <w:lang w:val="fr-FR"/>
        </w:rPr>
      </w:pPr>
      <w:r w:rsidRPr="00912CE9">
        <w:rPr>
          <w:lang w:val="fr-FR"/>
        </w:rPr>
        <w:t xml:space="preserve">A l'heure actuelle, les services de télécommunication se caractérisent par des évolutions technologiques rapides, un phénomène de déréglementation et de privatisation, des </w:t>
      </w:r>
      <w:proofErr w:type="spellStart"/>
      <w:r w:rsidRPr="00912CE9">
        <w:rPr>
          <w:lang w:val="fr-FR"/>
        </w:rPr>
        <w:t>fusions</w:t>
      </w:r>
      <w:r w:rsidRPr="00912CE9">
        <w:rPr>
          <w:lang w:val="fr-FR"/>
        </w:rPr>
        <w:noBreakHyphen/>
        <w:t>acquisitions</w:t>
      </w:r>
      <w:proofErr w:type="spellEnd"/>
      <w:r w:rsidRPr="00912CE9">
        <w:rPr>
          <w:lang w:val="fr-FR"/>
        </w:rPr>
        <w:t xml:space="preserve"> entre anciens et nouveaux fournisseurs de services, la multiplication de nouveaux services à forte valeur et une évolution vers un secteur de l'information et des communications intégré</w:t>
      </w:r>
      <w:r w:rsidR="00E63ADD">
        <w:rPr>
          <w:lang w:val="fr-FR"/>
        </w:rPr>
        <w:t xml:space="preserve"> – </w:t>
      </w:r>
      <w:r w:rsidRPr="00912CE9">
        <w:rPr>
          <w:lang w:val="fr-FR"/>
        </w:rPr>
        <w:t xml:space="preserve">la "convergence". Ces services ont connu une restructuration profonde et le cadre réglementaire qui leur est applicable a évolué de manière significative aux niveaux national, régional et mondial, ce qui a à nouveau accentué la tendance à une restructuration </w:t>
      </w:r>
      <w:r w:rsidRPr="00912CE9">
        <w:rPr>
          <w:lang w:val="fr-FR"/>
        </w:rPr>
        <w:lastRenderedPageBreak/>
        <w:t>toujours plus forte. Les opérateurs traditionnels auparavant en situation de monopole voient leurs activités diminuer de plus en plus au profit de nouveaux concurrents. Toutefois, sous l'effet d'un monde toujours plus concurrentiel et en réseau, le secteur connaît une croissance continue, ainsi que des évolutions et des avancées rapides en ce qui concerne la mise au point de politiques et de technologies. La fracture numérique a réellement été réduite et ce constat est encourageant. Les statistiques de l'UIT font apparaître des taux de croissance exceptionnels dans le secteur de la téléphonie mobile, dont les t</w:t>
      </w:r>
      <w:r w:rsidRPr="00B56515">
        <w:rPr>
          <w:lang w:val="fr-CH"/>
        </w:rPr>
        <w:t>aux de pénétration ont dépassé ceux de l</w:t>
      </w:r>
      <w:r>
        <w:rPr>
          <w:lang w:val="fr-CH"/>
        </w:rPr>
        <w:t>a téléphonie fixe en 2002, avec </w:t>
      </w:r>
      <w:r w:rsidRPr="00B56515">
        <w:rPr>
          <w:lang w:val="fr-CH"/>
        </w:rPr>
        <w:t>67 abonnés pour 100 habitants selon les estimations, soit 4,6 milliards d'abonnés dans le monde</w:t>
      </w:r>
      <w:r>
        <w:rPr>
          <w:lang w:val="fr-CH"/>
        </w:rPr>
        <w:t>,</w:t>
      </w:r>
      <w:r w:rsidRPr="00B56515">
        <w:rPr>
          <w:lang w:val="fr-CH"/>
        </w:rPr>
        <w:t xml:space="preserve"> fin 2009 (Figure 1). Entre 2008 et 2009, le taux de pénétration de la téléphonie mobile cellulaire dans les pays en dévelop</w:t>
      </w:r>
      <w:r>
        <w:rPr>
          <w:lang w:val="fr-CH"/>
        </w:rPr>
        <w:t>pement a franchi la barre des 50%</w:t>
      </w:r>
      <w:r w:rsidRPr="00B56515">
        <w:rPr>
          <w:lang w:val="fr-CH"/>
        </w:rPr>
        <w:t xml:space="preserve"> pour atteindre, d'après les estimations, les 57 abonnés pour 100 habitants fin 2009. Par contre, le nombre de lignes fixes a commencé à diminuer en 2006 dans les pays développés et en 2008 dans les pays en développement, puisqu'il s'établissait respectivement à 42 et 13 lignes pour 100 habitants fin 2009</w:t>
      </w:r>
      <w:r w:rsidR="00C82AF3" w:rsidRPr="00912CE9">
        <w:rPr>
          <w:lang w:val="fr-FR"/>
        </w:rPr>
        <w:t>.</w:t>
      </w:r>
    </w:p>
    <w:p w:rsidR="00C82AF3" w:rsidRPr="00912CE9" w:rsidRDefault="00C82AF3" w:rsidP="000C30DB">
      <w:pPr>
        <w:rPr>
          <w:lang w:val="fr-FR"/>
        </w:rPr>
      </w:pPr>
    </w:p>
    <w:tbl>
      <w:tblPr>
        <w:tblpPr w:leftFromText="180" w:rightFromText="180" w:vertAnchor="text" w:horzAnchor="margin" w:tblpXSpec="center" w:tblpY="78"/>
        <w:tblOverlap w:val="never"/>
        <w:tblW w:w="9639" w:type="dxa"/>
        <w:tblLook w:val="0000"/>
      </w:tblPr>
      <w:tblGrid>
        <w:gridCol w:w="9855"/>
      </w:tblGrid>
      <w:tr w:rsidR="00C82AF3" w:rsidRPr="00C30982" w:rsidTr="002B2B7A">
        <w:trPr>
          <w:trHeight w:val="4159"/>
        </w:trPr>
        <w:tc>
          <w:tcPr>
            <w:tcW w:w="10433" w:type="dxa"/>
          </w:tcPr>
          <w:tbl>
            <w:tblPr>
              <w:tblpPr w:leftFromText="180" w:rightFromText="180" w:vertAnchor="text" w:horzAnchor="margin" w:tblpXSpec="center" w:tblpY="78"/>
              <w:tblOverlap w:val="never"/>
              <w:tblW w:w="10207" w:type="dxa"/>
              <w:tblLook w:val="0000"/>
            </w:tblPr>
            <w:tblGrid>
              <w:gridCol w:w="10207"/>
            </w:tblGrid>
            <w:tr w:rsidR="008D0D80" w:rsidRPr="00C30982" w:rsidTr="00485BCD">
              <w:trPr>
                <w:trHeight w:val="4159"/>
              </w:trPr>
              <w:tc>
                <w:tcPr>
                  <w:tcW w:w="10207" w:type="dxa"/>
                </w:tcPr>
                <w:p w:rsidR="008D0D80" w:rsidRPr="00B56515" w:rsidRDefault="005E0020" w:rsidP="005E0020">
                  <w:pPr>
                    <w:pStyle w:val="FigureTitle"/>
                    <w:jc w:val="left"/>
                    <w:rPr>
                      <w:rFonts w:asciiTheme="majorBidi" w:hAnsiTheme="majorBidi" w:cstheme="majorBidi"/>
                      <w:sz w:val="19"/>
                      <w:szCs w:val="19"/>
                      <w:lang w:val="fr-CH"/>
                    </w:rPr>
                  </w:pPr>
                  <w:r>
                    <w:rPr>
                      <w:rFonts w:asciiTheme="majorBidi" w:hAnsiTheme="majorBidi" w:cstheme="majorBidi"/>
                      <w:sz w:val="19"/>
                      <w:szCs w:val="19"/>
                      <w:lang w:val="fr-CH"/>
                    </w:rPr>
                    <w:t xml:space="preserve">Figure: 1 </w:t>
                  </w:r>
                  <w:r w:rsidRPr="005E0020">
                    <w:rPr>
                      <w:rFonts w:asciiTheme="majorBidi" w:hAnsiTheme="majorBidi" w:cstheme="majorBidi"/>
                      <w:sz w:val="19"/>
                      <w:szCs w:val="19"/>
                      <w:lang w:val="fr-FR"/>
                    </w:rPr>
                    <w:t>–</w:t>
                  </w:r>
                  <w:r w:rsidR="008D0D80" w:rsidRPr="00B56515">
                    <w:rPr>
                      <w:rFonts w:asciiTheme="majorBidi" w:hAnsiTheme="majorBidi" w:cstheme="majorBidi"/>
                      <w:sz w:val="19"/>
                      <w:szCs w:val="19"/>
                      <w:lang w:val="fr-CH"/>
                    </w:rPr>
                    <w:t xml:space="preserve"> Le miracle du mobile*</w:t>
                  </w:r>
                </w:p>
                <w:p w:rsidR="008D0D80" w:rsidRPr="00B56515" w:rsidRDefault="00330ED2" w:rsidP="008D0D80">
                  <w:pPr>
                    <w:rPr>
                      <w:rFonts w:asciiTheme="majorBidi" w:hAnsiTheme="majorBidi" w:cstheme="majorBidi"/>
                      <w:sz w:val="16"/>
                      <w:szCs w:val="16"/>
                      <w:lang w:val="fr-CH"/>
                    </w:rPr>
                  </w:pPr>
                  <w:r w:rsidRPr="00330ED2">
                    <w:rPr>
                      <w:rFonts w:asciiTheme="majorBidi" w:hAnsiTheme="majorBidi" w:cstheme="majorBidi"/>
                      <w:sz w:val="24"/>
                      <w:lang w:val="fr-FR"/>
                    </w:rPr>
                  </w:r>
                  <w:r w:rsidRPr="00330ED2">
                    <w:rPr>
                      <w:rFonts w:asciiTheme="majorBidi" w:hAnsiTheme="majorBidi" w:cstheme="majorBidi"/>
                      <w:sz w:val="24"/>
                      <w:lang w:val="fr-FR"/>
                    </w:rPr>
                    <w:pict>
                      <v:group id="_x0000_s1125" editas="canvas" style="width:232.5pt;height:161.65pt;mso-position-horizontal-relative:char;mso-position-vertical-relative:line" coordorigin=",-160" coordsize="4650,32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top:-160;width:4650;height:3233" o:preferrelative="f">
                          <v:fill o:detectmouseclick="t"/>
                          <v:path o:extrusionok="t" o:connecttype="none"/>
                          <o:lock v:ext="edit" text="t"/>
                        </v:shape>
                        <v:rect id="_x0000_s1127" style="position:absolute;left:46;top:-157;width:4549;height:3230" strokeweight="0"/>
                        <v:line id="_x0000_s1128" style="position:absolute" from="453,157" to="454,2540" strokeweight="0"/>
                        <v:line id="_x0000_s1129" style="position:absolute" from="407,2540" to="453,2541" strokeweight="0"/>
                        <v:line id="_x0000_s1130" style="position:absolute" from="407,2143" to="453,2144" strokeweight="0"/>
                        <v:line id="_x0000_s1131" style="position:absolute" from="407,1746" to="453,1747" strokeweight="0"/>
                        <v:line id="_x0000_s1132" style="position:absolute" from="407,1349" to="453,1350" strokeweight="0"/>
                        <v:line id="_x0000_s1133" style="position:absolute" from="407,952" to="453,953" strokeweight="0"/>
                        <v:line id="_x0000_s1134" style="position:absolute" from="407,554" to="453,555" strokeweight="0"/>
                        <v:line id="_x0000_s1135" style="position:absolute" from="407,157" to="453,158" strokeweight="0"/>
                        <v:line id="_x0000_s1136" style="position:absolute" from="453,2540" to="4317,2541" strokeweight="0"/>
                        <v:line id="_x0000_s1137" style="position:absolute;flip:y" from="453,2540" to="454,2587" strokeweight="0"/>
                        <v:line id="_x0000_s1138" style="position:absolute;flip:y" from="777,2540" to="778,2587" strokeweight="0"/>
                        <v:line id="_x0000_s1139" style="position:absolute;flip:y" from="1100,2540" to="1101,2587" strokeweight="0"/>
                        <v:line id="_x0000_s1140" style="position:absolute;flip:y" from="1424,2540" to="1425,2587" strokeweight="0"/>
                        <v:line id="_x0000_s1141" style="position:absolute;flip:y" from="1738,2540" to="1739,2587" strokeweight="0"/>
                        <v:line id="_x0000_s1142" style="position:absolute;flip:y" from="2062,2540" to="2063,2587" strokeweight="0"/>
                        <v:line id="_x0000_s1143" style="position:absolute;flip:y" from="2385,2540" to="2386,2587" strokeweight="0"/>
                        <v:line id="_x0000_s1144" style="position:absolute;flip:y" from="2709,2540" to="2710,2587" strokeweight="0"/>
                        <v:line id="_x0000_s1145" style="position:absolute;flip:y" from="3032,2540" to="3033,2587" strokeweight="0"/>
                        <v:line id="_x0000_s1146" style="position:absolute;flip:y" from="3356,2540" to="3357,2587" strokeweight="0"/>
                        <v:line id="_x0000_s1147" style="position:absolute;flip:y" from="3670,2540" to="3671,2587" strokeweight="0"/>
                        <v:line id="_x0000_s1148" style="position:absolute;flip:y" from="3994,2540" to="3995,2587" strokeweight="0"/>
                        <v:line id="_x0000_s1149" style="position:absolute;flip:y" from="4317,2540" to="4318,2587" strokeweight="0"/>
                        <v:shape id="_x0000_s1150" style="position:absolute;left:610;top:286;width:3550;height:1783" coordsize="384,193" path="m,193l35,171,70,141r35,-19l140,111,175,97,209,81,244,63,279,46,314,29,349,12,384,e" filled="f" strokecolor="blue" strokeweight=".0005mm">
                          <v:path arrowok="t"/>
                        </v:shape>
                        <v:shape id="_x0000_s1151" style="position:absolute;left:610;top:1413;width:3550;height:1091" coordsize="384,118" path="m,118r35,-3l70,110r35,-5l140,99r35,-6l209,84,244,72,279,57,314,39,349,18,384,e" filled="f" strokeweight=".0005mm">
                          <v:path arrowok="t"/>
                        </v:shape>
                        <v:shape id="_x0000_s1152" style="position:absolute;left:610;top:1210;width:3550;height:1220" coordsize="384,132" path="m,132r35,-5l70,118r35,-7l140,105r35,-9l209,85,244,71,279,54,314,35,349,17,384,e" filled="f" strokecolor="red" strokeweight=".0005mm">
                          <v:path arrowok="t"/>
                        </v:shape>
                        <v:rect id="_x0000_s1153" style="position:absolute;left:582;top:2042;width:47;height:46" fillcolor="blue" strokecolor="blue" strokeweight=".00025mm"/>
                        <v:rect id="_x0000_s1154" style="position:absolute;left:906;top:1838;width:46;height:47" fillcolor="blue" strokecolor="blue" strokeweight=".00025mm"/>
                        <v:rect id="_x0000_s1155" style="position:absolute;left:1230;top:1561;width:46;height:46" fillcolor="blue" strokecolor="blue" strokeweight=".00025mm"/>
                        <v:rect id="_x0000_s1156" style="position:absolute;left:1553;top:1386;width:46;height:46" fillcolor="blue" strokecolor="blue" strokeweight=".00025mm"/>
                        <v:rect id="_x0000_s1157" style="position:absolute;left:1877;top:1284;width:46;height:46" fillcolor="blue" strokecolor="blue" strokeweight=".00025mm"/>
                        <v:rect id="_x0000_s1158" style="position:absolute;left:2200;top:1155;width:46;height:46" fillcolor="blue" strokecolor="blue" strokeweight=".00025mm"/>
                        <v:rect id="_x0000_s1159" style="position:absolute;left:2515;top:1007;width:46;height:46" fillcolor="blue" strokecolor="blue" strokeweight=".00025mm"/>
                        <v:rect id="_x0000_s1160" style="position:absolute;left:2838;top:841;width:46;height:46" fillcolor="blue" strokecolor="blue" strokeweight=".00025mm"/>
                        <v:rect id="_x0000_s1161" style="position:absolute;left:3162;top:684;width:46;height:46" fillcolor="blue" strokecolor="blue" strokeweight=".00025mm"/>
                        <v:rect id="_x0000_s1162" style="position:absolute;left:3485;top:527;width:46;height:46" fillcolor="blue" strokecolor="blue" strokeweight=".00025mm"/>
                        <v:rect id="_x0000_s1163" style="position:absolute;left:3809;top:370;width:46;height:46" fillcolor="blue" strokecolor="blue" strokeweight=".00025mm"/>
                        <v:rect id="_x0000_s1164" style="position:absolute;left:4132;top:259;width:47;height:46" fillcolor="blue" strokecolor="blue" strokeweight=".00025mm"/>
                        <v:oval id="_x0000_s1165" style="position:absolute;left:582;top:2476;width:47;height:46" fillcolor="black" strokeweight=".00025mm"/>
                        <v:oval id="_x0000_s1166" style="position:absolute;left:906;top:2448;width:46;height:46" fillcolor="black" strokeweight=".00025mm"/>
                        <v:oval id="_x0000_s1167" style="position:absolute;left:1230;top:2402;width:46;height:46" fillcolor="black" strokeweight=".00025mm"/>
                        <v:oval id="_x0000_s1168" style="position:absolute;left:1553;top:2356;width:46;height:46" fillcolor="black" strokeweight=".00025mm"/>
                        <v:oval id="_x0000_s1169" style="position:absolute;left:1877;top:2300;width:46;height:46" fillcolor="black" strokeweight=".00025mm"/>
                        <v:oval id="_x0000_s1170" style="position:absolute;left:2200;top:2245;width:46;height:46" fillcolor="black" strokeweight=".00025mm"/>
                        <v:oval id="_x0000_s1171" style="position:absolute;left:2515;top:2162;width:46;height:46" fillcolor="black" strokeweight=".00025mm"/>
                        <v:oval id="_x0000_s1172" style="position:absolute;left:2838;top:2051;width:46;height:46" fillcolor="black" strokeweight=".00025mm"/>
                        <v:oval id="_x0000_s1173" style="position:absolute;left:3162;top:1912;width:46;height:46" fillcolor="black" strokeweight=".00025mm"/>
                        <v:oval id="_x0000_s1174" style="position:absolute;left:3485;top:1746;width:46;height:46" fillcolor="black" strokeweight=".00025mm"/>
                        <v:oval id="_x0000_s1175" style="position:absolute;left:3809;top:1552;width:46;height:46" fillcolor="black" strokeweight=".00025mm"/>
                        <v:oval id="_x0000_s1176" style="position:absolute;left:4132;top:1386;width:47;height:46" fillcolor="black" strokeweight=".00025mm"/>
                        <v:shape id="_x0000_s1177" style="position:absolute;left:582;top:2402;width:56;height:55" coordsize="56,55" path="m28,l56,55,,55,28,xe" fillcolor="red" strokecolor="red" strokeweight=".00025mm">
                          <v:path arrowok="t"/>
                        </v:shape>
                        <v:shape id="_x0000_s1178" style="position:absolute;left:906;top:2356;width:55;height:55" coordsize="55,55" path="m28,l55,55,,55,28,xe" fillcolor="red" strokecolor="red" strokeweight=".00025mm">
                          <v:path arrowok="t"/>
                        </v:shape>
                        <v:shape id="_x0000_s1179" style="position:absolute;left:1230;top:2273;width:55;height:55" coordsize="55,55" path="m27,l55,55,,55,27,xe" fillcolor="red" strokecolor="red" strokeweight=".00025mm">
                          <v:path arrowok="t"/>
                        </v:shape>
                        <v:shape id="_x0000_s1180" style="position:absolute;left:1553;top:2208;width:56;height:55" coordsize="56,55" path="m28,l56,55,,55,28,xe" fillcolor="red" strokecolor="red" strokeweight=".00025mm">
                          <v:path arrowok="t"/>
                        </v:shape>
                        <v:shape id="_x0000_s1181" style="position:absolute;left:1877;top:2152;width:55;height:56" coordsize="55,56" path="m27,l55,56,,56,27,xe" fillcolor="red" strokecolor="red" strokeweight=".00025mm">
                          <v:path arrowok="t"/>
                        </v:shape>
                        <v:shape id="_x0000_s1182" style="position:absolute;left:2200;top:2069;width:56;height:56" coordsize="56,56" path="m28,l56,56,,56,28,xe" fillcolor="red" strokecolor="red" strokeweight=".00025mm">
                          <v:path arrowok="t"/>
                        </v:shape>
                        <v:shape id="_x0000_s1183" style="position:absolute;left:2515;top:1968;width:55;height:55" coordsize="55,55" path="m27,l55,55,,55,27,xe" fillcolor="red" strokecolor="red" strokeweight=".00025mm">
                          <v:path arrowok="t"/>
                        </v:shape>
                        <v:shape id="_x0000_s1184" style="position:absolute;left:2838;top:1838;width:56;height:56" coordsize="56,56" path="m28,l56,56,,56,28,xe" fillcolor="red" strokecolor="red" strokeweight=".00025mm">
                          <v:path arrowok="t"/>
                        </v:shape>
                        <v:shape id="_x0000_s1185" style="position:absolute;left:3162;top:1681;width:55;height:56" coordsize="55,56" path="m27,l55,56,,56,27,xe" fillcolor="red" strokecolor="red" strokeweight=".00025mm">
                          <v:path arrowok="t"/>
                        </v:shape>
                        <v:shape id="_x0000_s1186" style="position:absolute;left:3485;top:1506;width:56;height:55" coordsize="56,55" path="m28,l56,55,,55,28,xe" fillcolor="red" strokecolor="red" strokeweight=".00025mm">
                          <v:path arrowok="t"/>
                        </v:shape>
                        <v:shape id="_x0000_s1187" style="position:absolute;left:3809;top:1340;width:55;height:55" coordsize="55,55" path="m27,l55,55,,55,27,xe" fillcolor="red" strokecolor="red" strokeweight=".00025mm">
                          <v:path arrowok="t"/>
                        </v:shape>
                        <v:shape id="_x0000_s1188" style="position:absolute;left:4132;top:1182;width:56;height:56" coordsize="56,56" path="m28,l56,56,,56,28,xe" fillcolor="red" strokecolor="red" strokeweight=".00025mm">
                          <v:path arrowok="t"/>
                        </v:shape>
                        <v:rect id="_x0000_s1189" style="position:absolute;left:4243;top:212;width:301;height:258;mso-wrap-style:none" filled="f" stroked="f">
                          <v:textbox style="mso-next-textbox:#_x0000_s1189;mso-fit-shape-to-text:t" inset="0,0,0,0">
                            <w:txbxContent>
                              <w:p w:rsidR="001A2A5A" w:rsidRDefault="001A2A5A" w:rsidP="008D0D80">
                                <w:r>
                                  <w:rPr>
                                    <w:rFonts w:ascii="Arial" w:hAnsi="Arial" w:cs="Arial"/>
                                    <w:color w:val="000000"/>
                                    <w:sz w:val="12"/>
                                    <w:szCs w:val="12"/>
                                  </w:rPr>
                                  <w:t>113,6</w:t>
                                </w:r>
                              </w:p>
                            </w:txbxContent>
                          </v:textbox>
                        </v:rect>
                        <v:rect id="_x0000_s1190" style="position:absolute;left:4243;top:1340;width:234;height:258;mso-wrap-style:none" filled="f" stroked="f">
                          <v:textbox style="mso-next-textbox:#_x0000_s1190;mso-fit-shape-to-text:t" inset="0,0,0,0">
                            <w:txbxContent>
                              <w:p w:rsidR="001A2A5A" w:rsidRDefault="001A2A5A" w:rsidP="008D0D80">
                                <w:r>
                                  <w:rPr>
                                    <w:rFonts w:ascii="Arial" w:hAnsi="Arial" w:cs="Arial"/>
                                    <w:color w:val="000000"/>
                                    <w:sz w:val="12"/>
                                    <w:szCs w:val="12"/>
                                  </w:rPr>
                                  <w:t>56,8</w:t>
                                </w:r>
                              </w:p>
                            </w:txbxContent>
                          </v:textbox>
                        </v:rect>
                        <v:rect id="_x0000_s1191" style="position:absolute;left:4243;top:1136;width:234;height:258;mso-wrap-style:none" filled="f" stroked="f">
                          <v:textbox style="mso-next-textbox:#_x0000_s1191;mso-fit-shape-to-text:t" inset="0,0,0,0">
                            <w:txbxContent>
                              <w:p w:rsidR="001A2A5A" w:rsidRDefault="001A2A5A" w:rsidP="008D0D80">
                                <w:r>
                                  <w:rPr>
                                    <w:rFonts w:ascii="Arial" w:hAnsi="Arial" w:cs="Arial"/>
                                    <w:color w:val="000000"/>
                                    <w:sz w:val="12"/>
                                    <w:szCs w:val="12"/>
                                  </w:rPr>
                                  <w:t>67,0</w:t>
                                </w:r>
                              </w:p>
                            </w:txbxContent>
                          </v:textbox>
                        </v:rect>
                        <v:rect id="_x0000_s1192" style="position:absolute;left:268;top:2467;width:78;height:281;mso-wrap-style:none" filled="f" stroked="f">
                          <v:textbox style="mso-next-textbox:#_x0000_s1192;mso-fit-shape-to-text:t" inset="0,0,0,0">
                            <w:txbxContent>
                              <w:p w:rsidR="001A2A5A" w:rsidRDefault="001A2A5A" w:rsidP="008D0D80">
                                <w:r>
                                  <w:rPr>
                                    <w:rFonts w:ascii="Arial" w:hAnsi="Arial" w:cs="Arial"/>
                                    <w:color w:val="000000"/>
                                    <w:sz w:val="14"/>
                                    <w:szCs w:val="14"/>
                                  </w:rPr>
                                  <w:t>0</w:t>
                                </w:r>
                              </w:p>
                            </w:txbxContent>
                          </v:textbox>
                        </v:rect>
                        <v:rect id="_x0000_s1193" style="position:absolute;left:194;top:2069;width:156;height:281;mso-wrap-style:none" filled="f" stroked="f">
                          <v:textbox style="mso-next-textbox:#_x0000_s1193;mso-fit-shape-to-text:t" inset="0,0,0,0">
                            <w:txbxContent>
                              <w:p w:rsidR="001A2A5A" w:rsidRDefault="001A2A5A" w:rsidP="008D0D80">
                                <w:r>
                                  <w:rPr>
                                    <w:rFonts w:ascii="Arial" w:hAnsi="Arial" w:cs="Arial"/>
                                    <w:color w:val="000000"/>
                                    <w:sz w:val="14"/>
                                    <w:szCs w:val="14"/>
                                  </w:rPr>
                                  <w:t>20</w:t>
                                </w:r>
                              </w:p>
                            </w:txbxContent>
                          </v:textbox>
                        </v:rect>
                        <v:rect id="_x0000_s1194" style="position:absolute;left:194;top:1672;width:156;height:281;mso-wrap-style:none" filled="f" stroked="f">
                          <v:textbox style="mso-next-textbox:#_x0000_s1194;mso-fit-shape-to-text:t" inset="0,0,0,0">
                            <w:txbxContent>
                              <w:p w:rsidR="001A2A5A" w:rsidRDefault="001A2A5A" w:rsidP="008D0D80">
                                <w:r>
                                  <w:rPr>
                                    <w:rFonts w:ascii="Arial" w:hAnsi="Arial" w:cs="Arial"/>
                                    <w:color w:val="000000"/>
                                    <w:sz w:val="14"/>
                                    <w:szCs w:val="14"/>
                                  </w:rPr>
                                  <w:t>40</w:t>
                                </w:r>
                              </w:p>
                            </w:txbxContent>
                          </v:textbox>
                        </v:rect>
                        <v:rect id="_x0000_s1195" style="position:absolute;left:194;top:1275;width:156;height:281;mso-wrap-style:none" filled="f" stroked="f">
                          <v:textbox style="mso-next-textbox:#_x0000_s1195;mso-fit-shape-to-text:t" inset="0,0,0,0">
                            <w:txbxContent>
                              <w:p w:rsidR="001A2A5A" w:rsidRDefault="001A2A5A" w:rsidP="008D0D80">
                                <w:r>
                                  <w:rPr>
                                    <w:rFonts w:ascii="Arial" w:hAnsi="Arial" w:cs="Arial"/>
                                    <w:color w:val="000000"/>
                                    <w:sz w:val="14"/>
                                    <w:szCs w:val="14"/>
                                  </w:rPr>
                                  <w:t>60</w:t>
                                </w:r>
                              </w:p>
                            </w:txbxContent>
                          </v:textbox>
                        </v:rect>
                        <v:rect id="_x0000_s1196" style="position:absolute;left:194;top:878;width:156;height:281;mso-wrap-style:none" filled="f" stroked="f">
                          <v:textbox style="mso-next-textbox:#_x0000_s1196;mso-fit-shape-to-text:t" inset="0,0,0,0">
                            <w:txbxContent>
                              <w:p w:rsidR="001A2A5A" w:rsidRDefault="001A2A5A" w:rsidP="008D0D80">
                                <w:r>
                                  <w:rPr>
                                    <w:rFonts w:ascii="Arial" w:hAnsi="Arial" w:cs="Arial"/>
                                    <w:color w:val="000000"/>
                                    <w:sz w:val="14"/>
                                    <w:szCs w:val="14"/>
                                  </w:rPr>
                                  <w:t>80</w:t>
                                </w:r>
                              </w:p>
                            </w:txbxContent>
                          </v:textbox>
                        </v:rect>
                        <v:rect id="_x0000_s1197" style="position:absolute;left:120;top:480;width:234;height:281;mso-wrap-style:none" filled="f" stroked="f">
                          <v:textbox style="mso-next-textbox:#_x0000_s1197;mso-fit-shape-to-text:t" inset="0,0,0,0">
                            <w:txbxContent>
                              <w:p w:rsidR="001A2A5A" w:rsidRDefault="001A2A5A" w:rsidP="008D0D80">
                                <w:r>
                                  <w:rPr>
                                    <w:rFonts w:ascii="Arial" w:hAnsi="Arial" w:cs="Arial"/>
                                    <w:color w:val="000000"/>
                                    <w:sz w:val="14"/>
                                    <w:szCs w:val="14"/>
                                  </w:rPr>
                                  <w:t>100</w:t>
                                </w:r>
                              </w:p>
                            </w:txbxContent>
                          </v:textbox>
                        </v:rect>
                        <v:rect id="_x0000_s1198" style="position:absolute;left:120;top:83;width:234;height:281;mso-wrap-style:none" filled="f" stroked="f">
                          <v:textbox style="mso-next-textbox:#_x0000_s1198;mso-fit-shape-to-text:t" inset="0,0,0,0">
                            <w:txbxContent>
                              <w:p w:rsidR="001A2A5A" w:rsidRDefault="001A2A5A" w:rsidP="008D0D80">
                                <w:r>
                                  <w:rPr>
                                    <w:rFonts w:ascii="Arial" w:hAnsi="Arial" w:cs="Arial"/>
                                    <w:color w:val="000000"/>
                                    <w:sz w:val="14"/>
                                    <w:szCs w:val="14"/>
                                  </w:rPr>
                                  <w:t>120</w:t>
                                </w:r>
                              </w:p>
                            </w:txbxContent>
                          </v:textbox>
                        </v:rect>
                        <v:rect id="_x0000_s1199" style="position:absolute;left:536;top:2670;width:156;height:281;mso-wrap-style:none" filled="f" stroked="f">
                          <v:textbox style="mso-next-textbox:#_x0000_s1199;mso-fit-shape-to-text:t" inset="0,0,0,0">
                            <w:txbxContent>
                              <w:p w:rsidR="001A2A5A" w:rsidRDefault="001A2A5A" w:rsidP="008D0D80">
                                <w:r>
                                  <w:rPr>
                                    <w:rFonts w:ascii="Arial" w:hAnsi="Arial" w:cs="Arial"/>
                                    <w:color w:val="000000"/>
                                    <w:sz w:val="14"/>
                                    <w:szCs w:val="14"/>
                                  </w:rPr>
                                  <w:t>98</w:t>
                                </w:r>
                              </w:p>
                            </w:txbxContent>
                          </v:textbox>
                        </v:rect>
                        <v:rect id="_x0000_s1200" style="position:absolute;left:860;top:2670;width:156;height:281;mso-wrap-style:none" filled="f" stroked="f">
                          <v:textbox style="mso-next-textbox:#_x0000_s1200;mso-fit-shape-to-text:t" inset="0,0,0,0">
                            <w:txbxContent>
                              <w:p w:rsidR="001A2A5A" w:rsidRDefault="001A2A5A" w:rsidP="008D0D80">
                                <w:r>
                                  <w:rPr>
                                    <w:rFonts w:ascii="Arial" w:hAnsi="Arial" w:cs="Arial"/>
                                    <w:color w:val="000000"/>
                                    <w:sz w:val="14"/>
                                    <w:szCs w:val="14"/>
                                  </w:rPr>
                                  <w:t>99</w:t>
                                </w:r>
                              </w:p>
                            </w:txbxContent>
                          </v:textbox>
                        </v:rect>
                        <v:rect id="_x0000_s1201" style="position:absolute;left:994;top:2670;width:536;height:281" filled="f" stroked="f">
                          <v:textbox style="mso-next-textbox:#_x0000_s1201;mso-fit-shape-to-text:t" inset="1mm,0,0,0">
                            <w:txbxContent>
                              <w:p w:rsidR="001A2A5A" w:rsidRDefault="001A2A5A" w:rsidP="008D0D80">
                                <w:r>
                                  <w:rPr>
                                    <w:rFonts w:ascii="Arial" w:hAnsi="Arial" w:cs="Arial"/>
                                    <w:color w:val="000000"/>
                                    <w:sz w:val="14"/>
                                    <w:szCs w:val="14"/>
                                  </w:rPr>
                                  <w:t>2000</w:t>
                                </w:r>
                              </w:p>
                            </w:txbxContent>
                          </v:textbox>
                        </v:rect>
                        <v:rect id="_x0000_s1202" style="position:absolute;left:1507;top:2670;width:156;height:281;mso-wrap-style:none" filled="f" stroked="f">
                          <v:textbox style="mso-next-textbox:#_x0000_s1202;mso-fit-shape-to-text:t" inset="0,0,0,0">
                            <w:txbxContent>
                              <w:p w:rsidR="001A2A5A" w:rsidRDefault="001A2A5A" w:rsidP="008D0D80">
                                <w:r>
                                  <w:rPr>
                                    <w:rFonts w:ascii="Arial" w:hAnsi="Arial" w:cs="Arial"/>
                                    <w:color w:val="000000"/>
                                    <w:sz w:val="14"/>
                                    <w:szCs w:val="14"/>
                                  </w:rPr>
                                  <w:t>01</w:t>
                                </w:r>
                              </w:p>
                            </w:txbxContent>
                          </v:textbox>
                        </v:rect>
                        <v:rect id="_x0000_s1203" style="position:absolute;left:1830;top:2670;width:156;height:281;mso-wrap-style:none" filled="f" stroked="f">
                          <v:textbox style="mso-next-textbox:#_x0000_s1203;mso-fit-shape-to-text:t" inset="0,0,0,0">
                            <w:txbxContent>
                              <w:p w:rsidR="001A2A5A" w:rsidRDefault="001A2A5A" w:rsidP="008D0D80">
                                <w:r>
                                  <w:rPr>
                                    <w:rFonts w:ascii="Arial" w:hAnsi="Arial" w:cs="Arial"/>
                                    <w:color w:val="000000"/>
                                    <w:sz w:val="14"/>
                                    <w:szCs w:val="14"/>
                                  </w:rPr>
                                  <w:t>02</w:t>
                                </w:r>
                              </w:p>
                            </w:txbxContent>
                          </v:textbox>
                        </v:rect>
                        <v:rect id="_x0000_s1204" style="position:absolute;left:2154;top:2670;width:156;height:281;mso-wrap-style:none" filled="f" stroked="f">
                          <v:textbox style="mso-next-textbox:#_x0000_s1204;mso-fit-shape-to-text:t" inset="0,0,0,0">
                            <w:txbxContent>
                              <w:p w:rsidR="001A2A5A" w:rsidRDefault="001A2A5A" w:rsidP="008D0D80">
                                <w:r>
                                  <w:rPr>
                                    <w:rFonts w:ascii="Arial" w:hAnsi="Arial" w:cs="Arial"/>
                                    <w:color w:val="000000"/>
                                    <w:sz w:val="14"/>
                                    <w:szCs w:val="14"/>
                                  </w:rPr>
                                  <w:t>03</w:t>
                                </w:r>
                              </w:p>
                            </w:txbxContent>
                          </v:textbox>
                        </v:rect>
                        <v:rect id="_x0000_s1205" style="position:absolute;left:2468;top:2670;width:156;height:281;mso-wrap-style:none" filled="f" stroked="f">
                          <v:textbox style="mso-next-textbox:#_x0000_s1205;mso-fit-shape-to-text:t" inset="0,0,0,0">
                            <w:txbxContent>
                              <w:p w:rsidR="001A2A5A" w:rsidRDefault="001A2A5A" w:rsidP="008D0D80">
                                <w:r>
                                  <w:rPr>
                                    <w:rFonts w:ascii="Arial" w:hAnsi="Arial" w:cs="Arial"/>
                                    <w:color w:val="000000"/>
                                    <w:sz w:val="14"/>
                                    <w:szCs w:val="14"/>
                                  </w:rPr>
                                  <w:t>04</w:t>
                                </w:r>
                              </w:p>
                            </w:txbxContent>
                          </v:textbox>
                        </v:rect>
                        <v:rect id="_x0000_s1206" style="position:absolute;left:2792;top:2670;width:156;height:281;mso-wrap-style:none" filled="f" stroked="f">
                          <v:textbox style="mso-next-textbox:#_x0000_s1206;mso-fit-shape-to-text:t" inset="0,0,0,0">
                            <w:txbxContent>
                              <w:p w:rsidR="001A2A5A" w:rsidRDefault="001A2A5A" w:rsidP="008D0D80">
                                <w:r>
                                  <w:rPr>
                                    <w:rFonts w:ascii="Arial" w:hAnsi="Arial" w:cs="Arial"/>
                                    <w:color w:val="000000"/>
                                    <w:sz w:val="14"/>
                                    <w:szCs w:val="14"/>
                                  </w:rPr>
                                  <w:t>05</w:t>
                                </w:r>
                              </w:p>
                            </w:txbxContent>
                          </v:textbox>
                        </v:rect>
                        <v:rect id="_x0000_s1207" style="position:absolute;left:3115;top:2670;width:156;height:281;mso-wrap-style:none" filled="f" stroked="f">
                          <v:textbox style="mso-next-textbox:#_x0000_s1207;mso-fit-shape-to-text:t" inset="0,0,0,0">
                            <w:txbxContent>
                              <w:p w:rsidR="001A2A5A" w:rsidRDefault="001A2A5A" w:rsidP="008D0D80">
                                <w:r>
                                  <w:rPr>
                                    <w:rFonts w:ascii="Arial" w:hAnsi="Arial" w:cs="Arial"/>
                                    <w:color w:val="000000"/>
                                    <w:sz w:val="14"/>
                                    <w:szCs w:val="14"/>
                                  </w:rPr>
                                  <w:t>06</w:t>
                                </w:r>
                              </w:p>
                            </w:txbxContent>
                          </v:textbox>
                        </v:rect>
                        <v:rect id="_x0000_s1208" style="position:absolute;left:3439;top:2670;width:156;height:281;mso-wrap-style:none" filled="f" stroked="f">
                          <v:textbox style="mso-next-textbox:#_x0000_s1208;mso-fit-shape-to-text:t" inset="0,0,0,0">
                            <w:txbxContent>
                              <w:p w:rsidR="001A2A5A" w:rsidRDefault="001A2A5A" w:rsidP="008D0D80">
                                <w:r>
                                  <w:rPr>
                                    <w:rFonts w:ascii="Arial" w:hAnsi="Arial" w:cs="Arial"/>
                                    <w:color w:val="000000"/>
                                    <w:sz w:val="14"/>
                                    <w:szCs w:val="14"/>
                                  </w:rPr>
                                  <w:t>07</w:t>
                                </w:r>
                              </w:p>
                            </w:txbxContent>
                          </v:textbox>
                        </v:rect>
                        <v:rect id="_x0000_s1209" style="position:absolute;left:3763;top:2670;width:156;height:281;mso-wrap-style:none" filled="f" stroked="f">
                          <v:textbox style="mso-next-textbox:#_x0000_s1209;mso-fit-shape-to-text:t" inset="0,0,0,0">
                            <w:txbxContent>
                              <w:p w:rsidR="001A2A5A" w:rsidRDefault="001A2A5A" w:rsidP="008D0D80">
                                <w:r>
                                  <w:rPr>
                                    <w:rFonts w:ascii="Arial" w:hAnsi="Arial" w:cs="Arial"/>
                                    <w:color w:val="000000"/>
                                    <w:sz w:val="14"/>
                                    <w:szCs w:val="14"/>
                                  </w:rPr>
                                  <w:t>08</w:t>
                                </w:r>
                              </w:p>
                            </w:txbxContent>
                          </v:textbox>
                        </v:rect>
                        <v:rect id="_x0000_s1210" style="position:absolute;left:4086;top:2670;width:156;height:281;mso-wrap-style:none" filled="f" stroked="f">
                          <v:textbox style="mso-next-textbox:#_x0000_s1210;mso-fit-shape-to-text:t" inset="0,0,0,0">
                            <w:txbxContent>
                              <w:p w:rsidR="001A2A5A" w:rsidRDefault="001A2A5A" w:rsidP="008D0D80">
                                <w:r>
                                  <w:rPr>
                                    <w:rFonts w:ascii="Arial" w:hAnsi="Arial" w:cs="Arial"/>
                                    <w:color w:val="000000"/>
                                    <w:sz w:val="14"/>
                                    <w:szCs w:val="14"/>
                                  </w:rPr>
                                  <w:t>09</w:t>
                                </w:r>
                              </w:p>
                            </w:txbxContent>
                          </v:textbox>
                        </v:rect>
                        <v:line id="_x0000_s1211" style="position:absolute" from="795,1025" to="1045,1026" strokecolor="blue" strokeweight=".0005mm"/>
                        <v:rect id="_x0000_s1212" style="position:absolute;left:887;top:998;width:47;height:46" fillcolor="blue" strokecolor="blue" strokeweight=".00025mm"/>
                        <v:rect id="_x0000_s1213" style="position:absolute;left:1082;top:841;width:1106;height:281;mso-wrap-style:none" filled="f" stroked="f">
                          <v:textbox style="mso-next-textbox:#_x0000_s1213;mso-fit-shape-to-text:t" inset="0,0,0,0">
                            <w:txbxContent>
                              <w:p w:rsidR="001A2A5A" w:rsidRPr="006C2A71" w:rsidRDefault="001A2A5A" w:rsidP="008D0D80">
                                <w:pPr>
                                  <w:rPr>
                                    <w:lang w:val="fr-CH"/>
                                  </w:rPr>
                                </w:pPr>
                                <w:r>
                                  <w:rPr>
                                    <w:rFonts w:ascii="Arial" w:hAnsi="Arial" w:cs="Arial"/>
                                    <w:color w:val="000000"/>
                                    <w:sz w:val="14"/>
                                    <w:szCs w:val="14"/>
                                    <w:lang w:val="fr-CH"/>
                                  </w:rPr>
                                  <w:t xml:space="preserve"> Pays développés</w:t>
                                </w:r>
                              </w:p>
                            </w:txbxContent>
                          </v:textbox>
                        </v:rect>
                        <v:line id="_x0000_s1214" style="position:absolute" from="795,1219" to="1045,1220" strokeweight=".0005mm"/>
                        <v:oval id="_x0000_s1215" style="position:absolute;left:887;top:1192;width:47;height:46" fillcolor="black" strokeweight=".00025mm"/>
                        <v:rect id="_x0000_s1216" style="position:absolute;left:1100;top:1033;width:1503;height:281;mso-wrap-style:none" filled="f" stroked="f">
                          <v:textbox style="mso-next-textbox:#_x0000_s1216;mso-fit-shape-to-text:t" inset="0,0,0,0">
                            <w:txbxContent>
                              <w:p w:rsidR="001A2A5A" w:rsidRPr="00690C64" w:rsidRDefault="001A2A5A" w:rsidP="008D0D80">
                                <w:pPr>
                                  <w:rPr>
                                    <w:rFonts w:ascii="Arial" w:hAnsi="Arial" w:cs="Arial"/>
                                    <w:sz w:val="14"/>
                                    <w:szCs w:val="14"/>
                                    <w:lang w:val="fr-CH"/>
                                  </w:rPr>
                                </w:pPr>
                                <w:r w:rsidRPr="00690C64">
                                  <w:rPr>
                                    <w:rFonts w:ascii="Arial" w:hAnsi="Arial"/>
                                    <w:sz w:val="14"/>
                                    <w:szCs w:val="14"/>
                                    <w:lang w:val="fr-CH"/>
                                  </w:rPr>
                                  <w:t>Pays en développement</w:t>
                                </w:r>
                              </w:p>
                            </w:txbxContent>
                          </v:textbox>
                        </v:rect>
                        <v:line id="_x0000_s1217" style="position:absolute" from="795,1423" to="1045,1424" strokecolor="red" strokeweight=".0005mm"/>
                        <v:shape id="_x0000_s1218" style="position:absolute;left:887;top:1395;width:56;height:55" coordsize="56,55" path="m28,l56,55,,55,28,xe" fillcolor="red" strokecolor="red" strokeweight=".00025mm">
                          <v:path arrowok="t"/>
                        </v:shape>
                        <v:rect id="_x0000_s1219" style="position:absolute;left:1087;top:1210;width:429;height:281;mso-wrap-style:none" filled="f" stroked="f">
                          <v:textbox style="mso-next-textbox:#_x0000_s1219;mso-fit-shape-to-text:t" inset="0,0,0,0">
                            <w:txbxContent>
                              <w:p w:rsidR="001A2A5A" w:rsidRPr="006C2A71" w:rsidRDefault="001A2A5A" w:rsidP="008D0D80">
                                <w:pPr>
                                  <w:rPr>
                                    <w:rFonts w:ascii="Arial" w:hAnsi="Arial" w:cs="Arial"/>
                                    <w:sz w:val="14"/>
                                    <w:szCs w:val="14"/>
                                    <w:lang w:val="fr-CH"/>
                                  </w:rPr>
                                </w:pPr>
                                <w:r>
                                  <w:rPr>
                                    <w:rFonts w:ascii="Arial" w:hAnsi="Arial" w:cs="Arial"/>
                                    <w:sz w:val="14"/>
                                    <w:szCs w:val="14"/>
                                    <w:lang w:val="fr-CH"/>
                                  </w:rPr>
                                  <w:t>Monde</w:t>
                                </w:r>
                              </w:p>
                            </w:txbxContent>
                          </v:textbox>
                        </v:rect>
                        <v:rect id="_x0000_s1220" style="position:absolute;left:46;top:-157;width:4549;height:3230" filled="f" strokeweight="0"/>
                        <v:rect id="_x0000_s1221" style="position:absolute;left:638;top:92;width:2701;height:327;mso-wrap-style:none" filled="f" stroked="f">
                          <v:textbox style="mso-next-textbox:#_x0000_s1221;mso-fit-shape-to-text:t" inset="0,0,0,0">
                            <w:txbxContent>
                              <w:p w:rsidR="001A2A5A" w:rsidRPr="006C2A71" w:rsidRDefault="001A2A5A" w:rsidP="008D0D80">
                                <w:pPr>
                                  <w:rPr>
                                    <w:lang w:val="fr-CH"/>
                                  </w:rPr>
                                </w:pPr>
                                <w:r>
                                  <w:rPr>
                                    <w:rFonts w:ascii="Arial" w:hAnsi="Arial" w:cs="Arial"/>
                                    <w:b/>
                                    <w:bCs/>
                                    <w:color w:val="000000"/>
                                    <w:sz w:val="18"/>
                                    <w:szCs w:val="18"/>
                                    <w:lang w:val="fr-CH"/>
                                  </w:rPr>
                                  <w:t xml:space="preserve">Abonnés à la téléphonie mobile </w:t>
                                </w:r>
                              </w:p>
                            </w:txbxContent>
                          </v:textbox>
                        </v:rect>
                        <v:rect id="_x0000_s1222" style="position:absolute;left:638;top:314;width:2431;height:327;mso-wrap-style:none" filled="f" stroked="f">
                          <v:textbox style="mso-next-textbox:#_x0000_s1222;mso-fit-shape-to-text:t" inset="0,0,0,0">
                            <w:txbxContent>
                              <w:p w:rsidR="001A2A5A" w:rsidRDefault="001A2A5A" w:rsidP="008D0D80">
                                <w:proofErr w:type="spellStart"/>
                                <w:r>
                                  <w:rPr>
                                    <w:rFonts w:ascii="Arial" w:hAnsi="Arial" w:cs="Arial"/>
                                    <w:b/>
                                    <w:bCs/>
                                    <w:color w:val="000000"/>
                                    <w:sz w:val="18"/>
                                    <w:szCs w:val="18"/>
                                  </w:rPr>
                                  <w:t>cellulaire</w:t>
                                </w:r>
                                <w:proofErr w:type="spellEnd"/>
                                <w:r>
                                  <w:rPr>
                                    <w:rFonts w:ascii="Arial" w:hAnsi="Arial" w:cs="Arial"/>
                                    <w:b/>
                                    <w:bCs/>
                                    <w:color w:val="000000"/>
                                    <w:sz w:val="18"/>
                                    <w:szCs w:val="18"/>
                                  </w:rPr>
                                  <w:t xml:space="preserve"> pour 100 habitants</w:t>
                                </w:r>
                              </w:p>
                            </w:txbxContent>
                          </v:textbox>
                        </v:rect>
                        <w10:wrap type="none"/>
                        <w10:anchorlock/>
                      </v:group>
                    </w:pict>
                  </w:r>
                  <w:r w:rsidRPr="00330ED2">
                    <w:rPr>
                      <w:rFonts w:asciiTheme="majorBidi" w:hAnsiTheme="majorBidi" w:cstheme="majorBidi"/>
                      <w:lang w:val="fr-CH"/>
                    </w:rPr>
                  </w:r>
                  <w:r w:rsidRPr="00330ED2">
                    <w:rPr>
                      <w:rFonts w:asciiTheme="majorBidi" w:hAnsiTheme="majorBidi" w:cstheme="majorBidi"/>
                      <w:lang w:val="fr-CH"/>
                    </w:rPr>
                    <w:pict>
                      <v:group id="_x0000_s1026" editas="canvas" style="width:238pt;height:165.95pt;mso-position-horizontal-relative:char;mso-position-vertical-relative:line" coordsize="4760,3319">
                        <o:lock v:ext="edit" aspectratio="t"/>
                        <v:shape id="_x0000_s1027" type="#_x0000_t75" style="position:absolute;width:4760;height:3319" o:preferrelative="f">
                          <v:fill o:detectmouseclick="t"/>
                          <v:path o:extrusionok="t" o:connecttype="none"/>
                          <o:lock v:ext="edit" text="t"/>
                        </v:shape>
                        <v:rect id="_x0000_s1028" style="position:absolute;left:47;top:49;width:4656;height:3270" strokeweight="0"/>
                        <v:line id="_x0000_s1029" style="position:absolute" from="331,161" to="332,2621" strokeweight="0"/>
                        <v:line id="_x0000_s1030" style="position:absolute" from="284,2621" to="331,2622" strokeweight="0"/>
                        <v:line id="_x0000_s1031" style="position:absolute" from="284,2271" to="331,2272" strokeweight="0"/>
                        <v:line id="_x0000_s1032" style="position:absolute" from="284,1921" to="331,1922" strokeweight="0"/>
                        <v:line id="_x0000_s1033" style="position:absolute" from="284,1571" to="331,1572" strokeweight="0"/>
                        <v:line id="_x0000_s1034" style="position:absolute" from="284,1211" to="331,1212" strokeweight="0"/>
                        <v:line id="_x0000_s1035" style="position:absolute" from="284,861" to="331,862" strokeweight="0"/>
                        <v:line id="_x0000_s1036" style="position:absolute" from="284,511" to="331,512" strokeweight="0"/>
                        <v:line id="_x0000_s1037" style="position:absolute" from="284,161" to="331,162" strokeweight="0"/>
                        <v:line id="_x0000_s1038" style="position:absolute" from="331,2621" to="4429,2622" strokeweight="0"/>
                        <v:line id="_x0000_s1039" style="position:absolute;flip:y" from="331,2621" to="332,2668" strokeweight="0"/>
                        <v:line id="_x0000_s1040" style="position:absolute;flip:y" from="672,2621" to="673,2668" strokeweight="0"/>
                        <v:line id="_x0000_s1041" style="position:absolute;flip:y" from="1013,2621" to="1014,2668" strokeweight="0"/>
                        <v:line id="_x0000_s1042" style="position:absolute;flip:y" from="1353,2621" to="1354,2668" strokeweight="0"/>
                        <v:line id="_x0000_s1043" style="position:absolute;flip:y" from="1694,2621" to="1695,2668" strokeweight="0"/>
                        <v:line id="_x0000_s1044" style="position:absolute;flip:y" from="2035,2621" to="2036,2668" strokeweight="0"/>
                        <v:line id="_x0000_s1045" style="position:absolute;flip:y" from="2385,2621" to="2386,2668" strokeweight="0"/>
                        <v:line id="_x0000_s1046" style="position:absolute;flip:y" from="2725,2621" to="2726,2668" strokeweight="0"/>
                        <v:line id="_x0000_s1047" style="position:absolute;flip:y" from="3066,2621" to="3067,2668" strokeweight="0"/>
                        <v:line id="_x0000_s1048" style="position:absolute;flip:y" from="3407,2621" to="3408,2668" strokeweight="0"/>
                        <v:line id="_x0000_s1049" style="position:absolute;flip:y" from="3747,2621" to="3748,2668" strokeweight="0"/>
                        <v:line id="_x0000_s1050" style="position:absolute;flip:y" from="4088,2621" to="4089,2668" strokeweight="0"/>
                        <v:line id="_x0000_s1051" style="position:absolute;flip:y" from="4429,2621" to="4430,2668" strokeweight="0"/>
                        <v:shape id="_x0000_s1052" style="position:absolute;left:502;top:908;width:3756;height:246" coordsize="397,26" path="m,9l36,3,72,r36,l144,1r36,2l217,4r36,3l289,9r36,6l361,21r36,5e" filled="f" strokecolor="blue" strokeweight="53e-5mm">
                          <v:path arrowok="t"/>
                        </v:shape>
                        <v:shape id="_x0000_s1053" style="position:absolute;left:502;top:2157;width:3756;height:256" coordsize="397,27" path="m,27l36,23,72,19r36,-3l144,13,180,9,217,5,253,1,289,r36,l361,3,397,2e" filled="f" strokeweight="53e-5mm">
                          <v:path arrowok="t"/>
                        </v:shape>
                        <v:shape id="_x0000_s1054" style="position:absolute;left:502;top:1940;width:3756;height:189" coordsize="397,20" path="m,20l36,17,72,13r36,-3l144,8,180,6,217,3,253,r36,l325,1r36,4l397,6e" filled="f" strokecolor="red" strokeweight="53e-5mm">
                          <v:path arrowok="t"/>
                        </v:shape>
                        <v:rect id="_x0000_s1055" style="position:absolute;left:473;top:965;width:47;height:47" fillcolor="blue" strokecolor="blue" strokeweight=".00025mm"/>
                        <v:rect id="_x0000_s1056" style="position:absolute;left:814;top:908;width:47;height:48" fillcolor="blue" strokecolor="blue" strokeweight=".00025mm"/>
                        <v:rect id="_x0000_s1057" style="position:absolute;left:1155;top:880;width:47;height:47" fillcolor="blue" strokecolor="blue" strokeweight=".00025mm"/>
                        <v:rect id="_x0000_s1058" style="position:absolute;left:1495;top:880;width:48;height:47" fillcolor="blue" strokecolor="blue" strokeweight=".00025mm"/>
                        <v:rect id="_x0000_s1059" style="position:absolute;left:1836;top:889;width:47;height:48" fillcolor="blue" strokecolor="blue" strokeweight=".00025mm"/>
                        <v:rect id="_x0000_s1060" style="position:absolute;left:2177;top:908;width:47;height:48" fillcolor="blue" strokecolor="blue" strokeweight=".00025mm"/>
                        <v:rect id="_x0000_s1061" style="position:absolute;left:2527;top:918;width:47;height:47" fillcolor="blue" strokecolor="blue" strokeweight=".00025mm"/>
                        <v:rect id="_x0000_s1062" style="position:absolute;left:2867;top:946;width:48;height:48" fillcolor="blue" strokecolor="blue" strokeweight=".00025mm"/>
                        <v:rect id="_x0000_s1063" style="position:absolute;left:3208;top:965;width:47;height:47" fillcolor="blue" strokecolor="blue" strokeweight=".00025mm"/>
                        <v:rect id="_x0000_s1064" style="position:absolute;left:3549;top:1022;width:47;height:47" fillcolor="blue" strokecolor="blue" strokeweight=".00025mm"/>
                        <v:rect id="_x0000_s1065" style="position:absolute;left:3889;top:1079;width:48;height:47" fillcolor="blue" strokecolor="blue" strokeweight=".00025mm"/>
                        <v:rect id="_x0000_s1066" style="position:absolute;left:4230;top:1126;width:47;height:47" fillcolor="blue" strokecolor="blue" strokeweight=".00025mm"/>
                        <v:oval id="_x0000_s1067" style="position:absolute;left:473;top:2384;width:47;height:48" fillcolor="black" strokeweight=".00025mm"/>
                        <v:oval id="_x0000_s1068" style="position:absolute;left:814;top:2347;width:47;height:47" fillcolor="black" strokeweight=".00025mm"/>
                        <v:oval id="_x0000_s1069" style="position:absolute;left:1155;top:2309;width:47;height:47" fillcolor="black" strokeweight=".00025mm"/>
                        <v:oval id="_x0000_s1070" style="position:absolute;left:1495;top:2280;width:48;height:48" fillcolor="black" strokeweight=".00025mm"/>
                        <v:oval id="_x0000_s1071" style="position:absolute;left:1836;top:2252;width:47;height:47" fillcolor="black" strokeweight=".00025mm"/>
                        <v:oval id="_x0000_s1072" style="position:absolute;left:2177;top:2214;width:47;height:47" fillcolor="black" strokeweight=".00025mm"/>
                        <v:oval id="_x0000_s1073" style="position:absolute;left:2527;top:2176;width:47;height:48" fillcolor="black" strokeweight=".00025mm"/>
                        <v:oval id="_x0000_s1074" style="position:absolute;left:2867;top:2138;width:48;height:48" fillcolor="black" strokeweight=".00025mm"/>
                        <v:oval id="_x0000_s1075" style="position:absolute;left:3208;top:2129;width:47;height:47" fillcolor="black" strokeweight=".00025mm"/>
                        <v:oval id="_x0000_s1076" style="position:absolute;left:3549;top:2129;width:47;height:47" fillcolor="black" strokeweight=".00025mm"/>
                        <v:oval id="_x0000_s1077" style="position:absolute;left:3889;top:2157;width:48;height:48" fillcolor="black" strokeweight=".00025mm"/>
                        <v:oval id="_x0000_s1078" style="position:absolute;left:4230;top:2148;width:47;height:47" fillcolor="black" strokeweight=".00025mm"/>
                        <v:shape id="_x0000_s1079" style="position:absolute;left:473;top:2101;width:57;height:56" coordsize="57,56" path="m29,l57,56,,56,29,xe" fillcolor="red" strokecolor="red" strokeweight=".00025mm">
                          <v:path arrowok="t"/>
                        </v:shape>
                        <v:shape id="_x0000_s1080" style="position:absolute;left:814;top:2072;width:57;height:57" coordsize="57,57" path="m28,l57,57,,57,28,xe" fillcolor="red" strokecolor="red" strokeweight=".00025mm">
                          <v:path arrowok="t"/>
                        </v:shape>
                        <v:shape id="_x0000_s1081" style="position:absolute;left:1155;top:2034;width:56;height:57" coordsize="56,57" path="m28,l56,57,,57,28,xe" fillcolor="red" strokecolor="red" strokeweight=".00025mm">
                          <v:path arrowok="t"/>
                        </v:shape>
                        <v:shape id="_x0000_s1082" style="position:absolute;left:1495;top:2006;width:57;height:57" coordsize="57,57" path="m29,l57,57,,57,29,xe" fillcolor="red" strokecolor="red" strokeweight=".00025mm">
                          <v:path arrowok="t"/>
                        </v:shape>
                        <v:shape id="_x0000_s1083" style="position:absolute;left:1836;top:1987;width:57;height:57" coordsize="57,57" path="m28,l57,57,,57,28,xe" fillcolor="red" strokecolor="red" strokeweight=".00025mm">
                          <v:path arrowok="t"/>
                        </v:shape>
                        <v:shape id="_x0000_s1084" style="position:absolute;left:2177;top:1968;width:56;height:57" coordsize="56,57" path="m28,l56,57,,57,28,xe" fillcolor="red" strokecolor="red" strokeweight=".00025mm">
                          <v:path arrowok="t"/>
                        </v:shape>
                        <v:shape id="_x0000_s1085" style="position:absolute;left:2527;top:1940;width:56;height:56" coordsize="56,56" path="m28,l56,56,,56,28,xe" fillcolor="red" strokecolor="red" strokeweight=".00025mm">
                          <v:path arrowok="t"/>
                        </v:shape>
                        <v:shape id="_x0000_s1086" style="position:absolute;left:2867;top:1911;width:57;height:57" coordsize="57,57" path="m29,l57,57,,57,29,xe" fillcolor="red" strokecolor="red" strokeweight=".00025mm">
                          <v:path arrowok="t"/>
                        </v:shape>
                        <v:shape id="_x0000_s1087" style="position:absolute;left:3208;top:1911;width:57;height:57" coordsize="57,57" path="m28,l57,57,,57,28,xe" fillcolor="red" strokecolor="red" strokeweight=".00025mm">
                          <v:path arrowok="t"/>
                        </v:shape>
                        <v:shape id="_x0000_s1088" style="position:absolute;left:3549;top:1921;width:56;height:57" coordsize="56,57" path="m28,l56,57,,57,28,xe" fillcolor="red" strokecolor="red" strokeweight=".00025mm">
                          <v:path arrowok="t"/>
                        </v:shape>
                        <v:shape id="_x0000_s1089" style="position:absolute;left:3889;top:1959;width:57;height:56" coordsize="57,56" path="m29,l57,56,,56,29,xe" fillcolor="red" strokecolor="red" strokeweight=".00025mm">
                          <v:path arrowok="t"/>
                        </v:shape>
                        <v:shape id="_x0000_s1090" style="position:absolute;left:4230;top:1968;width:57;height:57" coordsize="57,57" path="m28,l57,57,,57,28,xe" fillcolor="red" strokecolor="red" strokeweight=".00025mm">
                          <v:path arrowok="t"/>
                        </v:shape>
                        <v:rect id="_x0000_s1091" style="position:absolute;left:4381;top:1079;width:234;height:258;mso-wrap-style:none" filled="f" stroked="f">
                          <v:textbox style="mso-next-textbox:#_x0000_s1091;mso-fit-shape-to-text:t" inset="0,0,0,0">
                            <w:txbxContent>
                              <w:p w:rsidR="001A2A5A" w:rsidRDefault="001A2A5A" w:rsidP="008D0D80">
                                <w:r>
                                  <w:rPr>
                                    <w:rFonts w:ascii="Arial" w:hAnsi="Arial" w:cs="Arial"/>
                                    <w:color w:val="000000"/>
                                    <w:sz w:val="12"/>
                                    <w:szCs w:val="12"/>
                                  </w:rPr>
                                  <w:t>41,6</w:t>
                                </w:r>
                              </w:p>
                            </w:txbxContent>
                          </v:textbox>
                        </v:rect>
                        <v:rect id="_x0000_s1092" style="position:absolute;left:4381;top:2101;width:234;height:258;mso-wrap-style:none" filled="f" stroked="f">
                          <v:textbox style="mso-next-textbox:#_x0000_s1092;mso-fit-shape-to-text:t" inset="0,0,0,0">
                            <w:txbxContent>
                              <w:p w:rsidR="001A2A5A" w:rsidRDefault="001A2A5A" w:rsidP="008D0D80">
                                <w:r>
                                  <w:rPr>
                                    <w:rFonts w:ascii="Arial" w:hAnsi="Arial" w:cs="Arial"/>
                                    <w:color w:val="000000"/>
                                    <w:sz w:val="12"/>
                                    <w:szCs w:val="12"/>
                                  </w:rPr>
                                  <w:t>12,6</w:t>
                                </w:r>
                              </w:p>
                            </w:txbxContent>
                          </v:textbox>
                        </v:rect>
                        <v:rect id="_x0000_s1093" style="position:absolute;left:4381;top:1921;width:234;height:258;mso-wrap-style:none" filled="f" stroked="f">
                          <v:textbox style="mso-next-textbox:#_x0000_s1093;mso-fit-shape-to-text:t" inset="0,0,0,0">
                            <w:txbxContent>
                              <w:p w:rsidR="001A2A5A" w:rsidRDefault="001A2A5A" w:rsidP="008D0D80">
                                <w:r>
                                  <w:rPr>
                                    <w:rFonts w:ascii="Arial" w:hAnsi="Arial" w:cs="Arial"/>
                                    <w:color w:val="000000"/>
                                    <w:sz w:val="12"/>
                                    <w:szCs w:val="12"/>
                                  </w:rPr>
                                  <w:t>17,8</w:t>
                                </w:r>
                              </w:p>
                            </w:txbxContent>
                          </v:textbox>
                        </v:rect>
                        <v:rect id="_x0000_s1094" style="position:absolute;left:142;top:2545;width:78;height:281;mso-wrap-style:none" filled="f" stroked="f">
                          <v:textbox style="mso-next-textbox:#_x0000_s1094;mso-fit-shape-to-text:t" inset="0,0,0,0">
                            <w:txbxContent>
                              <w:p w:rsidR="001A2A5A" w:rsidRDefault="001A2A5A" w:rsidP="008D0D80">
                                <w:r>
                                  <w:rPr>
                                    <w:rFonts w:ascii="Arial" w:hAnsi="Arial" w:cs="Arial"/>
                                    <w:color w:val="000000"/>
                                    <w:sz w:val="14"/>
                                    <w:szCs w:val="14"/>
                                  </w:rPr>
                                  <w:t>0</w:t>
                                </w:r>
                              </w:p>
                            </w:txbxContent>
                          </v:textbox>
                        </v:rect>
                        <v:rect id="_x0000_s1095" style="position:absolute;left:66;top:2195;width:156;height:281;mso-wrap-style:none" filled="f" stroked="f">
                          <v:textbox style="mso-next-textbox:#_x0000_s1095;mso-fit-shape-to-text:t" inset="0,0,0,0">
                            <w:txbxContent>
                              <w:p w:rsidR="001A2A5A" w:rsidRDefault="001A2A5A" w:rsidP="008D0D80">
                                <w:r>
                                  <w:rPr>
                                    <w:rFonts w:ascii="Arial" w:hAnsi="Arial" w:cs="Arial"/>
                                    <w:color w:val="000000"/>
                                    <w:sz w:val="14"/>
                                    <w:szCs w:val="14"/>
                                  </w:rPr>
                                  <w:t>10</w:t>
                                </w:r>
                              </w:p>
                            </w:txbxContent>
                          </v:textbox>
                        </v:rect>
                        <v:rect id="_x0000_s1096" style="position:absolute;left:66;top:1845;width:156;height:281;mso-wrap-style:none" filled="f" stroked="f">
                          <v:textbox style="mso-next-textbox:#_x0000_s1096;mso-fit-shape-to-text:t" inset="0,0,0,0">
                            <w:txbxContent>
                              <w:p w:rsidR="001A2A5A" w:rsidRDefault="001A2A5A" w:rsidP="008D0D80">
                                <w:r>
                                  <w:rPr>
                                    <w:rFonts w:ascii="Arial" w:hAnsi="Arial" w:cs="Arial"/>
                                    <w:color w:val="000000"/>
                                    <w:sz w:val="14"/>
                                    <w:szCs w:val="14"/>
                                  </w:rPr>
                                  <w:t>20</w:t>
                                </w:r>
                              </w:p>
                            </w:txbxContent>
                          </v:textbox>
                        </v:rect>
                        <v:rect id="_x0000_s1097" style="position:absolute;left:66;top:1495;width:156;height:281;mso-wrap-style:none" filled="f" stroked="f">
                          <v:textbox style="mso-next-textbox:#_x0000_s1097;mso-fit-shape-to-text:t" inset="0,0,0,0">
                            <w:txbxContent>
                              <w:p w:rsidR="001A2A5A" w:rsidRDefault="001A2A5A" w:rsidP="008D0D80">
                                <w:r>
                                  <w:rPr>
                                    <w:rFonts w:ascii="Arial" w:hAnsi="Arial" w:cs="Arial"/>
                                    <w:color w:val="000000"/>
                                    <w:sz w:val="14"/>
                                    <w:szCs w:val="14"/>
                                  </w:rPr>
                                  <w:t>30</w:t>
                                </w:r>
                              </w:p>
                            </w:txbxContent>
                          </v:textbox>
                        </v:rect>
                        <v:rect id="_x0000_s1098" style="position:absolute;left:66;top:1135;width:156;height:281;mso-wrap-style:none" filled="f" stroked="f">
                          <v:textbox style="mso-next-textbox:#_x0000_s1098;mso-fit-shape-to-text:t" inset="0,0,0,0">
                            <w:txbxContent>
                              <w:p w:rsidR="001A2A5A" w:rsidRDefault="001A2A5A" w:rsidP="008D0D80">
                                <w:r>
                                  <w:rPr>
                                    <w:rFonts w:ascii="Arial" w:hAnsi="Arial" w:cs="Arial"/>
                                    <w:color w:val="000000"/>
                                    <w:sz w:val="14"/>
                                    <w:szCs w:val="14"/>
                                  </w:rPr>
                                  <w:t>40</w:t>
                                </w:r>
                              </w:p>
                            </w:txbxContent>
                          </v:textbox>
                        </v:rect>
                        <v:rect id="_x0000_s1099" style="position:absolute;left:66;top:785;width:156;height:281;mso-wrap-style:none" filled="f" stroked="f">
                          <v:textbox style="mso-next-textbox:#_x0000_s1099;mso-fit-shape-to-text:t" inset="0,0,0,0">
                            <w:txbxContent>
                              <w:p w:rsidR="001A2A5A" w:rsidRDefault="001A2A5A" w:rsidP="008D0D80">
                                <w:r>
                                  <w:rPr>
                                    <w:rFonts w:ascii="Arial" w:hAnsi="Arial" w:cs="Arial"/>
                                    <w:color w:val="000000"/>
                                    <w:sz w:val="14"/>
                                    <w:szCs w:val="14"/>
                                  </w:rPr>
                                  <w:t>50</w:t>
                                </w:r>
                              </w:p>
                            </w:txbxContent>
                          </v:textbox>
                        </v:rect>
                        <v:rect id="_x0000_s1100" style="position:absolute;left:66;top:435;width:156;height:281;mso-wrap-style:none" filled="f" stroked="f">
                          <v:textbox style="mso-next-textbox:#_x0000_s1100;mso-fit-shape-to-text:t" inset="0,0,0,0">
                            <w:txbxContent>
                              <w:p w:rsidR="001A2A5A" w:rsidRDefault="001A2A5A" w:rsidP="008D0D80">
                                <w:r>
                                  <w:rPr>
                                    <w:rFonts w:ascii="Arial" w:hAnsi="Arial" w:cs="Arial"/>
                                    <w:color w:val="000000"/>
                                    <w:sz w:val="14"/>
                                    <w:szCs w:val="14"/>
                                  </w:rPr>
                                  <w:t>60</w:t>
                                </w:r>
                              </w:p>
                            </w:txbxContent>
                          </v:textbox>
                        </v:rect>
                        <v:rect id="_x0000_s1101" style="position:absolute;left:66;top:85;width:156;height:281;mso-wrap-style:none" filled="f" stroked="f">
                          <v:textbox style="mso-next-textbox:#_x0000_s1101;mso-fit-shape-to-text:t" inset="0,0,0,0">
                            <w:txbxContent>
                              <w:p w:rsidR="001A2A5A" w:rsidRDefault="001A2A5A" w:rsidP="008D0D80">
                                <w:r>
                                  <w:rPr>
                                    <w:rFonts w:ascii="Arial" w:hAnsi="Arial" w:cs="Arial"/>
                                    <w:color w:val="000000"/>
                                    <w:sz w:val="14"/>
                                    <w:szCs w:val="14"/>
                                  </w:rPr>
                                  <w:t>70</w:t>
                                </w:r>
                              </w:p>
                            </w:txbxContent>
                          </v:textbox>
                        </v:rect>
                        <v:rect id="_x0000_s1102" style="position:absolute;left:426;top:2753;width:156;height:281;mso-wrap-style:none" filled="f" stroked="f">
                          <v:textbox style="mso-next-textbox:#_x0000_s1102;mso-fit-shape-to-text:t" inset="0,0,0,0">
                            <w:txbxContent>
                              <w:p w:rsidR="001A2A5A" w:rsidRDefault="001A2A5A" w:rsidP="008D0D80">
                                <w:r>
                                  <w:rPr>
                                    <w:rFonts w:ascii="Arial" w:hAnsi="Arial" w:cs="Arial"/>
                                    <w:color w:val="000000"/>
                                    <w:sz w:val="14"/>
                                    <w:szCs w:val="14"/>
                                  </w:rPr>
                                  <w:t>98</w:t>
                                </w:r>
                              </w:p>
                            </w:txbxContent>
                          </v:textbox>
                        </v:rect>
                        <v:rect id="_x0000_s1103" style="position:absolute;left:767;top:2753;width:156;height:281;mso-wrap-style:none" filled="f" stroked="f">
                          <v:textbox style="mso-next-textbox:#_x0000_s1103;mso-fit-shape-to-text:t" inset="0,0,0,0">
                            <w:txbxContent>
                              <w:p w:rsidR="001A2A5A" w:rsidRDefault="001A2A5A" w:rsidP="008D0D80">
                                <w:r>
                                  <w:rPr>
                                    <w:rFonts w:ascii="Arial" w:hAnsi="Arial" w:cs="Arial"/>
                                    <w:color w:val="000000"/>
                                    <w:sz w:val="14"/>
                                    <w:szCs w:val="14"/>
                                  </w:rPr>
                                  <w:t>99</w:t>
                                </w:r>
                              </w:p>
                            </w:txbxContent>
                          </v:textbox>
                        </v:rect>
                        <v:rect id="_x0000_s1104" style="position:absolute;left:1024;top:2753;width:336;height:281" filled="f" stroked="f">
                          <v:textbox style="mso-next-textbox:#_x0000_s1104;mso-fit-shape-to-text:t" inset="0,0,0,0">
                            <w:txbxContent>
                              <w:p w:rsidR="001A2A5A" w:rsidRDefault="001A2A5A" w:rsidP="008D0D80">
                                <w:r>
                                  <w:rPr>
                                    <w:rFonts w:ascii="Arial" w:hAnsi="Arial" w:cs="Arial"/>
                                    <w:color w:val="000000"/>
                                    <w:sz w:val="14"/>
                                    <w:szCs w:val="14"/>
                                  </w:rPr>
                                  <w:t>2000</w:t>
                                </w:r>
                              </w:p>
                            </w:txbxContent>
                          </v:textbox>
                        </v:rect>
                        <v:rect id="_x0000_s1105" style="position:absolute;left:1448;top:2753;width:156;height:281;mso-wrap-style:none" filled="f" stroked="f">
                          <v:textbox style="mso-next-textbox:#_x0000_s1105;mso-fit-shape-to-text:t" inset="0,0,0,0">
                            <w:txbxContent>
                              <w:p w:rsidR="001A2A5A" w:rsidRDefault="001A2A5A" w:rsidP="008D0D80">
                                <w:r>
                                  <w:rPr>
                                    <w:rFonts w:ascii="Arial" w:hAnsi="Arial" w:cs="Arial"/>
                                    <w:color w:val="000000"/>
                                    <w:sz w:val="14"/>
                                    <w:szCs w:val="14"/>
                                  </w:rPr>
                                  <w:t>01</w:t>
                                </w:r>
                              </w:p>
                            </w:txbxContent>
                          </v:textbox>
                        </v:rect>
                        <v:rect id="_x0000_s1106" style="position:absolute;left:1789;top:2753;width:156;height:281;mso-wrap-style:none" filled="f" stroked="f">
                          <v:textbox style="mso-next-textbox:#_x0000_s1106;mso-fit-shape-to-text:t" inset="0,0,0,0">
                            <w:txbxContent>
                              <w:p w:rsidR="001A2A5A" w:rsidRDefault="001A2A5A" w:rsidP="008D0D80">
                                <w:r>
                                  <w:rPr>
                                    <w:rFonts w:ascii="Arial" w:hAnsi="Arial" w:cs="Arial"/>
                                    <w:color w:val="000000"/>
                                    <w:sz w:val="14"/>
                                    <w:szCs w:val="14"/>
                                  </w:rPr>
                                  <w:t>02</w:t>
                                </w:r>
                              </w:p>
                            </w:txbxContent>
                          </v:textbox>
                        </v:rect>
                        <v:rect id="_x0000_s1107" style="position:absolute;left:2129;top:2753;width:156;height:281;mso-wrap-style:none" filled="f" stroked="f">
                          <v:textbox style="mso-next-textbox:#_x0000_s1107;mso-fit-shape-to-text:t" inset="0,0,0,0">
                            <w:txbxContent>
                              <w:p w:rsidR="001A2A5A" w:rsidRDefault="001A2A5A" w:rsidP="008D0D80">
                                <w:r>
                                  <w:rPr>
                                    <w:rFonts w:ascii="Arial" w:hAnsi="Arial" w:cs="Arial"/>
                                    <w:color w:val="000000"/>
                                    <w:sz w:val="14"/>
                                    <w:szCs w:val="14"/>
                                  </w:rPr>
                                  <w:t>03</w:t>
                                </w:r>
                              </w:p>
                            </w:txbxContent>
                          </v:textbox>
                        </v:rect>
                        <v:rect id="_x0000_s1108" style="position:absolute;left:2479;top:2753;width:156;height:281;mso-wrap-style:none" filled="f" stroked="f">
                          <v:textbox style="mso-next-textbox:#_x0000_s1108;mso-fit-shape-to-text:t" inset="0,0,0,0">
                            <w:txbxContent>
                              <w:p w:rsidR="001A2A5A" w:rsidRDefault="001A2A5A" w:rsidP="008D0D80">
                                <w:r>
                                  <w:rPr>
                                    <w:rFonts w:ascii="Arial" w:hAnsi="Arial" w:cs="Arial"/>
                                    <w:color w:val="000000"/>
                                    <w:sz w:val="14"/>
                                    <w:szCs w:val="14"/>
                                  </w:rPr>
                                  <w:t>04</w:t>
                                </w:r>
                              </w:p>
                            </w:txbxContent>
                          </v:textbox>
                        </v:rect>
                        <v:rect id="_x0000_s1109" style="position:absolute;left:2820;top:2753;width:156;height:281;mso-wrap-style:none" filled="f" stroked="f">
                          <v:textbox style="mso-next-textbox:#_x0000_s1109;mso-fit-shape-to-text:t" inset="0,0,0,0">
                            <w:txbxContent>
                              <w:p w:rsidR="001A2A5A" w:rsidRDefault="001A2A5A" w:rsidP="008D0D80">
                                <w:r>
                                  <w:rPr>
                                    <w:rFonts w:ascii="Arial" w:hAnsi="Arial" w:cs="Arial"/>
                                    <w:color w:val="000000"/>
                                    <w:sz w:val="14"/>
                                    <w:szCs w:val="14"/>
                                  </w:rPr>
                                  <w:t>05</w:t>
                                </w:r>
                              </w:p>
                            </w:txbxContent>
                          </v:textbox>
                        </v:rect>
                        <v:rect id="_x0000_s1110" style="position:absolute;left:3161;top:2753;width:156;height:281;mso-wrap-style:none" filled="f" stroked="f">
                          <v:textbox style="mso-next-textbox:#_x0000_s1110;mso-fit-shape-to-text:t" inset="0,0,0,0">
                            <w:txbxContent>
                              <w:p w:rsidR="001A2A5A" w:rsidRDefault="001A2A5A" w:rsidP="008D0D80">
                                <w:r>
                                  <w:rPr>
                                    <w:rFonts w:ascii="Arial" w:hAnsi="Arial" w:cs="Arial"/>
                                    <w:color w:val="000000"/>
                                    <w:sz w:val="14"/>
                                    <w:szCs w:val="14"/>
                                  </w:rPr>
                                  <w:t>06</w:t>
                                </w:r>
                              </w:p>
                            </w:txbxContent>
                          </v:textbox>
                        </v:rect>
                        <v:rect id="_x0000_s1111" style="position:absolute;left:3501;top:2753;width:156;height:281;mso-wrap-style:none" filled="f" stroked="f">
                          <v:textbox style="mso-next-textbox:#_x0000_s1111;mso-fit-shape-to-text:t" inset="0,0,0,0">
                            <w:txbxContent>
                              <w:p w:rsidR="001A2A5A" w:rsidRDefault="001A2A5A" w:rsidP="008D0D80">
                                <w:r>
                                  <w:rPr>
                                    <w:rFonts w:ascii="Arial" w:hAnsi="Arial" w:cs="Arial"/>
                                    <w:color w:val="000000"/>
                                    <w:sz w:val="14"/>
                                    <w:szCs w:val="14"/>
                                  </w:rPr>
                                  <w:t>07</w:t>
                                </w:r>
                              </w:p>
                            </w:txbxContent>
                          </v:textbox>
                        </v:rect>
                        <v:rect id="_x0000_s1112" style="position:absolute;left:3842;top:2753;width:156;height:281;mso-wrap-style:none" filled="f" stroked="f">
                          <v:textbox style="mso-next-textbox:#_x0000_s1112;mso-fit-shape-to-text:t" inset="0,0,0,0">
                            <w:txbxContent>
                              <w:p w:rsidR="001A2A5A" w:rsidRDefault="001A2A5A" w:rsidP="008D0D80">
                                <w:r>
                                  <w:rPr>
                                    <w:rFonts w:ascii="Arial" w:hAnsi="Arial" w:cs="Arial"/>
                                    <w:color w:val="000000"/>
                                    <w:sz w:val="14"/>
                                    <w:szCs w:val="14"/>
                                  </w:rPr>
                                  <w:t>08</w:t>
                                </w:r>
                              </w:p>
                            </w:txbxContent>
                          </v:textbox>
                        </v:rect>
                        <v:rect id="_x0000_s1113" style="position:absolute;left:4183;top:2753;width:156;height:281;mso-wrap-style:none" filled="f" stroked="f">
                          <v:textbox style="mso-next-textbox:#_x0000_s1113;mso-fit-shape-to-text:t" inset="0,0,0,0">
                            <w:txbxContent>
                              <w:p w:rsidR="001A2A5A" w:rsidRDefault="001A2A5A" w:rsidP="008D0D80">
                                <w:r>
                                  <w:rPr>
                                    <w:rFonts w:ascii="Arial" w:hAnsi="Arial" w:cs="Arial"/>
                                    <w:color w:val="000000"/>
                                    <w:sz w:val="14"/>
                                    <w:szCs w:val="14"/>
                                  </w:rPr>
                                  <w:t>09</w:t>
                                </w:r>
                              </w:p>
                            </w:txbxContent>
                          </v:textbox>
                        </v:rect>
                        <v:line id="_x0000_s1114" style="position:absolute" from="795,1079" to="1050,1080" strokecolor="blue" strokeweight="53e-5mm"/>
                        <v:rect id="_x0000_s1115" style="position:absolute;left:890;top:1050;width:47;height:48" fillcolor="blue" strokecolor="blue" strokeweight=".00025mm"/>
                        <v:rect id="_x0000_s1116" style="position:absolute;left:1078;top:903;width:1067;height:281;mso-wrap-style:none" filled="f" stroked="f">
                          <v:textbox style="mso-next-textbox:#_x0000_s1116;mso-fit-shape-to-text:t" inset="0,0,0,0">
                            <w:txbxContent>
                              <w:p w:rsidR="001A2A5A" w:rsidRPr="006C2A71" w:rsidRDefault="001A2A5A" w:rsidP="008D0D80">
                                <w:pPr>
                                  <w:rPr>
                                    <w:lang w:val="fr-CH"/>
                                  </w:rPr>
                                </w:pPr>
                                <w:r>
                                  <w:rPr>
                                    <w:rFonts w:ascii="Arial" w:hAnsi="Arial" w:cs="Arial"/>
                                    <w:color w:val="000000"/>
                                    <w:sz w:val="14"/>
                                    <w:szCs w:val="14"/>
                                    <w:lang w:val="fr-CH"/>
                                  </w:rPr>
                                  <w:t>Pays développés</w:t>
                                </w:r>
                              </w:p>
                            </w:txbxContent>
                          </v:textbox>
                        </v:rect>
                        <v:line id="_x0000_s1117" style="position:absolute" from="795,1306" to="1050,1307" strokeweight="53e-5mm"/>
                        <v:oval id="_x0000_s1118" style="position:absolute;left:890;top:1277;width:47;height:48" fillcolor="black" strokeweight=".00025mm"/>
                        <v:rect id="_x0000_s1119" style="position:absolute;left:1091;top:1098;width:1542;height:281" filled="f" stroked="f">
                          <v:textbox style="mso-next-textbox:#_x0000_s1119;mso-fit-shape-to-text:t" inset="0,0,0,0">
                            <w:txbxContent>
                              <w:p w:rsidR="001A2A5A" w:rsidRPr="006C2A71" w:rsidRDefault="001A2A5A" w:rsidP="008D0D80">
                                <w:pPr>
                                  <w:rPr>
                                    <w:lang w:val="fr-CH"/>
                                  </w:rPr>
                                </w:pPr>
                                <w:r>
                                  <w:rPr>
                                    <w:rFonts w:ascii="Arial" w:hAnsi="Arial" w:cs="Arial"/>
                                    <w:color w:val="000000"/>
                                    <w:sz w:val="14"/>
                                    <w:szCs w:val="14"/>
                                    <w:lang w:val="fr-CH"/>
                                  </w:rPr>
                                  <w:t>Pays en développement</w:t>
                                </w:r>
                              </w:p>
                            </w:txbxContent>
                          </v:textbox>
                        </v:rect>
                        <v:line id="_x0000_s1120" style="position:absolute" from="795,1523" to="1050,1524" strokecolor="red" strokeweight="53e-5mm"/>
                        <v:shape id="_x0000_s1121" style="position:absolute;left:890;top:1495;width:56;height:57" coordsize="56,57" path="m28,l56,57,,57,28,xe" fillcolor="red" strokecolor="red" strokeweight=".00025mm">
                          <v:path arrowok="t"/>
                        </v:shape>
                        <v:rect id="_x0000_s1122" style="position:absolute;left:1050;top:1325;width:506;height:281;mso-wrap-style:none" filled="f" stroked="f">
                          <v:textbox style="mso-next-textbox:#_x0000_s1122;mso-fit-shape-to-text:t" inset="0,0,0,0">
                            <w:txbxContent>
                              <w:p w:rsidR="001A2A5A" w:rsidRPr="006C2A71" w:rsidRDefault="001A2A5A" w:rsidP="008D0D80">
                                <w:pPr>
                                  <w:rPr>
                                    <w:lang w:val="fr-CH"/>
                                  </w:rPr>
                                </w:pPr>
                                <w:r>
                                  <w:rPr>
                                    <w:rFonts w:ascii="Arial" w:hAnsi="Arial" w:cs="Arial"/>
                                    <w:color w:val="000000"/>
                                    <w:sz w:val="14"/>
                                    <w:szCs w:val="14"/>
                                    <w:lang w:val="fr-CH"/>
                                  </w:rPr>
                                  <w:t xml:space="preserve">  Monde</w:t>
                                </w:r>
                              </w:p>
                            </w:txbxContent>
                          </v:textbox>
                        </v:rect>
                        <v:rect id="_x0000_s1123" style="position:absolute;left:47;top:47;width:4656;height:3270" filled="f" strokeweight="0"/>
                        <v:rect id="_x0000_s1124" style="position:absolute;left:558;top:123;width:3961;height:327;mso-wrap-style:none" filled="f" stroked="f">
                          <v:textbox style="mso-next-textbox:#_x0000_s1124;mso-fit-shape-to-text:t" inset="0,0,0,0">
                            <w:txbxContent>
                              <w:p w:rsidR="001A2A5A" w:rsidRPr="006C2A71" w:rsidRDefault="001A2A5A" w:rsidP="008D0D80">
                                <w:pPr>
                                  <w:rPr>
                                    <w:lang w:val="fr-CH"/>
                                  </w:rPr>
                                </w:pPr>
                                <w:r>
                                  <w:rPr>
                                    <w:rFonts w:ascii="Arial" w:hAnsi="Arial" w:cs="Arial"/>
                                    <w:b/>
                                    <w:bCs/>
                                    <w:color w:val="000000"/>
                                    <w:sz w:val="18"/>
                                    <w:szCs w:val="18"/>
                                    <w:lang w:val="fr-CH"/>
                                  </w:rPr>
                                  <w:t>Lignes téléphoniques fixes pour 100 habitants</w:t>
                                </w:r>
                              </w:p>
                            </w:txbxContent>
                          </v:textbox>
                        </v:rect>
                        <w10:wrap type="none"/>
                        <w10:anchorlock/>
                      </v:group>
                    </w:pict>
                  </w:r>
                </w:p>
                <w:p w:rsidR="008D0D80" w:rsidRPr="00B56515" w:rsidRDefault="008D0D80" w:rsidP="008D0D80">
                  <w:pPr>
                    <w:pStyle w:val="FigureBody"/>
                    <w:jc w:val="left"/>
                    <w:rPr>
                      <w:rFonts w:asciiTheme="majorBidi" w:hAnsiTheme="majorBidi" w:cstheme="majorBidi"/>
                      <w:sz w:val="19"/>
                      <w:szCs w:val="19"/>
                    </w:rPr>
                  </w:pPr>
                </w:p>
                <w:p w:rsidR="008D0D80" w:rsidRPr="00B56515" w:rsidRDefault="008D0D80" w:rsidP="008D0D80">
                  <w:pPr>
                    <w:pStyle w:val="FigureSource"/>
                    <w:rPr>
                      <w:rFonts w:asciiTheme="majorBidi" w:hAnsiTheme="majorBidi" w:cstheme="majorBidi"/>
                      <w:sz w:val="19"/>
                      <w:szCs w:val="19"/>
                      <w:lang w:val="fr-CH"/>
                    </w:rPr>
                  </w:pPr>
                  <w:r w:rsidRPr="00B56515">
                    <w:rPr>
                      <w:rFonts w:asciiTheme="majorBidi" w:hAnsiTheme="majorBidi" w:cstheme="majorBidi"/>
                      <w:sz w:val="19"/>
                      <w:szCs w:val="19"/>
                      <w:lang w:val="fr-CH"/>
                    </w:rPr>
                    <w:t>* Les données pour 2009 sont des estimations.</w:t>
                  </w:r>
                </w:p>
                <w:p w:rsidR="008D0D80" w:rsidRPr="00255691" w:rsidRDefault="008D0D80" w:rsidP="008D0D80">
                  <w:pPr>
                    <w:pStyle w:val="FigureSource"/>
                    <w:rPr>
                      <w:rFonts w:asciiTheme="majorBidi" w:hAnsiTheme="majorBidi" w:cstheme="majorBidi"/>
                      <w:i/>
                      <w:iCs/>
                      <w:sz w:val="19"/>
                      <w:szCs w:val="19"/>
                      <w:lang w:val="fr-CH"/>
                    </w:rPr>
                  </w:pPr>
                  <w:r w:rsidRPr="00255691">
                    <w:rPr>
                      <w:rFonts w:asciiTheme="majorBidi" w:hAnsiTheme="majorBidi" w:cstheme="majorBidi"/>
                      <w:i/>
                      <w:iCs/>
                      <w:sz w:val="19"/>
                      <w:szCs w:val="19"/>
                      <w:lang w:val="fr-CH"/>
                    </w:rPr>
                    <w:t xml:space="preserve">Source: </w:t>
                  </w:r>
                  <w:r w:rsidRPr="00255691">
                    <w:rPr>
                      <w:rFonts w:asciiTheme="majorBidi" w:hAnsiTheme="majorBidi" w:cstheme="majorBidi"/>
                      <w:i/>
                      <w:iCs/>
                      <w:sz w:val="19"/>
                      <w:szCs w:val="19"/>
                      <w:lang w:val="fr-FR"/>
                    </w:rPr>
                    <w:t>Base de données UIT des indicateurs des télécommunications/TIC dans le monde</w:t>
                  </w:r>
                  <w:r w:rsidRPr="00255691">
                    <w:rPr>
                      <w:rStyle w:val="FootnoteReference"/>
                      <w:rFonts w:asciiTheme="majorBidi" w:hAnsiTheme="majorBidi" w:cstheme="majorBidi"/>
                      <w:i/>
                      <w:iCs/>
                      <w:sz w:val="14"/>
                      <w:szCs w:val="14"/>
                      <w:lang w:val="fr-FR"/>
                    </w:rPr>
                    <w:footnoteReference w:id="1"/>
                  </w:r>
                  <w:r w:rsidRPr="00255691">
                    <w:rPr>
                      <w:rFonts w:asciiTheme="majorBidi" w:hAnsiTheme="majorBidi" w:cstheme="majorBidi"/>
                      <w:i/>
                      <w:iCs/>
                      <w:sz w:val="19"/>
                      <w:szCs w:val="19"/>
                      <w:lang w:val="fr-CH"/>
                    </w:rPr>
                    <w:t>.</w:t>
                  </w:r>
                </w:p>
              </w:tc>
            </w:tr>
          </w:tbl>
          <w:p w:rsidR="00C82AF3" w:rsidRPr="008D0D80" w:rsidRDefault="00C82AF3" w:rsidP="007C329B">
            <w:pPr>
              <w:rPr>
                <w:lang w:val="fr-FR"/>
              </w:rPr>
            </w:pPr>
          </w:p>
        </w:tc>
      </w:tr>
    </w:tbl>
    <w:p w:rsidR="007C329B" w:rsidRPr="007C329B" w:rsidRDefault="007C329B" w:rsidP="007C329B">
      <w:pPr>
        <w:rPr>
          <w:lang w:val="fr-FR"/>
        </w:rPr>
      </w:pPr>
      <w:bookmarkStart w:id="14" w:name="_Toc258938503"/>
      <w:r w:rsidRPr="007C329B">
        <w:rPr>
          <w:lang w:val="fr-FR"/>
        </w:rPr>
        <w:t>L'investissement mondial dans les télécommunications, qui comprend les dépenses afférentes aux premières installations et au développement des installations existantes, a atteint son plus haut niveau en 2001, avec plus de 250 milliards USD, avant d'enregistrer un repli jusqu'en 2004. Depuis lors, il est reparti à la hausse et a dépassé en 2008 son niveau de 2001, pour atteindre 259 milliards USD (Figure 2). Ces chiffres doivent être en outre considérés compte tenu des innovations technologiques et de la concurrence sur le marché de gros, lesquelles ont entraîné une baisse significative des prix et permis aux opérateurs "d'acheter plus pour moins".</w:t>
      </w:r>
    </w:p>
    <w:p w:rsidR="007C329B" w:rsidRPr="007C329B" w:rsidRDefault="007C329B" w:rsidP="007C329B">
      <w:pPr>
        <w:spacing w:after="240"/>
        <w:rPr>
          <w:lang w:val="fr-FR"/>
        </w:rPr>
      </w:pPr>
      <w:r w:rsidRPr="007C329B">
        <w:rPr>
          <w:lang w:val="fr-FR"/>
        </w:rPr>
        <w:t xml:space="preserve">En comparant les investissements dans les TIC par région, on s'aperçoit, qu'en 2008, la région Amériques recevait la plus grande part des investissements dans les télécommunications (34%), suivie par la région </w:t>
      </w:r>
      <w:proofErr w:type="spellStart"/>
      <w:r w:rsidRPr="007C329B">
        <w:rPr>
          <w:lang w:val="fr-FR"/>
        </w:rPr>
        <w:t>Asie</w:t>
      </w:r>
      <w:r w:rsidRPr="007C329B">
        <w:rPr>
          <w:lang w:val="fr-FR"/>
        </w:rPr>
        <w:noBreakHyphen/>
        <w:t>Pacifique</w:t>
      </w:r>
      <w:proofErr w:type="spellEnd"/>
      <w:r w:rsidRPr="007C329B">
        <w:rPr>
          <w:lang w:val="fr-FR"/>
        </w:rPr>
        <w:t xml:space="preserve"> (29%) la région Europe (24%), la région des Etats arabes (10%) et la région de la CEI (1%). </w:t>
      </w:r>
    </w:p>
    <w:tbl>
      <w:tblPr>
        <w:tblW w:w="0" w:type="auto"/>
        <w:jc w:val="center"/>
        <w:tblInd w:w="-459" w:type="dxa"/>
        <w:tblLook w:val="0000"/>
      </w:tblPr>
      <w:tblGrid>
        <w:gridCol w:w="9747"/>
      </w:tblGrid>
      <w:tr w:rsidR="007C329B" w:rsidRPr="00C30982" w:rsidTr="00B31121">
        <w:trPr>
          <w:jc w:val="center"/>
        </w:trPr>
        <w:tc>
          <w:tcPr>
            <w:tcW w:w="9747" w:type="dxa"/>
          </w:tcPr>
          <w:p w:rsidR="007C329B" w:rsidRPr="00B56515" w:rsidRDefault="007C329B" w:rsidP="00E76CE8">
            <w:pPr>
              <w:pStyle w:val="FigureTitle"/>
              <w:rPr>
                <w:rFonts w:asciiTheme="majorBidi" w:hAnsiTheme="majorBidi" w:cstheme="majorBidi"/>
                <w:lang w:val="fr-FR"/>
              </w:rPr>
            </w:pPr>
            <w:r w:rsidRPr="00B56515">
              <w:rPr>
                <w:rFonts w:asciiTheme="majorBidi" w:hAnsiTheme="majorBidi" w:cstheme="majorBidi"/>
                <w:lang w:val="fr-FR"/>
              </w:rPr>
              <w:lastRenderedPageBreak/>
              <w:t xml:space="preserve">Figure 2: Investissement mondial dans les </w:t>
            </w:r>
            <w:r w:rsidRPr="00B56515">
              <w:rPr>
                <w:rFonts w:asciiTheme="majorBidi" w:hAnsiTheme="majorBidi" w:cstheme="majorBidi"/>
                <w:szCs w:val="24"/>
                <w:lang w:val="fr-FR"/>
              </w:rPr>
              <w:t>télécommunications</w:t>
            </w:r>
          </w:p>
          <w:p w:rsidR="007C329B" w:rsidRPr="00B56515" w:rsidRDefault="00330ED2" w:rsidP="00E76CE8">
            <w:pPr>
              <w:pStyle w:val="FigureSubtitle"/>
              <w:jc w:val="left"/>
              <w:rPr>
                <w:rFonts w:asciiTheme="majorBidi" w:hAnsiTheme="majorBidi" w:cstheme="majorBidi"/>
                <w:lang w:val="fr-FR"/>
              </w:rPr>
            </w:pPr>
            <w:r>
              <w:rPr>
                <w:rFonts w:asciiTheme="majorBidi" w:hAnsiTheme="majorBidi" w:cstheme="majorBidi"/>
                <w:noProof/>
                <w:lang w:val="en-US" w:eastAsia="zh-CN"/>
              </w:rPr>
              <w:pict>
                <v:rect id="_x0000_s1287" style="position:absolute;margin-left:-1.35pt;margin-top:14.25pt;width:214.4pt;height:24.4pt;z-index:251658240" filled="f" stroked="f">
                  <v:textbox style="mso-next-textbox:#_x0000_s1287" inset="0,0,0,0">
                    <w:txbxContent>
                      <w:p w:rsidR="001A2A5A" w:rsidRPr="007C329B" w:rsidRDefault="001A2A5A" w:rsidP="00B31121">
                        <w:pPr>
                          <w:jc w:val="center"/>
                          <w:rPr>
                            <w:sz w:val="15"/>
                            <w:szCs w:val="15"/>
                            <w:lang w:val="fr-FR"/>
                          </w:rPr>
                        </w:pPr>
                        <w:r w:rsidRPr="007C329B">
                          <w:rPr>
                            <w:rFonts w:ascii="Arial" w:hAnsi="Arial" w:cs="Arial"/>
                            <w:b/>
                            <w:bCs/>
                            <w:color w:val="000000"/>
                            <w:sz w:val="15"/>
                            <w:szCs w:val="15"/>
                            <w:lang w:val="fr-FR"/>
                          </w:rPr>
                          <w:t>Investissement mondial dans les télécommunications</w:t>
                        </w:r>
                        <w:r w:rsidRPr="007C329B">
                          <w:rPr>
                            <w:rFonts w:ascii="Arial" w:hAnsi="Arial" w:cs="Arial"/>
                            <w:b/>
                            <w:bCs/>
                            <w:color w:val="000000"/>
                            <w:sz w:val="15"/>
                            <w:szCs w:val="15"/>
                            <w:lang w:val="fr-FR"/>
                          </w:rPr>
                          <w:br/>
                          <w:t>(milliards USD, 1998-2008)</w:t>
                        </w:r>
                      </w:p>
                    </w:txbxContent>
                  </v:textbox>
                </v:rect>
              </w:pict>
            </w:r>
            <w:r w:rsidR="007C329B" w:rsidRPr="00B56515">
              <w:rPr>
                <w:rFonts w:asciiTheme="majorBidi" w:hAnsiTheme="majorBidi" w:cstheme="majorBidi"/>
                <w:lang w:val="fr-FR"/>
              </w:rPr>
              <w:t xml:space="preserve">Investissement mondial dans les </w:t>
            </w:r>
            <w:r w:rsidR="007C329B" w:rsidRPr="00B56515">
              <w:rPr>
                <w:rFonts w:asciiTheme="majorBidi" w:hAnsiTheme="majorBidi" w:cstheme="majorBidi"/>
                <w:szCs w:val="24"/>
                <w:lang w:val="fr-FR"/>
              </w:rPr>
              <w:t>télécommunications</w:t>
            </w:r>
            <w:r w:rsidR="007C329B" w:rsidRPr="00B56515">
              <w:rPr>
                <w:rFonts w:asciiTheme="majorBidi" w:hAnsiTheme="majorBidi" w:cstheme="majorBidi"/>
                <w:lang w:val="fr-FR"/>
              </w:rPr>
              <w:t xml:space="preserve">, en milliards USD, de 1998 à 2008 (à gauche) et part de l'investissement dans les </w:t>
            </w:r>
            <w:r w:rsidR="007C329B" w:rsidRPr="00B56515">
              <w:rPr>
                <w:rFonts w:asciiTheme="majorBidi" w:hAnsiTheme="majorBidi" w:cstheme="majorBidi"/>
                <w:szCs w:val="24"/>
                <w:lang w:val="fr-FR"/>
              </w:rPr>
              <w:t>télécommunications</w:t>
            </w:r>
            <w:r w:rsidR="007C329B" w:rsidRPr="00B56515">
              <w:rPr>
                <w:rFonts w:asciiTheme="majorBidi" w:hAnsiTheme="majorBidi" w:cstheme="majorBidi"/>
                <w:lang w:val="fr-FR"/>
              </w:rPr>
              <w:t xml:space="preserve"> par région, 2008 (à droite). </w:t>
            </w:r>
          </w:p>
          <w:p w:rsidR="007C329B" w:rsidRPr="00B56515" w:rsidRDefault="00330ED2" w:rsidP="00E76CE8">
            <w:pPr>
              <w:pStyle w:val="FigureBody"/>
              <w:rPr>
                <w:rFonts w:asciiTheme="majorBidi" w:hAnsiTheme="majorBidi" w:cstheme="majorBidi"/>
                <w:lang w:val="fr-FR"/>
              </w:rPr>
            </w:pPr>
            <w:r w:rsidRPr="00330ED2">
              <w:rPr>
                <w:rFonts w:asciiTheme="majorBidi" w:hAnsiTheme="majorBidi" w:cstheme="majorBidi"/>
                <w:lang w:val="fr-FR"/>
              </w:rPr>
            </w:r>
            <w:r>
              <w:rPr>
                <w:rFonts w:asciiTheme="majorBidi" w:hAnsiTheme="majorBidi" w:cstheme="majorBidi"/>
                <w:lang w:val="fr-FR"/>
              </w:rPr>
              <w:pict>
                <v:group id="_x0000_s1255" editas="canvas" style="width:207.95pt;height:173.9pt;mso-position-horizontal-relative:char;mso-position-vertical-relative:line" coordorigin="72,72" coordsize="4159,3478">
                  <o:lock v:ext="edit" aspectratio="t"/>
                  <v:shape id="_x0000_s1256" type="#_x0000_t75" style="position:absolute;left:72;top:72;width:4159;height:3478" o:preferrelative="f">
                    <v:fill o:detectmouseclick="t"/>
                    <v:path o:extrusionok="t" o:connecttype="none"/>
                    <o:lock v:ext="edit" text="t"/>
                  </v:shape>
                  <v:rect id="_x0000_s1257" style="position:absolute;left:72;top:72;width:4159;height:3142" stroked="f"/>
                  <v:rect id="_x0000_s1258" style="position:absolute;left:620;top:533;width:3230;height:2278" stroked="f"/>
                  <v:line id="_x0000_s1259" style="position:absolute" from="620,2047" to="3850,2048" strokeweight="0"/>
                  <v:line id="_x0000_s1260" style="position:absolute" from="620,1297" to="3850,1298" strokeweight="0"/>
                  <v:line id="_x0000_s1261" style="position:absolute" from="620,533" to="3850,534" strokeweight="0"/>
                  <v:rect id="_x0000_s1262" style="position:absolute;left:620;top:533;width:3230;height:2278" filled="f" strokeweight="39e-5mm"/>
                  <v:shape id="_x0000_s1263" style="position:absolute;left:620;top:807;width:3230;height:2004" coordsize="3230,2004" path="m,2004l,663,317,591,649,,966,87r332,360l1615,375r317,130l2264,346,2581,130r332,43l3230,43r,1961l2913,2004r-332,l2264,2004r-332,l1615,2004r-317,l966,2004r-317,l317,2004,,2004xe" fillcolor="#f90" stroked="f">
                    <v:path arrowok="t"/>
                  </v:shape>
                  <v:shape id="_x0000_s1264" style="position:absolute;left:620;top:807;width:3230;height:2004" coordsize="3230,2004" path="m,2004l,663,317,591,649,,966,87r332,360l1615,375r317,130l2264,346,2581,130r332,43l3230,43r,1961l2913,2004r-332,l2264,2004r-332,l1615,2004r-317,l966,2004r-317,l317,2004,,2004e" filled="f" strokeweight="39e-5mm">
                    <v:path arrowok="t"/>
                  </v:shape>
                  <v:line id="_x0000_s1265" style="position:absolute" from="620,533" to="621,2811" strokeweight="0"/>
                  <v:line id="_x0000_s1266" style="position:absolute" from="577,2811" to="620,2812" strokeweight="0"/>
                  <v:line id="_x0000_s1267" style="position:absolute" from="577,2047" to="620,2048" strokeweight="0"/>
                  <v:line id="_x0000_s1268" style="position:absolute" from="577,1297" to="620,1298" strokeweight="0"/>
                  <v:line id="_x0000_s1269" style="position:absolute" from="577,533" to="620,534" strokeweight="0"/>
                  <v:line id="_x0000_s1270" style="position:absolute" from="620,2811" to="3850,2812" strokeweight="0"/>
                  <v:line id="_x0000_s1271" style="position:absolute;flip:y" from="620,2811" to="621,2854" strokeweight="0"/>
                  <v:line id="_x0000_s1272" style="position:absolute;flip:y" from="1269,2811" to="1270,2854" strokeweight="0"/>
                  <v:line id="_x0000_s1273" style="position:absolute;flip:y" from="1918,2811" to="1919,2854" strokeweight="0"/>
                  <v:line id="_x0000_s1274" style="position:absolute;flip:y" from="2552,2811" to="2553,2854" strokeweight="0"/>
                  <v:line id="_x0000_s1275" style="position:absolute;flip:y" from="3201,2811" to="3202,2854" strokeweight="0"/>
                  <v:line id="_x0000_s1276" style="position:absolute;flip:y" from="3850,2811" to="3851,2854" strokeweight="0"/>
                  <v:rect id="_x0000_s1277" style="position:absolute;left:418;top:2710;width:89;height:304;mso-wrap-style:none" filled="f" stroked="f">
                    <v:textbox style="mso-next-textbox:#_x0000_s1277;mso-fit-shape-to-text:t" inset="0,0,0,0">
                      <w:txbxContent>
                        <w:p w:rsidR="001A2A5A" w:rsidRDefault="001A2A5A" w:rsidP="007C329B">
                          <w:r>
                            <w:rPr>
                              <w:rFonts w:ascii="Arial" w:hAnsi="Arial" w:cs="Arial"/>
                              <w:color w:val="000000"/>
                              <w:sz w:val="16"/>
                              <w:szCs w:val="16"/>
                            </w:rPr>
                            <w:t>0</w:t>
                          </w:r>
                        </w:p>
                      </w:txbxContent>
                    </v:textbox>
                  </v:rect>
                  <v:rect id="_x0000_s1278" style="position:absolute;left:245;top:1946;width:267;height:304;mso-wrap-style:none" filled="f" stroked="f">
                    <v:textbox style="mso-next-textbox:#_x0000_s1278;mso-fit-shape-to-text:t" inset="0,0,0,0">
                      <w:txbxContent>
                        <w:p w:rsidR="001A2A5A" w:rsidRDefault="001A2A5A" w:rsidP="007C329B">
                          <w:r>
                            <w:rPr>
                              <w:rFonts w:ascii="Arial" w:hAnsi="Arial" w:cs="Arial"/>
                              <w:color w:val="000000"/>
                              <w:sz w:val="16"/>
                              <w:szCs w:val="16"/>
                            </w:rPr>
                            <w:t>100</w:t>
                          </w:r>
                        </w:p>
                      </w:txbxContent>
                    </v:textbox>
                  </v:rect>
                  <v:rect id="_x0000_s1279" style="position:absolute;left:245;top:1196;width:267;height:304;mso-wrap-style:none" filled="f" stroked="f">
                    <v:textbox style="mso-next-textbox:#_x0000_s1279;mso-fit-shape-to-text:t" inset="0,0,0,0">
                      <w:txbxContent>
                        <w:p w:rsidR="001A2A5A" w:rsidRDefault="001A2A5A" w:rsidP="007C329B">
                          <w:r>
                            <w:rPr>
                              <w:rFonts w:ascii="Arial" w:hAnsi="Arial" w:cs="Arial"/>
                              <w:color w:val="000000"/>
                              <w:sz w:val="16"/>
                              <w:szCs w:val="16"/>
                            </w:rPr>
                            <w:t>200</w:t>
                          </w:r>
                        </w:p>
                      </w:txbxContent>
                    </v:textbox>
                  </v:rect>
                  <v:rect id="_x0000_s1280" style="position:absolute;left:245;top:432;width:267;height:304;mso-wrap-style:none" filled="f" stroked="f">
                    <v:textbox style="mso-next-textbox:#_x0000_s1280;mso-fit-shape-to-text:t" inset="0,0,0,0">
                      <w:txbxContent>
                        <w:p w:rsidR="001A2A5A" w:rsidRDefault="001A2A5A" w:rsidP="007C329B">
                          <w:r>
                            <w:rPr>
                              <w:rFonts w:ascii="Arial" w:hAnsi="Arial" w:cs="Arial"/>
                              <w:color w:val="000000"/>
                              <w:sz w:val="16"/>
                              <w:szCs w:val="16"/>
                            </w:rPr>
                            <w:t>300</w:t>
                          </w:r>
                        </w:p>
                      </w:txbxContent>
                    </v:textbox>
                  </v:rect>
                  <v:rect id="_x0000_s1281" style="position:absolute;left:447;top:2940;width:356;height:304;mso-wrap-style:none" filled="f" stroked="f">
                    <v:textbox style="mso-next-textbox:#_x0000_s1281;mso-fit-shape-to-text:t" inset="0,0,0,0">
                      <w:txbxContent>
                        <w:p w:rsidR="001A2A5A" w:rsidRDefault="001A2A5A" w:rsidP="007C329B">
                          <w:r>
                            <w:rPr>
                              <w:rFonts w:ascii="Arial" w:hAnsi="Arial" w:cs="Arial"/>
                              <w:color w:val="000000"/>
                              <w:sz w:val="16"/>
                              <w:szCs w:val="16"/>
                            </w:rPr>
                            <w:t>1998</w:t>
                          </w:r>
                        </w:p>
                      </w:txbxContent>
                    </v:textbox>
                  </v:rect>
                  <v:rect id="_x0000_s1282" style="position:absolute;left:1096;top:2940;width:356;height:304;mso-wrap-style:none" filled="f" stroked="f">
                    <v:textbox style="mso-next-textbox:#_x0000_s1282;mso-fit-shape-to-text:t" inset="0,0,0,0">
                      <w:txbxContent>
                        <w:p w:rsidR="001A2A5A" w:rsidRDefault="001A2A5A" w:rsidP="007C329B">
                          <w:r>
                            <w:rPr>
                              <w:rFonts w:ascii="Arial" w:hAnsi="Arial" w:cs="Arial"/>
                              <w:color w:val="000000"/>
                              <w:sz w:val="16"/>
                              <w:szCs w:val="16"/>
                            </w:rPr>
                            <w:t>2000</w:t>
                          </w:r>
                        </w:p>
                      </w:txbxContent>
                    </v:textbox>
                  </v:rect>
                  <v:rect id="_x0000_s1283" style="position:absolute;left:1745;top:2940;width:356;height:304;mso-wrap-style:none" filled="f" stroked="f">
                    <v:textbox style="mso-next-textbox:#_x0000_s1283;mso-fit-shape-to-text:t" inset="0,0,0,0">
                      <w:txbxContent>
                        <w:p w:rsidR="001A2A5A" w:rsidRDefault="001A2A5A" w:rsidP="007C329B">
                          <w:r>
                            <w:rPr>
                              <w:rFonts w:ascii="Arial" w:hAnsi="Arial" w:cs="Arial"/>
                              <w:color w:val="000000"/>
                              <w:sz w:val="16"/>
                              <w:szCs w:val="16"/>
                            </w:rPr>
                            <w:t>2002</w:t>
                          </w:r>
                        </w:p>
                      </w:txbxContent>
                    </v:textbox>
                  </v:rect>
                  <v:rect id="_x0000_s1284" style="position:absolute;left:2379;top:2940;width:356;height:304;mso-wrap-style:none" filled="f" stroked="f">
                    <v:textbox style="mso-next-textbox:#_x0000_s1284;mso-fit-shape-to-text:t" inset="0,0,0,0">
                      <w:txbxContent>
                        <w:p w:rsidR="001A2A5A" w:rsidRDefault="001A2A5A" w:rsidP="007C329B">
                          <w:r>
                            <w:rPr>
                              <w:rFonts w:ascii="Arial" w:hAnsi="Arial" w:cs="Arial"/>
                              <w:color w:val="000000"/>
                              <w:sz w:val="16"/>
                              <w:szCs w:val="16"/>
                            </w:rPr>
                            <w:t>2004</w:t>
                          </w:r>
                        </w:p>
                      </w:txbxContent>
                    </v:textbox>
                  </v:rect>
                  <v:rect id="_x0000_s1285" style="position:absolute;left:3028;top:2940;width:356;height:304;mso-wrap-style:none" filled="f" stroked="f">
                    <v:textbox style="mso-next-textbox:#_x0000_s1285;mso-fit-shape-to-text:t" inset="0,0,0,0">
                      <w:txbxContent>
                        <w:p w:rsidR="001A2A5A" w:rsidRDefault="001A2A5A" w:rsidP="007C329B">
                          <w:r>
                            <w:rPr>
                              <w:rFonts w:ascii="Arial" w:hAnsi="Arial" w:cs="Arial"/>
                              <w:color w:val="000000"/>
                              <w:sz w:val="16"/>
                              <w:szCs w:val="16"/>
                            </w:rPr>
                            <w:t>2006</w:t>
                          </w:r>
                        </w:p>
                      </w:txbxContent>
                    </v:textbox>
                  </v:rect>
                  <v:rect id="_x0000_s1286" style="position:absolute;left:3677;top:2940;width:444;height:304" filled="f" stroked="f">
                    <v:textbox style="mso-next-textbox:#_x0000_s1286;mso-fit-shape-to-text:t" inset="0,0,0,0">
                      <w:txbxContent>
                        <w:p w:rsidR="001A2A5A" w:rsidRDefault="001A2A5A" w:rsidP="007C329B">
                          <w:r>
                            <w:rPr>
                              <w:rFonts w:ascii="Arial" w:hAnsi="Arial" w:cs="Arial"/>
                              <w:color w:val="000000"/>
                              <w:sz w:val="16"/>
                              <w:szCs w:val="16"/>
                            </w:rPr>
                            <w:t>2008</w:t>
                          </w:r>
                        </w:p>
                      </w:txbxContent>
                    </v:textbox>
                  </v:rect>
                  <w10:wrap type="none"/>
                  <w10:anchorlock/>
                </v:group>
              </w:pict>
            </w:r>
            <w:r w:rsidR="007C329B" w:rsidRPr="00B56515">
              <w:rPr>
                <w:rFonts w:asciiTheme="majorBidi" w:hAnsiTheme="majorBidi" w:cstheme="majorBidi"/>
                <w:lang w:val="fr-FR"/>
              </w:rPr>
              <w:t xml:space="preserve">      </w:t>
            </w:r>
            <w:r w:rsidRPr="00330ED2">
              <w:rPr>
                <w:rFonts w:asciiTheme="majorBidi" w:hAnsiTheme="majorBidi" w:cstheme="majorBidi"/>
                <w:lang w:val="fr-FR"/>
              </w:rPr>
            </w:r>
            <w:r>
              <w:rPr>
                <w:rFonts w:asciiTheme="majorBidi" w:hAnsiTheme="majorBidi" w:cstheme="majorBidi"/>
                <w:lang w:val="fr-FR"/>
              </w:rPr>
              <w:pict>
                <v:group id="_x0000_s1223" editas="canvas" style="width:217pt;height:173.55pt;mso-position-horizontal-relative:char;mso-position-vertical-relative:line" coordorigin="73" coordsize="4340,3471">
                  <o:lock v:ext="edit" aspectratio="t"/>
                  <v:shape id="_x0000_s1224" type="#_x0000_t75" style="position:absolute;left:73;width:4340;height:3471" o:preferrelative="f">
                    <v:fill o:detectmouseclick="t"/>
                    <v:path o:extrusionok="t" o:connecttype="none"/>
                    <o:lock v:ext="edit" text="t"/>
                  </v:shape>
                  <v:rect id="_x0000_s1225" style="position:absolute;left:73;width:4059;height:3221" stroked="f"/>
                  <v:shape id="_x0000_s1226" style="position:absolute;left:1761;top:1822;width:436;height:1195" coordsize="30,82" path="m,79hdc4,80,7,81,10,82hal30,,,79hdxe" fillcolor="#936" strokeweight="42e-5mm">
                    <v:path arrowok="t"/>
                  </v:shape>
                  <v:shape id="_x0000_s1227" style="position:absolute;left:960;top:845;width:1237;height:2128" coordsize="85,146" path="m34,hdc13,16,1,41,1,67v-1,35,21,67,54,79hal85,67,34,hdxe" fillcolor="red" strokeweight="42e-5mm">
                    <v:path arrowok="t"/>
                  </v:shape>
                  <v:shape id="_x0000_s1228" style="position:absolute;left:1455;top:583;width:1659;height:1239" coordsize="114,85" path="m114,29hdc98,11,75,1,51,1,32,,14,7,,18hal51,85,114,29hdxe" fillcolor="#ffc" strokeweight="42e-5mm">
                    <v:path arrowok="t"/>
                  </v:shape>
                  <v:shape id="_x0000_s1229" style="position:absolute;left:2197;top:1006;width:1222;height:816" coordsize="84,56" path="m84,48hdc83,30,75,13,63,hal,56,84,48hdxe" fillcolor="#99f" strokeweight="42e-5mm">
                    <v:path arrowok="t"/>
                  </v:shape>
                  <v:shape id="_x0000_s1230" style="position:absolute;left:2197;top:1705;width:1222;height:117" coordsize="84,8" path="m84,7hdc84,5,84,3,84,hal,8,84,7hdxe" fillcolor="#f90" strokeweight="42e-5mm">
                    <v:path arrowok="t"/>
                  </v:shape>
                  <v:rect id="_x0000_s1231" style="position:absolute;left:1601;top:379;width:100;height:373;mso-wrap-style:none" filled="f" stroked="f">
                    <v:textbox style="mso-next-textbox:#_x0000_s1231;mso-fit-shape-to-text:t" inset="0,0,0,0">
                      <w:txbxContent>
                        <w:p w:rsidR="001A2A5A" w:rsidRDefault="001A2A5A" w:rsidP="007C329B"/>
                      </w:txbxContent>
                    </v:textbox>
                  </v:rect>
                  <v:rect id="_x0000_s1232" style="position:absolute;left:1601;top:379;width:100;height:373;mso-wrap-style:none" filled="f" stroked="f">
                    <v:textbox style="mso-next-textbox:#_x0000_s1232;mso-fit-shape-to-text:t" inset="0,0,0,0">
                      <w:txbxContent>
                        <w:p w:rsidR="001A2A5A" w:rsidRDefault="001A2A5A" w:rsidP="007C329B"/>
                      </w:txbxContent>
                    </v:textbox>
                  </v:rect>
                  <v:shape id="_x0000_s1233" style="position:absolute;left:1193;top:3031;width:684;height:15" coordsize="47,1" path="m,1r5,l47,e" filled="f" strokeweight="0">
                    <v:path arrowok="t"/>
                  </v:shape>
                  <v:shape id="_x0000_s1234" style="position:absolute;left:3347;top:1093;width:218;height:262" coordsize="15,18" path="m15,r,5l,18e" filled="f" strokeweight="0">
                    <v:path arrowok="t"/>
                  </v:shape>
                  <v:shape id="_x0000_s1235" style="position:absolute;left:3448;top:1559;width:190;height:219" coordsize="13,15" path="m13,l8,,,15e" filled="f" strokeweight="0">
                    <v:path arrowok="t"/>
                  </v:shape>
                  <v:rect id="_x0000_s1236" style="position:absolute;left:3638;top:1297;width:291;height:539" stroked="f"/>
                  <v:rect id="_x0000_s1237" style="position:absolute;left:3667;top:1341;width:267;height:304;mso-wrap-style:none" filled="f" stroked="f">
                    <v:textbox style="mso-next-textbox:#_x0000_s1237;mso-fit-shape-to-text:t" inset="0,0,0,0">
                      <w:txbxContent>
                        <w:p w:rsidR="001A2A5A" w:rsidRDefault="001A2A5A" w:rsidP="007C329B">
                          <w:r>
                            <w:rPr>
                              <w:rFonts w:ascii="Arial" w:hAnsi="Arial" w:cs="Arial"/>
                              <w:color w:val="000000"/>
                              <w:sz w:val="16"/>
                              <w:szCs w:val="16"/>
                            </w:rPr>
                            <w:t>CEI</w:t>
                          </w:r>
                        </w:p>
                      </w:txbxContent>
                    </v:textbox>
                  </v:rect>
                  <v:rect id="_x0000_s1238" style="position:absolute;left:3667;top:1559;width:232;height:304;mso-wrap-style:none" filled="f" stroked="f">
                    <v:textbox style="mso-next-textbox:#_x0000_s1238;mso-fit-shape-to-text:t" inset="0,0,0,0">
                      <w:txbxContent>
                        <w:p w:rsidR="001A2A5A" w:rsidRDefault="001A2A5A" w:rsidP="007C329B">
                          <w:r>
                            <w:rPr>
                              <w:rFonts w:ascii="Arial" w:hAnsi="Arial" w:cs="Arial"/>
                              <w:color w:val="000000"/>
                              <w:sz w:val="16"/>
                              <w:szCs w:val="16"/>
                            </w:rPr>
                            <w:t>1%</w:t>
                          </w:r>
                        </w:p>
                      </w:txbxContent>
                    </v:textbox>
                  </v:rect>
                  <v:rect id="_x0000_s1239" style="position:absolute;left:3317;top:364;width:510;height:758" stroked="f"/>
                  <v:rect id="_x0000_s1240" style="position:absolute;left:3347;top:627;width:899;height:304;mso-wrap-style:none" filled="f" stroked="f">
                    <v:textbox style="mso-next-textbox:#_x0000_s1240;mso-fit-shape-to-text:t" inset="0,0,0,0">
                      <w:txbxContent>
                        <w:p w:rsidR="001A2A5A" w:rsidRDefault="001A2A5A" w:rsidP="007C329B">
                          <w:proofErr w:type="spellStart"/>
                          <w:r>
                            <w:rPr>
                              <w:rFonts w:ascii="Arial" w:hAnsi="Arial" w:cs="Arial"/>
                              <w:color w:val="000000"/>
                              <w:sz w:val="16"/>
                              <w:szCs w:val="16"/>
                            </w:rPr>
                            <w:t>Etats</w:t>
                          </w:r>
                          <w:proofErr w:type="spellEnd"/>
                          <w:r>
                            <w:rPr>
                              <w:rFonts w:ascii="Arial" w:hAnsi="Arial" w:cs="Arial"/>
                              <w:color w:val="000000"/>
                              <w:sz w:val="16"/>
                              <w:szCs w:val="16"/>
                            </w:rPr>
                            <w:t xml:space="preserve"> </w:t>
                          </w:r>
                          <w:proofErr w:type="spellStart"/>
                          <w:r>
                            <w:rPr>
                              <w:rFonts w:ascii="Arial" w:hAnsi="Arial" w:cs="Arial"/>
                              <w:color w:val="000000"/>
                              <w:sz w:val="16"/>
                              <w:szCs w:val="16"/>
                            </w:rPr>
                            <w:t>arabes</w:t>
                          </w:r>
                          <w:proofErr w:type="spellEnd"/>
                        </w:p>
                      </w:txbxContent>
                    </v:textbox>
                  </v:rect>
                  <v:rect id="_x0000_s1241" style="position:absolute;left:3419;top:845;width:321;height:304;mso-wrap-style:none" filled="f" stroked="f">
                    <v:textbox style="mso-next-textbox:#_x0000_s1241;mso-fit-shape-to-text:t" inset="0,0,0,0">
                      <w:txbxContent>
                        <w:p w:rsidR="001A2A5A" w:rsidRDefault="001A2A5A" w:rsidP="007C329B">
                          <w:r>
                            <w:rPr>
                              <w:rFonts w:ascii="Arial" w:hAnsi="Arial" w:cs="Arial"/>
                              <w:color w:val="000000"/>
                              <w:sz w:val="16"/>
                              <w:szCs w:val="16"/>
                            </w:rPr>
                            <w:t>10%</w:t>
                          </w:r>
                        </w:p>
                      </w:txbxContent>
                    </v:textbox>
                  </v:rect>
                  <v:rect id="_x0000_s1242" style="position:absolute;left:713;top:2784;width:495;height:539" stroked="f"/>
                  <v:rect id="_x0000_s1243" style="position:absolute;left:613;top:2718;width:764;height:522" filled="f" stroked="f">
                    <v:textbox style="mso-next-textbox:#_x0000_s1243" inset="0,0,0,0">
                      <w:txbxContent>
                        <w:p w:rsidR="001A2A5A" w:rsidRDefault="001A2A5A" w:rsidP="007C329B">
                          <w:pPr>
                            <w:jc w:val="center"/>
                          </w:pPr>
                          <w:proofErr w:type="spellStart"/>
                          <w:r>
                            <w:rPr>
                              <w:rFonts w:ascii="Arial" w:hAnsi="Arial" w:cs="Arial"/>
                              <w:color w:val="000000"/>
                              <w:sz w:val="16"/>
                              <w:szCs w:val="16"/>
                            </w:rPr>
                            <w:t>Afrique</w:t>
                          </w:r>
                          <w:proofErr w:type="spellEnd"/>
                          <w:r>
                            <w:rPr>
                              <w:rFonts w:ascii="Arial" w:hAnsi="Arial" w:cs="Arial"/>
                              <w:color w:val="000000"/>
                              <w:sz w:val="16"/>
                              <w:szCs w:val="16"/>
                            </w:rPr>
                            <w:br/>
                            <w:t>2%</w:t>
                          </w:r>
                        </w:p>
                      </w:txbxContent>
                    </v:textbox>
                  </v:rect>
                  <v:rect id="_x0000_s1244" style="position:absolute;left:3361;top:2040;width:524;height:758" stroked="f"/>
                  <v:rect id="_x0000_s1245" style="position:absolute;left:3317;top:2303;width:1096;height:328" filled="f" stroked="f">
                    <v:textbox style="mso-next-textbox:#_x0000_s1245" inset="0,0,0,0">
                      <w:txbxContent>
                        <w:p w:rsidR="001A2A5A" w:rsidRDefault="001A2A5A" w:rsidP="007C329B">
                          <w:proofErr w:type="spellStart"/>
                          <w:r>
                            <w:rPr>
                              <w:rFonts w:ascii="Arial" w:hAnsi="Arial" w:cs="Arial"/>
                              <w:color w:val="000000"/>
                              <w:sz w:val="16"/>
                              <w:szCs w:val="16"/>
                            </w:rPr>
                            <w:t>Asie-Pacifique</w:t>
                          </w:r>
                          <w:proofErr w:type="spellEnd"/>
                        </w:p>
                      </w:txbxContent>
                    </v:textbox>
                  </v:rect>
                  <v:rect id="_x0000_s1246" style="position:absolute;left:3463;top:2521;width:499;height:304;mso-wrap-style:none" filled="f" stroked="f">
                    <v:textbox style="mso-next-textbox:#_x0000_s1246;mso-fit-shape-to-text:t" inset="0,0,0,0">
                      <w:txbxContent>
                        <w:p w:rsidR="001A2A5A" w:rsidRDefault="001A2A5A" w:rsidP="007C329B">
                          <w:r>
                            <w:rPr>
                              <w:rFonts w:ascii="Arial" w:hAnsi="Arial" w:cs="Arial"/>
                              <w:color w:val="000000"/>
                              <w:sz w:val="16"/>
                              <w:szCs w:val="16"/>
                            </w:rPr>
                            <w:t xml:space="preserve">    29%</w:t>
                          </w:r>
                        </w:p>
                      </w:txbxContent>
                    </v:textbox>
                  </v:rect>
                  <v:rect id="_x0000_s1247" style="position:absolute;left:2052;top:874;width:552;height:540" stroked="f"/>
                  <v:rect id="_x0000_s1248" style="position:absolute;left:2081;top:918;width:597;height:304" filled="f" stroked="f">
                    <v:textbox style="mso-next-textbox:#_x0000_s1248;mso-fit-shape-to-text:t" inset="0,0,0,0">
                      <w:txbxContent>
                        <w:p w:rsidR="001A2A5A" w:rsidRDefault="001A2A5A" w:rsidP="007C329B">
                          <w:r>
                            <w:rPr>
                              <w:rFonts w:ascii="Arial" w:hAnsi="Arial" w:cs="Arial"/>
                              <w:color w:val="000000"/>
                              <w:sz w:val="16"/>
                              <w:szCs w:val="16"/>
                            </w:rPr>
                            <w:t>Europe</w:t>
                          </w:r>
                        </w:p>
                      </w:txbxContent>
                    </v:textbox>
                  </v:rect>
                  <v:rect id="_x0000_s1249" style="position:absolute;left:2168;top:1137;width:321;height:304;mso-wrap-style:none" filled="f" stroked="f">
                    <v:textbox style="mso-next-textbox:#_x0000_s1249;mso-fit-shape-to-text:t" inset="0,0,0,0">
                      <w:txbxContent>
                        <w:p w:rsidR="001A2A5A" w:rsidRDefault="001A2A5A" w:rsidP="007C329B">
                          <w:r>
                            <w:rPr>
                              <w:rFonts w:ascii="Arial" w:hAnsi="Arial" w:cs="Arial"/>
                              <w:color w:val="000000"/>
                              <w:sz w:val="16"/>
                              <w:szCs w:val="16"/>
                            </w:rPr>
                            <w:t>24%</w:t>
                          </w:r>
                        </w:p>
                      </w:txbxContent>
                    </v:textbox>
                  </v:rect>
                  <v:rect id="_x0000_s1250" style="position:absolute;left:1062;top:1647;width:815;height:539" stroked="f"/>
                  <v:rect id="_x0000_s1251" style="position:absolute;left:1091;top:1691;width:888;height:304" filled="f" stroked="f">
                    <v:textbox style="mso-next-textbox:#_x0000_s1251;mso-fit-shape-to-text:t" inset="0,0,0,0">
                      <w:txbxContent>
                        <w:p w:rsidR="001A2A5A" w:rsidRDefault="001A2A5A" w:rsidP="007C329B">
                          <w:proofErr w:type="spellStart"/>
                          <w:r>
                            <w:rPr>
                              <w:rFonts w:ascii="Arial" w:hAnsi="Arial" w:cs="Arial"/>
                              <w:color w:val="000000"/>
                              <w:sz w:val="16"/>
                              <w:szCs w:val="16"/>
                            </w:rPr>
                            <w:t>Amériques</w:t>
                          </w:r>
                          <w:proofErr w:type="spellEnd"/>
                        </w:p>
                      </w:txbxContent>
                    </v:textbox>
                  </v:rect>
                  <v:rect id="_x0000_s1252" style="position:absolute;left:1266;top:1909;width:321;height:304;mso-wrap-style:none" filled="f" stroked="f">
                    <v:textbox style="mso-next-textbox:#_x0000_s1252;mso-fit-shape-to-text:t" inset="0,0,0,0">
                      <w:txbxContent>
                        <w:p w:rsidR="001A2A5A" w:rsidRDefault="001A2A5A" w:rsidP="007C329B">
                          <w:r>
                            <w:rPr>
                              <w:rFonts w:ascii="Arial" w:hAnsi="Arial" w:cs="Arial"/>
                              <w:color w:val="000000"/>
                              <w:sz w:val="16"/>
                              <w:szCs w:val="16"/>
                            </w:rPr>
                            <w:t>34%</w:t>
                          </w:r>
                        </w:p>
                      </w:txbxContent>
                    </v:textbox>
                  </v:rect>
                  <v:rect id="_x0000_s1253" style="position:absolute;left:102;top:4;width:4030;height:521" filled="f" stroked="f">
                    <v:textbox style="mso-next-textbox:#_x0000_s1253" inset="0,0,0,0">
                      <w:txbxContent>
                        <w:p w:rsidR="001A2A5A" w:rsidRPr="00BD1094" w:rsidRDefault="001A2A5A" w:rsidP="00B31121">
                          <w:pPr>
                            <w:spacing w:before="0"/>
                            <w:jc w:val="center"/>
                            <w:rPr>
                              <w:sz w:val="15"/>
                              <w:szCs w:val="15"/>
                            </w:rPr>
                          </w:pPr>
                          <w:proofErr w:type="spellStart"/>
                          <w:r w:rsidRPr="00BD1094">
                            <w:rPr>
                              <w:rFonts w:ascii="Arial" w:hAnsi="Arial" w:cs="Arial"/>
                              <w:b/>
                              <w:bCs/>
                              <w:color w:val="000000"/>
                              <w:sz w:val="15"/>
                              <w:szCs w:val="15"/>
                            </w:rPr>
                            <w:t>Investissement</w:t>
                          </w:r>
                          <w:proofErr w:type="spellEnd"/>
                          <w:r w:rsidRPr="00BD1094">
                            <w:rPr>
                              <w:rFonts w:ascii="Arial" w:hAnsi="Arial" w:cs="Arial"/>
                              <w:b/>
                              <w:bCs/>
                              <w:color w:val="000000"/>
                              <w:sz w:val="15"/>
                              <w:szCs w:val="15"/>
                            </w:rPr>
                            <w:t xml:space="preserve"> </w:t>
                          </w:r>
                          <w:proofErr w:type="spellStart"/>
                          <w:r w:rsidRPr="00BD1094">
                            <w:rPr>
                              <w:rFonts w:ascii="Arial" w:hAnsi="Arial" w:cs="Arial"/>
                              <w:b/>
                              <w:bCs/>
                              <w:color w:val="000000"/>
                              <w:sz w:val="15"/>
                              <w:szCs w:val="15"/>
                            </w:rPr>
                            <w:t>dans</w:t>
                          </w:r>
                          <w:proofErr w:type="spellEnd"/>
                          <w:r w:rsidRPr="00BD1094">
                            <w:rPr>
                              <w:rFonts w:ascii="Arial" w:hAnsi="Arial" w:cs="Arial"/>
                              <w:b/>
                              <w:bCs/>
                              <w:color w:val="000000"/>
                              <w:sz w:val="15"/>
                              <w:szCs w:val="15"/>
                            </w:rPr>
                            <w:t xml:space="preserve"> les </w:t>
                          </w:r>
                          <w:proofErr w:type="spellStart"/>
                          <w:r w:rsidRPr="00BD1094">
                            <w:rPr>
                              <w:rFonts w:ascii="Arial" w:hAnsi="Arial" w:cs="Arial"/>
                              <w:b/>
                              <w:bCs/>
                              <w:color w:val="000000"/>
                              <w:sz w:val="15"/>
                              <w:szCs w:val="15"/>
                            </w:rPr>
                            <w:t>télécommunications</w:t>
                          </w:r>
                          <w:proofErr w:type="spellEnd"/>
                          <w:r w:rsidRPr="00BD1094">
                            <w:rPr>
                              <w:rFonts w:ascii="Arial" w:hAnsi="Arial" w:cs="Arial"/>
                              <w:b/>
                              <w:bCs/>
                              <w:color w:val="000000"/>
                              <w:sz w:val="15"/>
                              <w:szCs w:val="15"/>
                            </w:rPr>
                            <w:t>, 2008</w:t>
                          </w:r>
                        </w:p>
                      </w:txbxContent>
                    </v:textbox>
                  </v:rect>
                  <v:shape id="_x0000_s1254" style="position:absolute;left:1906;top:1807;width:1528;height:1254" coordsize="105,86" path="m,83hdc7,85,13,86,20,86v47,,85,-38,85,-85c105,1,104,1,104,hal20,1,,83hdxe" fillcolor="green" strokeweight="42e-5mm">
                    <v:path arrowok="t"/>
                  </v:shape>
                  <w10:wrap type="none"/>
                  <w10:anchorlock/>
                </v:group>
              </w:pict>
            </w:r>
          </w:p>
          <w:p w:rsidR="007C329B" w:rsidRPr="00B31121" w:rsidRDefault="007C329B" w:rsidP="00E76CE8">
            <w:pPr>
              <w:pStyle w:val="FigureSource"/>
              <w:spacing w:after="120"/>
              <w:rPr>
                <w:rFonts w:asciiTheme="majorBidi" w:hAnsiTheme="majorBidi" w:cstheme="majorBidi"/>
                <w:i/>
                <w:iCs/>
                <w:lang w:val="fr-FR"/>
              </w:rPr>
            </w:pPr>
            <w:r w:rsidRPr="00B31121">
              <w:rPr>
                <w:rFonts w:asciiTheme="majorBidi" w:hAnsiTheme="majorBidi" w:cstheme="majorBidi"/>
                <w:i/>
                <w:iCs/>
                <w:lang w:val="fr-FR"/>
              </w:rPr>
              <w:t xml:space="preserve">Source: Base de données de l'UIT sur les indicateurs de télécommunication/TIC dans le monde. </w:t>
            </w:r>
          </w:p>
          <w:p w:rsidR="007C329B" w:rsidRPr="00B56515" w:rsidRDefault="007C329B" w:rsidP="00E76CE8">
            <w:pPr>
              <w:pStyle w:val="FigureSource"/>
              <w:ind w:left="0" w:firstLine="0"/>
              <w:rPr>
                <w:rFonts w:asciiTheme="majorBidi" w:hAnsiTheme="majorBidi" w:cstheme="majorBidi"/>
                <w:lang w:val="fr-FR"/>
              </w:rPr>
            </w:pPr>
            <w:r w:rsidRPr="00B31121">
              <w:rPr>
                <w:rFonts w:asciiTheme="majorBidi" w:hAnsiTheme="majorBidi" w:cstheme="majorBidi"/>
                <w:i/>
                <w:iCs/>
                <w:lang w:val="fr-FR"/>
              </w:rPr>
              <w:t>Note:</w:t>
            </w:r>
            <w:r>
              <w:rPr>
                <w:rFonts w:asciiTheme="majorBidi" w:hAnsiTheme="majorBidi" w:cstheme="majorBidi"/>
                <w:lang w:val="fr-FR"/>
              </w:rPr>
              <w:t xml:space="preserve"> </w:t>
            </w:r>
            <w:r w:rsidRPr="00B56515">
              <w:rPr>
                <w:rFonts w:asciiTheme="majorBidi" w:hAnsiTheme="majorBidi" w:cstheme="majorBidi"/>
                <w:lang w:val="fr-FR"/>
              </w:rPr>
              <w:t xml:space="preserve">L'UIT définit l'investissement dans les </w:t>
            </w:r>
            <w:r w:rsidRPr="00B56515">
              <w:rPr>
                <w:rFonts w:asciiTheme="majorBidi" w:hAnsiTheme="majorBidi" w:cstheme="majorBidi"/>
                <w:szCs w:val="24"/>
                <w:lang w:val="fr-FR"/>
              </w:rPr>
              <w:t>télécommunications</w:t>
            </w:r>
            <w:r w:rsidRPr="00B56515">
              <w:rPr>
                <w:rFonts w:asciiTheme="majorBidi" w:hAnsiTheme="majorBidi" w:cstheme="majorBidi"/>
                <w:lang w:val="fr-FR"/>
              </w:rPr>
              <w:t xml:space="preserve"> comme "... les dépenses consacrées à l'acquisition de biens (y compris de la propriété intellectuelle ou de biens incorporels comme les logiciels) et d'installations. Il comprend les dépenses afférentes aux premières installations et au développement des installations existantes lorsqu'il est prévu de les utiliser pendant une longue période. Veuillez noter que cela englobe les services de </w:t>
            </w:r>
            <w:r w:rsidRPr="00B56515">
              <w:rPr>
                <w:rFonts w:asciiTheme="majorBidi" w:hAnsiTheme="majorBidi" w:cstheme="majorBidi"/>
                <w:szCs w:val="24"/>
                <w:lang w:val="fr-FR"/>
              </w:rPr>
              <w:t>télécommunication mis à la disposition du public et exclut l'investissement dans les logiciels et équipements de télécommunication à usage privé". Il est à noter que certaines autorités nationales des télécommunications, auprès desquelles l'UIT obtient des données, ne sont pas en mesure de recenser et d'inclure les investissements dans les télécommunications réalisés par des entreprises et des investisseurs étrangers qui exploitent des services dans un pays</w:t>
            </w:r>
            <w:r w:rsidRPr="00B56515">
              <w:rPr>
                <w:rFonts w:asciiTheme="majorBidi" w:hAnsiTheme="majorBidi" w:cstheme="majorBidi"/>
                <w:lang w:val="fr-FR"/>
              </w:rPr>
              <w:t xml:space="preserve">. </w:t>
            </w:r>
          </w:p>
        </w:tc>
      </w:tr>
    </w:tbl>
    <w:p w:rsidR="000131D2" w:rsidRPr="000131D2" w:rsidRDefault="00C82AF3" w:rsidP="000131D2">
      <w:pPr>
        <w:pStyle w:val="Heading2"/>
        <w:rPr>
          <w:lang w:val="fr-FR"/>
        </w:rPr>
      </w:pPr>
      <w:r w:rsidRPr="000131D2">
        <w:rPr>
          <w:lang w:val="fr-FR"/>
        </w:rPr>
        <w:t>2.2</w:t>
      </w:r>
      <w:r w:rsidRPr="000131D2">
        <w:rPr>
          <w:lang w:val="fr-FR"/>
        </w:rPr>
        <w:tab/>
      </w:r>
      <w:bookmarkEnd w:id="14"/>
      <w:r w:rsidR="000131D2" w:rsidRPr="000131D2">
        <w:rPr>
          <w:lang w:val="fr-FR"/>
        </w:rPr>
        <w:t>Nouveaux produits et services et nouvelles méthodes de travail dans le secteur des télécommunications</w:t>
      </w:r>
    </w:p>
    <w:p w:rsidR="000131D2" w:rsidRPr="000131D2" w:rsidRDefault="000131D2" w:rsidP="000131D2">
      <w:pPr>
        <w:rPr>
          <w:lang w:val="fr-FR"/>
        </w:rPr>
      </w:pPr>
      <w:r w:rsidRPr="000131D2">
        <w:rPr>
          <w:lang w:val="fr-FR"/>
        </w:rPr>
        <w:t>Le secteur des télécommunications a connu une croissance régulière sous l'effet du processus de libéralisation et a subi de profondes mutations en raison de l'essor spectaculaire de l'utilisation de l'Internet, du multimédia et de la téléphonie mobile ainsi que de l'augmentation considérable de l'acheminement de flux de données (commutation en mode paquet) par rapport au trafic téléphonique (commutation de circuits). Le secteur s'oriente désormais vers l'utilisation de réseaux à fibres optiques et d'une plus grande largeur de bande pour répondre aux besoins du trafic multimédia. Les opérateurs se livrent une concurrence toujours plus âpre dans le contexte de la dérégulation, par le biais du dégroupage de la boucle locale, et doivent utiliser différentes technologies provenant de dispositifs de nombreux fournisseurs afin de fournir des services à un nombre de clients toujours croissant.</w:t>
      </w:r>
    </w:p>
    <w:p w:rsidR="000131D2" w:rsidRPr="000131D2" w:rsidRDefault="000131D2" w:rsidP="000131D2">
      <w:pPr>
        <w:rPr>
          <w:rFonts w:asciiTheme="majorBidi" w:hAnsiTheme="majorBidi" w:cstheme="majorBidi"/>
          <w:lang w:val="fr-FR"/>
        </w:rPr>
      </w:pPr>
      <w:r w:rsidRPr="000131D2">
        <w:rPr>
          <w:rFonts w:asciiTheme="majorBidi" w:hAnsiTheme="majorBidi" w:cstheme="majorBidi"/>
          <w:lang w:val="fr-FR"/>
        </w:rPr>
        <w:t xml:space="preserve">Cette expansion a été particulièrement impressionnante dans le secteur de la téléphonie mobile. Les réseaux mobiles permettent d'assurer une couverture importante de la population à un coût relativement modique pour l'utilisateur. Les technologies GSM (Système mondial de communications mobiles) et les autres techniques hertziennes se sont rapidement généralisées ces dernières années et, de plus en plus, des données à haut débit sont transmises à la quasi-totalité de la population par l'intermédiaire de services tels que le GPRS (service général de radiocommunication en mode paquet), le système I-Mode, les UMTS (système de télécommunications mobiles universelles) et l'AMRC large bande (Accès multiple par répartition en code large bande), dans la perspective des technologies de troisième génération (3G). Toutes ces avancées ont grandement favorisé l'essor phénoménal du trafic et contribué à la création de nouveaux services et de nouveaux flux de recettes. A titre d'exemple, il est désormais possible d'utiliser les technologies du système GPS (Système mondial de positionnement) des téléphones mobiles pour avoir accès à des services de </w:t>
      </w:r>
      <w:proofErr w:type="spellStart"/>
      <w:r w:rsidRPr="000131D2">
        <w:rPr>
          <w:rFonts w:asciiTheme="majorBidi" w:hAnsiTheme="majorBidi" w:cstheme="majorBidi"/>
          <w:lang w:val="fr-FR"/>
        </w:rPr>
        <w:t>géolocalisation</w:t>
      </w:r>
      <w:proofErr w:type="spellEnd"/>
      <w:r w:rsidRPr="000131D2">
        <w:rPr>
          <w:rFonts w:asciiTheme="majorBidi" w:hAnsiTheme="majorBidi" w:cstheme="majorBidi"/>
          <w:lang w:val="fr-FR"/>
        </w:rPr>
        <w:t xml:space="preserve"> (cartes, informations sur le trafic et sur les loisirs ou les achats) ou de recevoir des messages publicitaires ou des renseignements sur un emplacement.</w:t>
      </w:r>
    </w:p>
    <w:p w:rsidR="000131D2" w:rsidRPr="000131D2" w:rsidRDefault="00CF221F" w:rsidP="001B0D78">
      <w:pPr>
        <w:tabs>
          <w:tab w:val="clear" w:pos="794"/>
          <w:tab w:val="clear" w:pos="1191"/>
          <w:tab w:val="clear" w:pos="1588"/>
          <w:tab w:val="clear" w:pos="1985"/>
        </w:tabs>
        <w:overflowPunct/>
        <w:autoSpaceDE/>
        <w:autoSpaceDN/>
        <w:adjustRightInd/>
        <w:spacing w:before="0"/>
        <w:textAlignment w:val="auto"/>
        <w:rPr>
          <w:szCs w:val="24"/>
          <w:lang w:val="fr-FR"/>
        </w:rPr>
      </w:pPr>
      <w:r>
        <w:rPr>
          <w:szCs w:val="24"/>
          <w:lang w:val="fr-FR"/>
        </w:rPr>
        <w:br w:type="page"/>
      </w:r>
      <w:r w:rsidR="000131D2" w:rsidRPr="000131D2">
        <w:rPr>
          <w:szCs w:val="24"/>
          <w:lang w:val="fr-FR"/>
        </w:rPr>
        <w:lastRenderedPageBreak/>
        <w:t xml:space="preserve">L'évolution rapide d'un environnement placé sous le signe de la concurrence, alliée à l'essor des technologies nouvelles, ont également entraîné une modernisation de l'organisation du travail. Les nouvelles technologies, la concurrence à l'échelle mondiale et l'accroissement du débit et du volume des informations donnent naissance à des relations et à une organisation du travail souples et adaptables. Le télétravail constitue un mode d'organisation du travail dont l'utilisation croissante montre clairement que l'on s'oriente vers davantage de flexibilité et de mobilité sur le lieu de travail. Certains travaillent à domicile, tandis que d'autres ont recours occasionnellement aux techniques de télécommunication mobiles pour travailler depuis des cafétérias ou d'autres lieux. Aux </w:t>
      </w:r>
      <w:proofErr w:type="spellStart"/>
      <w:r w:rsidR="000131D2" w:rsidRPr="000131D2">
        <w:rPr>
          <w:szCs w:val="24"/>
          <w:lang w:val="fr-FR"/>
        </w:rPr>
        <w:t>Etats</w:t>
      </w:r>
      <w:r w:rsidR="000131D2" w:rsidRPr="000131D2">
        <w:rPr>
          <w:szCs w:val="24"/>
          <w:lang w:val="fr-FR"/>
        </w:rPr>
        <w:noBreakHyphen/>
        <w:t>Unis</w:t>
      </w:r>
      <w:proofErr w:type="spellEnd"/>
      <w:r w:rsidR="000131D2" w:rsidRPr="000131D2">
        <w:rPr>
          <w:szCs w:val="24"/>
          <w:lang w:val="fr-FR"/>
        </w:rPr>
        <w:t>, en avril 2007, 12 millions d'employés travaillaient à domicile</w:t>
      </w:r>
      <w:r w:rsidR="000131D2" w:rsidRPr="00D25BFD">
        <w:rPr>
          <w:vertAlign w:val="superscript"/>
        </w:rPr>
        <w:footnoteReference w:id="2"/>
      </w:r>
      <w:r w:rsidR="000131D2" w:rsidRPr="000131D2">
        <w:rPr>
          <w:szCs w:val="24"/>
          <w:lang w:val="fr-FR"/>
        </w:rPr>
        <w:t>. Le télétravail est facilité par des outils tels qu</w:t>
      </w:r>
      <w:r w:rsidR="000131D2" w:rsidRPr="000E4043">
        <w:rPr>
          <w:szCs w:val="22"/>
          <w:lang w:val="fr-FR"/>
        </w:rPr>
        <w:t xml:space="preserve">e les </w:t>
      </w:r>
      <w:hyperlink r:id="rId17" w:history="1">
        <w:r w:rsidR="000131D2" w:rsidRPr="000E4043">
          <w:rPr>
            <w:rStyle w:val="Hyperlink"/>
            <w:rFonts w:asciiTheme="majorBidi" w:hAnsiTheme="majorBidi" w:cstheme="majorBidi"/>
            <w:szCs w:val="22"/>
            <w:lang w:val="fr-FR"/>
          </w:rPr>
          <w:t>réseaux virtuels privés</w:t>
        </w:r>
      </w:hyperlink>
      <w:r w:rsidR="000131D2" w:rsidRPr="000E4043">
        <w:rPr>
          <w:szCs w:val="22"/>
          <w:lang w:val="fr-FR"/>
        </w:rPr>
        <w:t xml:space="preserve">, la </w:t>
      </w:r>
      <w:hyperlink r:id="rId18" w:history="1">
        <w:r w:rsidR="000131D2" w:rsidRPr="000E4043">
          <w:rPr>
            <w:rStyle w:val="Hyperlink"/>
            <w:rFonts w:asciiTheme="majorBidi" w:hAnsiTheme="majorBidi" w:cstheme="majorBidi"/>
            <w:szCs w:val="22"/>
            <w:lang w:val="fr-FR"/>
          </w:rPr>
          <w:t>visioconférence</w:t>
        </w:r>
      </w:hyperlink>
      <w:r w:rsidR="000131D2" w:rsidRPr="000E4043">
        <w:rPr>
          <w:szCs w:val="22"/>
          <w:lang w:val="fr-FR"/>
        </w:rPr>
        <w:t xml:space="preserve"> et la </w:t>
      </w:r>
      <w:hyperlink r:id="rId19" w:history="1">
        <w:r w:rsidR="000131D2" w:rsidRPr="000E4043">
          <w:rPr>
            <w:rStyle w:val="Hyperlink"/>
            <w:rFonts w:asciiTheme="majorBidi" w:hAnsiTheme="majorBidi" w:cstheme="majorBidi"/>
            <w:szCs w:val="22"/>
            <w:lang w:val="fr-FR"/>
          </w:rPr>
          <w:t>voix sur IP</w:t>
        </w:r>
      </w:hyperlink>
      <w:r w:rsidR="000131D2" w:rsidRPr="000E4043">
        <w:rPr>
          <w:szCs w:val="22"/>
          <w:lang w:val="fr-FR"/>
        </w:rPr>
        <w:t>. Ce mode d'organisation</w:t>
      </w:r>
      <w:r w:rsidR="000131D2" w:rsidRPr="000131D2">
        <w:rPr>
          <w:szCs w:val="24"/>
          <w:lang w:val="fr-FR"/>
        </w:rPr>
        <w:t xml:space="preserve"> du travail peut également être efficace et utile aux entreprises, dans la mesure où il permet aux employés de communiquer sur de grandes distances, d'où des économies importantes en termes de déplacements et de coûts. Plus les </w:t>
      </w:r>
      <w:r w:rsidR="000131D2" w:rsidRPr="000E4043">
        <w:rPr>
          <w:szCs w:val="22"/>
          <w:lang w:val="fr-FR"/>
        </w:rPr>
        <w:t>connexions à l'</w:t>
      </w:r>
      <w:hyperlink r:id="rId20" w:history="1">
        <w:r w:rsidR="000131D2" w:rsidRPr="000E4043">
          <w:rPr>
            <w:rStyle w:val="Hyperlink"/>
            <w:rFonts w:asciiTheme="majorBidi" w:hAnsiTheme="majorBidi" w:cstheme="majorBidi"/>
            <w:szCs w:val="22"/>
            <w:lang w:val="fr-FR"/>
          </w:rPr>
          <w:t>Internet large bande</w:t>
        </w:r>
      </w:hyperlink>
      <w:r w:rsidR="000131D2" w:rsidRPr="000131D2">
        <w:rPr>
          <w:szCs w:val="24"/>
          <w:lang w:val="fr-FR"/>
        </w:rPr>
        <w:t xml:space="preserve"> se généralisent, plus les employés disposent d'une largeur de bande suffisante chez eux pour utiliser ces outils afin de connecter leur bureau au réseau Intranet et aux réseaux téléphoniques internes de l'entreprise. Le télétravail est d'autant plus important pour les entreprises des télécommunications que les produits et les services constituent pour </w:t>
      </w:r>
      <w:proofErr w:type="spellStart"/>
      <w:r w:rsidR="000131D2" w:rsidRPr="000131D2">
        <w:rPr>
          <w:szCs w:val="24"/>
          <w:lang w:val="fr-FR"/>
        </w:rPr>
        <w:t>celles</w:t>
      </w:r>
      <w:r w:rsidR="000131D2" w:rsidRPr="000131D2">
        <w:rPr>
          <w:szCs w:val="24"/>
          <w:lang w:val="fr-FR"/>
        </w:rPr>
        <w:noBreakHyphen/>
        <w:t>ci</w:t>
      </w:r>
      <w:proofErr w:type="spellEnd"/>
      <w:r w:rsidR="000131D2" w:rsidRPr="000131D2">
        <w:rPr>
          <w:szCs w:val="24"/>
          <w:lang w:val="fr-FR"/>
        </w:rPr>
        <w:t xml:space="preserve"> un domaine d'application important.</w:t>
      </w:r>
    </w:p>
    <w:p w:rsidR="000131D2" w:rsidRPr="000131D2" w:rsidRDefault="000131D2" w:rsidP="000131D2">
      <w:pPr>
        <w:pStyle w:val="Heading1"/>
        <w:rPr>
          <w:lang w:val="fr-FR"/>
        </w:rPr>
      </w:pPr>
      <w:bookmarkStart w:id="15" w:name="_Toc219785632"/>
      <w:r w:rsidRPr="000131D2">
        <w:rPr>
          <w:lang w:val="fr-FR"/>
        </w:rPr>
        <w:t>3</w:t>
      </w:r>
      <w:r w:rsidRPr="000131D2">
        <w:rPr>
          <w:lang w:val="fr-FR"/>
        </w:rPr>
        <w:tab/>
        <w:t xml:space="preserve">Analyse qualitative et quantitative de l'incidence du développement des </w:t>
      </w:r>
      <w:r w:rsidRPr="000131D2">
        <w:rPr>
          <w:szCs w:val="24"/>
          <w:lang w:val="fr-FR"/>
        </w:rPr>
        <w:t>télécommunications</w:t>
      </w:r>
      <w:r w:rsidRPr="000131D2">
        <w:rPr>
          <w:lang w:val="fr-FR"/>
        </w:rPr>
        <w:t xml:space="preserve"> sur l'emploi</w:t>
      </w:r>
      <w:bookmarkEnd w:id="15"/>
      <w:r w:rsidRPr="000131D2">
        <w:rPr>
          <w:lang w:val="fr-FR"/>
        </w:rPr>
        <w:t xml:space="preserve"> dans le secteur des télécommunications</w:t>
      </w:r>
    </w:p>
    <w:p w:rsidR="000131D2" w:rsidRPr="000131D2" w:rsidRDefault="000131D2" w:rsidP="000131D2">
      <w:pPr>
        <w:rPr>
          <w:lang w:val="fr-FR" w:eastAsia="fr-FR"/>
        </w:rPr>
      </w:pPr>
      <w:r w:rsidRPr="000131D2">
        <w:rPr>
          <w:lang w:val="fr-FR" w:eastAsia="fr-FR"/>
        </w:rPr>
        <w:t xml:space="preserve">La privatisation et la déréglementation ont été synonymes de profondes transformations de l'environnement de l'entreprise. Ces réformes ont facilité l'intégration des progrès technologiques rapides intervenus sur le marché mondial et le développement de nouvelles capacités, ce qui s'est traduit par une augmentation considérable de la productivité. </w:t>
      </w:r>
    </w:p>
    <w:p w:rsidR="000131D2" w:rsidRPr="000131D2" w:rsidRDefault="000131D2" w:rsidP="000131D2">
      <w:pPr>
        <w:rPr>
          <w:lang w:val="fr-FR" w:eastAsia="fr-FR"/>
        </w:rPr>
      </w:pPr>
      <w:r w:rsidRPr="000131D2">
        <w:rPr>
          <w:lang w:val="fr-FR" w:eastAsia="fr-FR"/>
        </w:rPr>
        <w:t>Par ailleurs, dans la plupart des cas, elles ont été source d'importants profits économiques si l'on considère leur part dans le PIB, les recettes publiques qu'elles ont générées par le biais de diverses taxes et l'emploi qu'elles ont permis de créer.</w:t>
      </w:r>
    </w:p>
    <w:p w:rsidR="000131D2" w:rsidRPr="000131D2" w:rsidRDefault="000131D2" w:rsidP="000131D2">
      <w:pPr>
        <w:pStyle w:val="Heading2"/>
        <w:rPr>
          <w:lang w:val="fr-FR"/>
        </w:rPr>
      </w:pPr>
      <w:bookmarkStart w:id="16" w:name="_Toc219785634"/>
      <w:r w:rsidRPr="000131D2">
        <w:rPr>
          <w:lang w:val="fr-FR"/>
        </w:rPr>
        <w:t>3.1</w:t>
      </w:r>
      <w:r w:rsidRPr="000131D2">
        <w:rPr>
          <w:lang w:val="fr-FR"/>
        </w:rPr>
        <w:tab/>
        <w:t>Incidences sur les entreprises de téléphonie fixe</w:t>
      </w:r>
      <w:bookmarkEnd w:id="16"/>
    </w:p>
    <w:p w:rsidR="00C82AF3" w:rsidRDefault="000131D2" w:rsidP="000131D2">
      <w:pPr>
        <w:rPr>
          <w:lang w:val="fr-FR"/>
        </w:rPr>
      </w:pPr>
      <w:r w:rsidRPr="000131D2">
        <w:rPr>
          <w:lang w:val="fr-FR"/>
        </w:rPr>
        <w:t>En règle générale, le nombre d'employés des principaux opérateurs traditionnels sur les marchés matures (tel est le cas dans la plupart des pays développés) a diminué et continue sur cette voie. Chez Deutsche Telekom, par exemple, le nombre d'employés est tombé de 233 000 en 1993 à 167 000 en 2000 en raison de départs à la retraite anticipée et de plans de licenciement (l'ensemble des effectifs du groupe s'élevait toutefois à environ 227 000 en 2000 grâce à la croissance sur le marché mondial de l'entreprise). Chez British Telecom, le nombre d'employés est tombé de 241 124 au moment de la privatisation en 1984 à 136 800 en 1999. Chez NTT, ce chiffre est passé de 313 600 en 1985 au moment de la privatisation à 122 400 en 2000, réduction qui s'est accompagnée du regroupement de filiales, d'une externalisation et d'une restructuration.</w:t>
      </w:r>
    </w:p>
    <w:p w:rsidR="002B5FC2" w:rsidRPr="000131D2" w:rsidRDefault="002B5FC2" w:rsidP="000131D2">
      <w:pPr>
        <w:rPr>
          <w:lang w:val="fr-FR"/>
        </w:rPr>
      </w:pPr>
    </w:p>
    <w:p w:rsidR="000C416C" w:rsidRPr="002B5FC2" w:rsidRDefault="000C416C" w:rsidP="00B31121">
      <w:pPr>
        <w:pStyle w:val="FigureTitle"/>
        <w:rPr>
          <w:lang w:val="fr-FR"/>
        </w:rPr>
      </w:pPr>
      <w:r w:rsidRPr="002B5FC2">
        <w:rPr>
          <w:lang w:val="fr-FR" w:eastAsia="fr-FR"/>
        </w:rPr>
        <w:lastRenderedPageBreak/>
        <w:t>Figure 3</w:t>
      </w:r>
      <w:r w:rsidRPr="00C11116">
        <w:rPr>
          <w:b w:val="0"/>
          <w:vertAlign w:val="superscript"/>
        </w:rPr>
        <w:footnoteReference w:id="3"/>
      </w:r>
      <w:r w:rsidRPr="002B5FC2">
        <w:rPr>
          <w:lang w:val="fr-FR" w:eastAsia="fr-FR"/>
        </w:rPr>
        <w:t xml:space="preserve">: </w:t>
      </w:r>
      <w:r w:rsidR="002B5FC2" w:rsidRPr="002B5FC2">
        <w:rPr>
          <w:lang w:val="fr-FR" w:eastAsia="fr-FR"/>
        </w:rPr>
        <w:t>Tendances de l'emploi dans les entreprises de télécommunication</w:t>
      </w:r>
      <w:r w:rsidR="002B5FC2" w:rsidRPr="002B5FC2">
        <w:rPr>
          <w:lang w:val="fr-FR"/>
        </w:rPr>
        <w:t xml:space="preserve"> britanniques, néerlandaises, françaises, allemandes et japonaises, 1990-2000</w:t>
      </w:r>
    </w:p>
    <w:p w:rsidR="00C11116" w:rsidRPr="00297D79" w:rsidRDefault="00C11116" w:rsidP="00C11116">
      <w:pPr>
        <w:pStyle w:val="TableNotitle"/>
        <w:rPr>
          <w:rFonts w:asciiTheme="majorBidi" w:hAnsiTheme="majorBidi" w:cstheme="majorBidi"/>
          <w:sz w:val="2"/>
          <w:szCs w:val="2"/>
          <w:lang w:val="fr-FR"/>
        </w:rPr>
      </w:pPr>
    </w:p>
    <w:p w:rsidR="00C11116" w:rsidRPr="00B56515" w:rsidRDefault="00330ED2" w:rsidP="00C11116">
      <w:pPr>
        <w:pStyle w:val="TableNotitle"/>
        <w:rPr>
          <w:rFonts w:asciiTheme="majorBidi" w:hAnsiTheme="majorBidi" w:cstheme="majorBidi"/>
          <w:lang w:eastAsia="fr-FR"/>
        </w:rPr>
      </w:pPr>
      <w:r w:rsidRPr="00330ED2">
        <w:rPr>
          <w:rFonts w:asciiTheme="majorBidi" w:hAnsiTheme="majorBidi" w:cstheme="majorBidi"/>
          <w:szCs w:val="24"/>
        </w:rPr>
      </w:r>
      <w:r w:rsidRPr="00330ED2">
        <w:rPr>
          <w:rFonts w:asciiTheme="majorBidi" w:hAnsiTheme="majorBidi" w:cstheme="majorBidi"/>
          <w:szCs w:val="24"/>
        </w:rPr>
        <w:pict>
          <v:group id="_x0000_s1289" editas="canvas" style="width:454.45pt;height:320.95pt;mso-position-horizontal-relative:char;mso-position-vertical-relative:line" coordsize="9089,6419" o:allowincell="f">
            <o:lock v:ext="edit" aspectratio="t"/>
            <v:shape id="_x0000_s1290" type="#_x0000_t75" style="position:absolute;width:9089;height:6419" o:preferrelative="f" o:allowincell="f">
              <v:fill o:detectmouseclick="t"/>
              <v:path o:extrusionok="t" o:connecttype="none"/>
              <o:lock v:ext="edit" text="t"/>
            </v:shape>
            <v:shape id="_x0000_s1291" type="#_x0000_t75" style="position:absolute;width:8396;height:5929" o:allowincell="f">
              <v:imagedata r:id="rId21" o:title=""/>
            </v:shape>
            <v:shapetype id="_x0000_t202" coordsize="21600,21600" o:spt="202" path="m,l,21600r21600,l21600,xe">
              <v:stroke joinstyle="miter"/>
              <v:path gradientshapeok="t" o:connecttype="rect"/>
            </v:shapetype>
            <v:shape id="_x0000_s1292" type="#_x0000_t202" style="position:absolute;left:170;top:1484;width:567;height:2205" o:allowincell="f" stroked="f">
              <v:textbox style="layout-flow:vertical;mso-layout-flow-alt:bottom-to-top;mso-next-textbox:#_x0000_s1292">
                <w:txbxContent>
                  <w:p w:rsidR="001A2A5A" w:rsidRPr="00473F78" w:rsidRDefault="001A2A5A" w:rsidP="00C11116">
                    <w:pPr>
                      <w:spacing w:before="0"/>
                      <w:jc w:val="center"/>
                      <w:rPr>
                        <w:szCs w:val="24"/>
                        <w:lang w:val="fr-CH"/>
                      </w:rPr>
                    </w:pPr>
                    <w:r w:rsidRPr="00473F78">
                      <w:rPr>
                        <w:szCs w:val="24"/>
                        <w:lang w:val="fr-CH"/>
                      </w:rPr>
                      <w:t>Personnel</w:t>
                    </w:r>
                  </w:p>
                </w:txbxContent>
              </v:textbox>
            </v:shape>
            <w10:wrap type="none"/>
            <w10:anchorlock/>
          </v:group>
        </w:pict>
      </w:r>
      <w:r w:rsidR="00C11116" w:rsidRPr="00B56515">
        <w:rPr>
          <w:rFonts w:asciiTheme="majorBidi" w:hAnsiTheme="majorBidi" w:cstheme="majorBidi"/>
          <w:lang w:eastAsia="fr-FR"/>
        </w:rPr>
        <w:t xml:space="preserve"> </w:t>
      </w:r>
    </w:p>
    <w:p w:rsidR="00C82AF3" w:rsidRDefault="00C82AF3" w:rsidP="00630579">
      <w:pPr>
        <w:pStyle w:val="FigureSource"/>
        <w:keepNext w:val="0"/>
      </w:pPr>
    </w:p>
    <w:p w:rsidR="0056654E" w:rsidRDefault="0056654E" w:rsidP="0056654E">
      <w:pPr>
        <w:rPr>
          <w:lang w:val="en-US"/>
        </w:rPr>
      </w:pPr>
    </w:p>
    <w:p w:rsidR="0056654E" w:rsidRDefault="0056654E" w:rsidP="0056654E">
      <w:pPr>
        <w:rPr>
          <w:lang w:val="en-US"/>
        </w:rPr>
      </w:pPr>
    </w:p>
    <w:p w:rsidR="0056654E" w:rsidRDefault="0056654E" w:rsidP="0056654E">
      <w:pPr>
        <w:rPr>
          <w:lang w:val="en-US"/>
        </w:rPr>
      </w:pPr>
    </w:p>
    <w:p w:rsidR="0056654E" w:rsidRDefault="0056654E" w:rsidP="0056654E">
      <w:pPr>
        <w:rPr>
          <w:lang w:val="en-US"/>
        </w:rPr>
      </w:pPr>
    </w:p>
    <w:p w:rsidR="0056654E" w:rsidRDefault="0056654E" w:rsidP="0056654E">
      <w:pPr>
        <w:rPr>
          <w:lang w:val="en-US"/>
        </w:rPr>
      </w:pPr>
    </w:p>
    <w:p w:rsidR="0056654E" w:rsidRDefault="0056654E" w:rsidP="0056654E">
      <w:pPr>
        <w:rPr>
          <w:lang w:val="en-US"/>
        </w:rPr>
      </w:pPr>
    </w:p>
    <w:p w:rsidR="0056654E" w:rsidRDefault="0056654E" w:rsidP="0056654E">
      <w:pPr>
        <w:rPr>
          <w:lang w:val="en-US"/>
        </w:rPr>
      </w:pPr>
    </w:p>
    <w:p w:rsidR="00C82AF3" w:rsidRPr="006A2316" w:rsidRDefault="00330ED2" w:rsidP="000C416C">
      <w:pPr>
        <w:pStyle w:val="FigureTitle"/>
      </w:pPr>
      <w:r>
        <w:rPr>
          <w:noProof/>
        </w:rPr>
        <w:lastRenderedPageBreak/>
        <w:pict>
          <v:shape id="_x0000_s1294" type="#_x0000_t202" style="position:absolute;left:0;text-align:left;margin-left:6.3pt;margin-top:16.1pt;width:131.25pt;height:259.5pt;z-index:251659264" stroked="f">
            <v:textbox>
              <w:txbxContent>
                <w:p w:rsidR="001A2A5A" w:rsidRPr="00733E6B" w:rsidRDefault="001A2A5A" w:rsidP="005D17E8">
                  <w:pPr>
                    <w:spacing w:before="80" w:after="100"/>
                    <w:jc w:val="right"/>
                    <w:rPr>
                      <w:sz w:val="18"/>
                      <w:szCs w:val="18"/>
                      <w:lang w:val="fr-FR"/>
                    </w:rPr>
                  </w:pPr>
                  <w:proofErr w:type="spellStart"/>
                  <w:r w:rsidRPr="00733E6B">
                    <w:rPr>
                      <w:sz w:val="18"/>
                      <w:szCs w:val="18"/>
                      <w:lang w:val="fr-FR"/>
                    </w:rPr>
                    <w:t>Telstra</w:t>
                  </w:r>
                  <w:proofErr w:type="spellEnd"/>
                  <w:r w:rsidRPr="00733E6B">
                    <w:rPr>
                      <w:sz w:val="18"/>
                      <w:szCs w:val="18"/>
                      <w:lang w:val="fr-FR"/>
                    </w:rPr>
                    <w:t xml:space="preserve"> (Australie)</w:t>
                  </w:r>
                </w:p>
                <w:p w:rsidR="001A2A5A" w:rsidRDefault="001A2A5A" w:rsidP="005D17E8">
                  <w:pPr>
                    <w:spacing w:before="80" w:after="100"/>
                    <w:jc w:val="right"/>
                    <w:rPr>
                      <w:sz w:val="18"/>
                      <w:szCs w:val="18"/>
                      <w:lang w:val="fr-FR"/>
                    </w:rPr>
                  </w:pPr>
                  <w:r w:rsidRPr="00733E6B">
                    <w:rPr>
                      <w:sz w:val="18"/>
                      <w:szCs w:val="18"/>
                      <w:lang w:val="fr-FR"/>
                    </w:rPr>
                    <w:t>SPT (République tchèque)</w:t>
                  </w:r>
                </w:p>
                <w:p w:rsidR="001A2A5A" w:rsidRDefault="001A2A5A" w:rsidP="004861CE">
                  <w:pPr>
                    <w:spacing w:before="80" w:after="100"/>
                    <w:jc w:val="right"/>
                    <w:rPr>
                      <w:sz w:val="18"/>
                      <w:szCs w:val="18"/>
                      <w:lang w:val="fr-FR"/>
                    </w:rPr>
                  </w:pPr>
                  <w:r>
                    <w:rPr>
                      <w:sz w:val="18"/>
                      <w:szCs w:val="18"/>
                      <w:lang w:val="fr-FR"/>
                    </w:rPr>
                    <w:t>France Telecom (France)</w:t>
                  </w:r>
                </w:p>
                <w:p w:rsidR="001A2A5A" w:rsidRDefault="001A2A5A" w:rsidP="005D17E8">
                  <w:pPr>
                    <w:spacing w:before="80" w:after="100"/>
                    <w:jc w:val="right"/>
                    <w:rPr>
                      <w:sz w:val="18"/>
                      <w:szCs w:val="18"/>
                      <w:lang w:val="fr-FR"/>
                    </w:rPr>
                  </w:pPr>
                  <w:r>
                    <w:rPr>
                      <w:sz w:val="18"/>
                      <w:szCs w:val="18"/>
                      <w:lang w:val="fr-FR"/>
                    </w:rPr>
                    <w:t>Deutsche Telekom (Allemagne)</w:t>
                  </w:r>
                </w:p>
                <w:p w:rsidR="001A2A5A" w:rsidRDefault="001A2A5A" w:rsidP="005D17E8">
                  <w:pPr>
                    <w:spacing w:before="100" w:after="100"/>
                    <w:jc w:val="right"/>
                    <w:rPr>
                      <w:sz w:val="18"/>
                      <w:szCs w:val="18"/>
                      <w:lang w:val="fr-FR"/>
                    </w:rPr>
                  </w:pPr>
                  <w:r>
                    <w:rPr>
                      <w:sz w:val="18"/>
                      <w:szCs w:val="18"/>
                      <w:lang w:val="fr-FR"/>
                    </w:rPr>
                    <w:t>OTE (Grèce)</w:t>
                  </w:r>
                </w:p>
                <w:p w:rsidR="001A2A5A" w:rsidRPr="00E76CE8" w:rsidRDefault="001A2A5A" w:rsidP="005D17E8">
                  <w:pPr>
                    <w:spacing w:before="100" w:after="100"/>
                    <w:jc w:val="right"/>
                    <w:rPr>
                      <w:sz w:val="18"/>
                      <w:szCs w:val="18"/>
                      <w:lang w:val="fr-FR"/>
                    </w:rPr>
                  </w:pPr>
                  <w:proofErr w:type="spellStart"/>
                  <w:r w:rsidRPr="00E76CE8">
                    <w:rPr>
                      <w:sz w:val="18"/>
                      <w:szCs w:val="18"/>
                      <w:lang w:val="fr-FR"/>
                    </w:rPr>
                    <w:t>Matav</w:t>
                  </w:r>
                  <w:proofErr w:type="spellEnd"/>
                  <w:r w:rsidRPr="00E76CE8">
                    <w:rPr>
                      <w:sz w:val="18"/>
                      <w:szCs w:val="18"/>
                      <w:lang w:val="fr-FR"/>
                    </w:rPr>
                    <w:t xml:space="preserve"> (Hongrie)</w:t>
                  </w:r>
                </w:p>
                <w:p w:rsidR="001A2A5A" w:rsidRPr="00E76CE8" w:rsidRDefault="001A2A5A" w:rsidP="005D17E8">
                  <w:pPr>
                    <w:spacing w:before="100" w:after="100"/>
                    <w:jc w:val="right"/>
                    <w:rPr>
                      <w:sz w:val="18"/>
                      <w:szCs w:val="18"/>
                      <w:lang w:val="fr-FR"/>
                    </w:rPr>
                  </w:pPr>
                  <w:proofErr w:type="spellStart"/>
                  <w:r w:rsidRPr="00E76CE8">
                    <w:rPr>
                      <w:sz w:val="18"/>
                      <w:szCs w:val="18"/>
                      <w:lang w:val="fr-FR"/>
                    </w:rPr>
                    <w:t>Eircom</w:t>
                  </w:r>
                  <w:proofErr w:type="spellEnd"/>
                  <w:r w:rsidRPr="00E76CE8">
                    <w:rPr>
                      <w:sz w:val="18"/>
                      <w:szCs w:val="18"/>
                      <w:lang w:val="fr-FR"/>
                    </w:rPr>
                    <w:t xml:space="preserve"> (Irlande)</w:t>
                  </w:r>
                </w:p>
                <w:p w:rsidR="001A2A5A" w:rsidRPr="00E76CE8" w:rsidRDefault="001A2A5A" w:rsidP="005D17E8">
                  <w:pPr>
                    <w:spacing w:before="100" w:after="100"/>
                    <w:jc w:val="right"/>
                    <w:rPr>
                      <w:sz w:val="18"/>
                      <w:szCs w:val="18"/>
                      <w:lang w:val="fr-FR"/>
                    </w:rPr>
                  </w:pPr>
                  <w:r w:rsidRPr="00E76CE8">
                    <w:rPr>
                      <w:sz w:val="18"/>
                      <w:szCs w:val="18"/>
                      <w:lang w:val="fr-FR"/>
                    </w:rPr>
                    <w:t xml:space="preserve">Telecom </w:t>
                  </w:r>
                  <w:proofErr w:type="spellStart"/>
                  <w:r w:rsidRPr="00E76CE8">
                    <w:rPr>
                      <w:sz w:val="18"/>
                      <w:szCs w:val="18"/>
                      <w:lang w:val="fr-FR"/>
                    </w:rPr>
                    <w:t>Italia</w:t>
                  </w:r>
                  <w:proofErr w:type="spellEnd"/>
                  <w:r>
                    <w:rPr>
                      <w:sz w:val="18"/>
                      <w:szCs w:val="18"/>
                      <w:lang w:val="fr-FR"/>
                    </w:rPr>
                    <w:t xml:space="preserve"> SPA</w:t>
                  </w:r>
                  <w:r w:rsidRPr="00E76CE8">
                    <w:rPr>
                      <w:sz w:val="18"/>
                      <w:szCs w:val="18"/>
                      <w:lang w:val="fr-FR"/>
                    </w:rPr>
                    <w:t xml:space="preserve"> (Italie)</w:t>
                  </w:r>
                </w:p>
                <w:p w:rsidR="001A2A5A" w:rsidRPr="00F73AC2" w:rsidRDefault="001A2A5A" w:rsidP="005D17E8">
                  <w:pPr>
                    <w:spacing w:after="120"/>
                    <w:jc w:val="right"/>
                    <w:rPr>
                      <w:sz w:val="18"/>
                      <w:szCs w:val="18"/>
                      <w:lang w:val="fr-FR"/>
                    </w:rPr>
                  </w:pPr>
                  <w:r w:rsidRPr="00F73AC2">
                    <w:rPr>
                      <w:sz w:val="18"/>
                      <w:szCs w:val="18"/>
                      <w:lang w:val="fr-FR"/>
                    </w:rPr>
                    <w:t>NTT (Japon)</w:t>
                  </w:r>
                </w:p>
                <w:p w:rsidR="001A2A5A" w:rsidRPr="00F73AC2" w:rsidRDefault="001A2A5A" w:rsidP="005D17E8">
                  <w:pPr>
                    <w:spacing w:after="120"/>
                    <w:jc w:val="right"/>
                    <w:rPr>
                      <w:sz w:val="18"/>
                      <w:szCs w:val="18"/>
                      <w:lang w:val="fr-FR"/>
                    </w:rPr>
                  </w:pPr>
                  <w:r w:rsidRPr="00F73AC2">
                    <w:rPr>
                      <w:sz w:val="18"/>
                      <w:szCs w:val="18"/>
                      <w:lang w:val="fr-FR"/>
                    </w:rPr>
                    <w:t>KPN/PTT Telecom (Pays-Bas)</w:t>
                  </w:r>
                </w:p>
                <w:p w:rsidR="001A2A5A" w:rsidRPr="00BB4CED" w:rsidRDefault="001A2A5A" w:rsidP="005D17E8">
                  <w:pPr>
                    <w:spacing w:after="120"/>
                    <w:jc w:val="right"/>
                    <w:rPr>
                      <w:sz w:val="18"/>
                      <w:szCs w:val="18"/>
                      <w:lang w:val="es-ES"/>
                    </w:rPr>
                  </w:pPr>
                  <w:proofErr w:type="spellStart"/>
                  <w:r w:rsidRPr="00BB4CED">
                    <w:rPr>
                      <w:sz w:val="18"/>
                      <w:szCs w:val="18"/>
                      <w:lang w:val="es-ES"/>
                    </w:rPr>
                    <w:t>Rom</w:t>
                  </w:r>
                  <w:proofErr w:type="spellEnd"/>
                  <w:r w:rsidRPr="00BB4CED">
                    <w:rPr>
                      <w:sz w:val="18"/>
                      <w:szCs w:val="18"/>
                      <w:lang w:val="es-ES"/>
                    </w:rPr>
                    <w:t xml:space="preserve"> Telecom (</w:t>
                  </w:r>
                  <w:proofErr w:type="spellStart"/>
                  <w:r w:rsidRPr="00BB4CED">
                    <w:rPr>
                      <w:sz w:val="18"/>
                      <w:szCs w:val="18"/>
                      <w:lang w:val="es-ES"/>
                    </w:rPr>
                    <w:t>Roumanie</w:t>
                  </w:r>
                  <w:proofErr w:type="spellEnd"/>
                  <w:r w:rsidRPr="00BB4CED">
                    <w:rPr>
                      <w:sz w:val="18"/>
                      <w:szCs w:val="18"/>
                      <w:lang w:val="es-ES"/>
                    </w:rPr>
                    <w:t>)</w:t>
                  </w:r>
                </w:p>
                <w:p w:rsidR="001A2A5A" w:rsidRPr="00BB4CED" w:rsidRDefault="001A2A5A" w:rsidP="004861CE">
                  <w:pPr>
                    <w:spacing w:after="120"/>
                    <w:jc w:val="right"/>
                    <w:rPr>
                      <w:sz w:val="18"/>
                      <w:szCs w:val="18"/>
                      <w:lang w:val="es-ES"/>
                    </w:rPr>
                  </w:pPr>
                  <w:r w:rsidRPr="00BB4CED">
                    <w:rPr>
                      <w:sz w:val="18"/>
                      <w:szCs w:val="18"/>
                      <w:lang w:val="es-ES"/>
                    </w:rPr>
                    <w:t>Telef</w:t>
                  </w:r>
                  <w:r>
                    <w:rPr>
                      <w:sz w:val="18"/>
                      <w:szCs w:val="18"/>
                      <w:lang w:val="es-ES"/>
                    </w:rPr>
                    <w:t>ó</w:t>
                  </w:r>
                  <w:r w:rsidRPr="00BB4CED">
                    <w:rPr>
                      <w:sz w:val="18"/>
                      <w:szCs w:val="18"/>
                      <w:lang w:val="es-ES"/>
                    </w:rPr>
                    <w:t>nica (</w:t>
                  </w:r>
                  <w:proofErr w:type="spellStart"/>
                  <w:r w:rsidRPr="00BB4CED">
                    <w:rPr>
                      <w:sz w:val="18"/>
                      <w:szCs w:val="18"/>
                      <w:lang w:val="es-ES"/>
                    </w:rPr>
                    <w:t>Espagne</w:t>
                  </w:r>
                  <w:proofErr w:type="spellEnd"/>
                  <w:r w:rsidRPr="00BB4CED">
                    <w:rPr>
                      <w:sz w:val="18"/>
                      <w:szCs w:val="18"/>
                      <w:lang w:val="es-ES"/>
                    </w:rPr>
                    <w:t>)</w:t>
                  </w:r>
                </w:p>
                <w:p w:rsidR="001A2A5A" w:rsidRPr="00BA2BA1" w:rsidRDefault="001A2A5A" w:rsidP="005D17E8">
                  <w:pPr>
                    <w:spacing w:after="120"/>
                    <w:jc w:val="right"/>
                    <w:rPr>
                      <w:sz w:val="18"/>
                      <w:szCs w:val="18"/>
                      <w:lang w:val="fr-FR"/>
                    </w:rPr>
                  </w:pPr>
                  <w:proofErr w:type="spellStart"/>
                  <w:r w:rsidRPr="00BA2BA1">
                    <w:rPr>
                      <w:sz w:val="18"/>
                      <w:szCs w:val="18"/>
                      <w:lang w:val="fr-FR"/>
                    </w:rPr>
                    <w:t>Telia</w:t>
                  </w:r>
                  <w:proofErr w:type="spellEnd"/>
                  <w:r w:rsidRPr="00BA2BA1">
                    <w:rPr>
                      <w:sz w:val="18"/>
                      <w:szCs w:val="18"/>
                      <w:lang w:val="fr-FR"/>
                    </w:rPr>
                    <w:t xml:space="preserve"> (Suède)</w:t>
                  </w:r>
                </w:p>
                <w:p w:rsidR="001A2A5A" w:rsidRPr="00BA2BA1" w:rsidRDefault="001A2A5A" w:rsidP="005D17E8">
                  <w:pPr>
                    <w:spacing w:after="120"/>
                    <w:jc w:val="right"/>
                    <w:rPr>
                      <w:sz w:val="18"/>
                      <w:szCs w:val="18"/>
                      <w:lang w:val="fr-FR"/>
                    </w:rPr>
                  </w:pPr>
                  <w:proofErr w:type="spellStart"/>
                  <w:r w:rsidRPr="00BA2BA1">
                    <w:rPr>
                      <w:sz w:val="18"/>
                      <w:szCs w:val="18"/>
                      <w:lang w:val="fr-FR"/>
                    </w:rPr>
                    <w:t>Swisscom</w:t>
                  </w:r>
                  <w:proofErr w:type="spellEnd"/>
                  <w:r w:rsidRPr="00BA2BA1">
                    <w:rPr>
                      <w:sz w:val="18"/>
                      <w:szCs w:val="18"/>
                      <w:lang w:val="fr-FR"/>
                    </w:rPr>
                    <w:t xml:space="preserve"> (Suisse)</w:t>
                  </w:r>
                </w:p>
                <w:p w:rsidR="001A2A5A" w:rsidRDefault="001A2A5A" w:rsidP="004861CE">
                  <w:pPr>
                    <w:spacing w:after="120"/>
                    <w:jc w:val="right"/>
                    <w:rPr>
                      <w:sz w:val="18"/>
                      <w:szCs w:val="18"/>
                      <w:lang w:val="fr-FR"/>
                    </w:rPr>
                  </w:pPr>
                  <w:r w:rsidRPr="00BA2BA1">
                    <w:rPr>
                      <w:sz w:val="18"/>
                      <w:szCs w:val="18"/>
                      <w:lang w:val="fr-FR"/>
                    </w:rPr>
                    <w:t>BT (R</w:t>
                  </w:r>
                  <w:r>
                    <w:rPr>
                      <w:sz w:val="18"/>
                      <w:szCs w:val="18"/>
                      <w:lang w:val="fr-FR"/>
                    </w:rPr>
                    <w:t>o</w:t>
                  </w:r>
                  <w:r w:rsidRPr="00BA2BA1">
                    <w:rPr>
                      <w:sz w:val="18"/>
                      <w:szCs w:val="18"/>
                      <w:lang w:val="fr-FR"/>
                    </w:rPr>
                    <w:t>yaume-Uni)</w:t>
                  </w:r>
                </w:p>
                <w:p w:rsidR="001A2A5A" w:rsidRPr="00BA2BA1" w:rsidRDefault="001A2A5A" w:rsidP="005D17E8">
                  <w:pPr>
                    <w:spacing w:after="120"/>
                    <w:jc w:val="right"/>
                    <w:rPr>
                      <w:sz w:val="18"/>
                      <w:szCs w:val="18"/>
                      <w:lang w:val="fr-FR"/>
                    </w:rPr>
                  </w:pPr>
                  <w:r w:rsidRPr="004861CE">
                    <w:rPr>
                      <w:spacing w:val="-4"/>
                      <w:sz w:val="18"/>
                      <w:szCs w:val="18"/>
                      <w:lang w:val="fr-FR"/>
                    </w:rPr>
                    <w:t>Total pour le secteur (Etats-Unis)</w:t>
                  </w:r>
                </w:p>
              </w:txbxContent>
            </v:textbox>
          </v:shape>
        </w:pict>
      </w:r>
      <w:r w:rsidR="00C82AF3">
        <w:rPr>
          <w:noProof/>
          <w:lang w:eastAsia="zh-CN"/>
        </w:rPr>
        <w:drawing>
          <wp:inline distT="0" distB="0" distL="0" distR="0">
            <wp:extent cx="5743575" cy="3686175"/>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743575" cy="3686175"/>
                    </a:xfrm>
                    <a:prstGeom prst="rect">
                      <a:avLst/>
                    </a:prstGeom>
                    <a:noFill/>
                    <a:ln w="9525">
                      <a:noFill/>
                      <a:miter lim="800000"/>
                      <a:headEnd/>
                      <a:tailEnd/>
                    </a:ln>
                  </pic:spPr>
                </pic:pic>
              </a:graphicData>
            </a:graphic>
          </wp:inline>
        </w:drawing>
      </w:r>
    </w:p>
    <w:p w:rsidR="00630579" w:rsidRDefault="00630579" w:rsidP="00630579">
      <w:pPr>
        <w:pStyle w:val="FigureSource"/>
      </w:pPr>
    </w:p>
    <w:p w:rsidR="00725E71" w:rsidRPr="001C70B5" w:rsidRDefault="00725E71" w:rsidP="00725E71">
      <w:pPr>
        <w:spacing w:before="240"/>
        <w:rPr>
          <w:rFonts w:asciiTheme="majorBidi" w:hAnsiTheme="majorBidi" w:cstheme="majorBidi"/>
          <w:spacing w:val="-2"/>
          <w:szCs w:val="24"/>
          <w:lang w:val="fr-FR" w:eastAsia="fr-FR"/>
        </w:rPr>
      </w:pPr>
      <w:r w:rsidRPr="001A2A5A">
        <w:rPr>
          <w:rFonts w:asciiTheme="majorBidi" w:hAnsiTheme="majorBidi" w:cstheme="majorBidi"/>
          <w:i/>
          <w:iCs/>
          <w:spacing w:val="-2"/>
          <w:szCs w:val="24"/>
          <w:lang w:val="fr-FR" w:eastAsia="fr-FR"/>
        </w:rPr>
        <w:t>A contrario</w:t>
      </w:r>
      <w:r w:rsidRPr="001C70B5">
        <w:rPr>
          <w:rFonts w:asciiTheme="majorBidi" w:hAnsiTheme="majorBidi" w:cstheme="majorBidi"/>
          <w:spacing w:val="-2"/>
          <w:szCs w:val="24"/>
          <w:lang w:val="fr-FR" w:eastAsia="fr-FR"/>
        </w:rPr>
        <w:t xml:space="preserve">, cette situation ne s'applique généralement pas aux opérateurs (privatisés ou non) des pays émergents, qui poursuivent l'installation et/ou la modernisation de leur réseau. Au Mexique, la privatisation de </w:t>
      </w:r>
      <w:proofErr w:type="spellStart"/>
      <w:r w:rsidRPr="001C70B5">
        <w:rPr>
          <w:rFonts w:asciiTheme="majorBidi" w:hAnsiTheme="majorBidi" w:cstheme="majorBidi"/>
          <w:spacing w:val="-2"/>
          <w:szCs w:val="24"/>
          <w:lang w:val="fr-FR" w:eastAsia="fr-FR"/>
        </w:rPr>
        <w:t>Telmex</w:t>
      </w:r>
      <w:proofErr w:type="spellEnd"/>
      <w:r w:rsidRPr="001C70B5">
        <w:rPr>
          <w:rFonts w:asciiTheme="majorBidi" w:hAnsiTheme="majorBidi" w:cstheme="majorBidi"/>
          <w:spacing w:val="-2"/>
          <w:szCs w:val="24"/>
          <w:lang w:val="fr-FR" w:eastAsia="fr-FR"/>
        </w:rPr>
        <w:t xml:space="preserve"> n'a pas été synonyme de suppression d'emplois</w:t>
      </w:r>
      <w:r w:rsidR="00E63ADD" w:rsidRPr="001C70B5">
        <w:rPr>
          <w:rFonts w:asciiTheme="majorBidi" w:hAnsiTheme="majorBidi" w:cstheme="majorBidi"/>
          <w:spacing w:val="-2"/>
          <w:szCs w:val="24"/>
          <w:lang w:val="fr-FR" w:eastAsia="fr-FR"/>
        </w:rPr>
        <w:t xml:space="preserve"> – </w:t>
      </w:r>
      <w:r w:rsidRPr="001C70B5">
        <w:rPr>
          <w:rFonts w:asciiTheme="majorBidi" w:hAnsiTheme="majorBidi" w:cstheme="majorBidi"/>
          <w:spacing w:val="-2"/>
          <w:szCs w:val="24"/>
          <w:lang w:val="fr-FR" w:eastAsia="fr-FR"/>
        </w:rPr>
        <w:t>grâce à un accord avec les syndicats, il n'y a eu aucun licenciement et les effectifs ont augmenté (du moins sur le papier) de 30% entre 1997 et 1999. Les chiffres figurant dans la base de données de l'OCDE sur les télécommunications (2001) montrent une légère évolution des effectifs dans la plupart des pays, avec des augmentations notamment au Mexique et en Pologne.</w:t>
      </w:r>
    </w:p>
    <w:p w:rsidR="00725E71" w:rsidRPr="00725E71" w:rsidRDefault="00725E71" w:rsidP="00725E71">
      <w:pPr>
        <w:rPr>
          <w:rFonts w:asciiTheme="majorBidi" w:hAnsiTheme="majorBidi" w:cstheme="majorBidi"/>
          <w:lang w:val="fr-FR"/>
        </w:rPr>
      </w:pPr>
      <w:r w:rsidRPr="00725E71">
        <w:rPr>
          <w:rFonts w:asciiTheme="majorBidi" w:hAnsiTheme="majorBidi" w:cstheme="majorBidi"/>
          <w:lang w:val="fr-FR"/>
        </w:rPr>
        <w:t xml:space="preserve">En Afrique, la situation est contrastée. La </w:t>
      </w:r>
      <w:proofErr w:type="spellStart"/>
      <w:r w:rsidRPr="00725E71">
        <w:rPr>
          <w:rFonts w:asciiTheme="majorBidi" w:hAnsiTheme="majorBidi" w:cstheme="majorBidi"/>
          <w:lang w:val="fr-FR"/>
        </w:rPr>
        <w:t>télédensité</w:t>
      </w:r>
      <w:proofErr w:type="spellEnd"/>
      <w:r w:rsidRPr="00725E71">
        <w:rPr>
          <w:rFonts w:asciiTheme="majorBidi" w:hAnsiTheme="majorBidi" w:cstheme="majorBidi"/>
          <w:lang w:val="fr-FR"/>
        </w:rPr>
        <w:t xml:space="preserve"> moyenne est très faible et la plupart des lignes sont concentrées dans les zones urbaines, la pénurie de personnel et de compétences techniques montre que les employés formés aux TIC partent peut-être travailler dans des pays plus riches. Ainsi, la principale préoccupation en matière d'emplois sera peut-être de trouver une solution pour retenir les travailleurs qualifiés et en attirer de nouveaux, et non de réduire le nombre d'employés, malgré certaines contraintes budgétaires. La tendance générale est néanmoins à la hausse des effectifs, en particulier dans les pays où l'investissement est constant. Au Cameroun</w:t>
      </w:r>
      <w:r w:rsidRPr="00B56515">
        <w:rPr>
          <w:rStyle w:val="FootnoteReference"/>
          <w:rFonts w:asciiTheme="majorBidi" w:hAnsiTheme="majorBidi" w:cstheme="majorBidi"/>
        </w:rPr>
        <w:footnoteReference w:id="4"/>
      </w:r>
      <w:r w:rsidRPr="00725E71">
        <w:rPr>
          <w:rFonts w:asciiTheme="majorBidi" w:hAnsiTheme="majorBidi" w:cstheme="majorBidi"/>
          <w:lang w:val="fr-FR"/>
        </w:rPr>
        <w:t>, à compter de fin 2007, le nombre des abonnés et des effectifs de l'opérateur public en place ont commencé à progresser régulièrement après une longue période de stagnation, ce qui s'explique par les investissements massifs dans les technologies AMRC fixes et par le recrutement de nouveaux employés. Cependant, on ne retrouve pas cette croissance de l'emploi sur tout le continent</w:t>
      </w:r>
      <w:r w:rsidRPr="00B56515">
        <w:rPr>
          <w:rStyle w:val="FootnoteReference"/>
          <w:rFonts w:asciiTheme="majorBidi" w:hAnsiTheme="majorBidi" w:cstheme="majorBidi"/>
        </w:rPr>
        <w:footnoteReference w:id="5"/>
      </w:r>
      <w:r w:rsidRPr="00725E71">
        <w:rPr>
          <w:rFonts w:asciiTheme="majorBidi" w:hAnsiTheme="majorBidi" w:cstheme="majorBidi"/>
          <w:lang w:val="fr-FR"/>
        </w:rPr>
        <w:t xml:space="preserve">, comme indiqué plus haut. Par exemple, les effectifs de </w:t>
      </w:r>
      <w:proofErr w:type="spellStart"/>
      <w:r w:rsidRPr="00725E71">
        <w:rPr>
          <w:rFonts w:asciiTheme="majorBidi" w:hAnsiTheme="majorBidi" w:cstheme="majorBidi"/>
          <w:lang w:val="fr-FR"/>
        </w:rPr>
        <w:t>Telkom</w:t>
      </w:r>
      <w:proofErr w:type="spellEnd"/>
      <w:r w:rsidRPr="00725E71">
        <w:rPr>
          <w:rFonts w:asciiTheme="majorBidi" w:hAnsiTheme="majorBidi" w:cstheme="majorBidi"/>
          <w:lang w:val="fr-FR"/>
        </w:rPr>
        <w:t xml:space="preserve"> South </w:t>
      </w:r>
      <w:proofErr w:type="spellStart"/>
      <w:r w:rsidRPr="00725E71">
        <w:rPr>
          <w:rFonts w:asciiTheme="majorBidi" w:hAnsiTheme="majorBidi" w:cstheme="majorBidi"/>
          <w:lang w:val="fr-FR"/>
        </w:rPr>
        <w:t>Africa</w:t>
      </w:r>
      <w:proofErr w:type="spellEnd"/>
      <w:r w:rsidRPr="00725E71">
        <w:rPr>
          <w:rFonts w:asciiTheme="majorBidi" w:hAnsiTheme="majorBidi" w:cstheme="majorBidi"/>
          <w:lang w:val="fr-FR"/>
        </w:rPr>
        <w:t xml:space="preserve"> (République </w:t>
      </w:r>
      <w:proofErr w:type="spellStart"/>
      <w:r w:rsidRPr="00725E71">
        <w:rPr>
          <w:rFonts w:asciiTheme="majorBidi" w:hAnsiTheme="majorBidi" w:cstheme="majorBidi"/>
          <w:lang w:val="fr-FR"/>
        </w:rPr>
        <w:t>sudafricaine</w:t>
      </w:r>
      <w:proofErr w:type="spellEnd"/>
      <w:r w:rsidRPr="00725E71">
        <w:rPr>
          <w:rFonts w:asciiTheme="majorBidi" w:hAnsiTheme="majorBidi" w:cstheme="majorBidi"/>
          <w:lang w:val="fr-FR"/>
        </w:rPr>
        <w:t>) ont fortement diminué au fil des ans (de plus de 15% entre 1995 et 1999).</w:t>
      </w:r>
    </w:p>
    <w:p w:rsidR="00725E71" w:rsidRPr="00725E71" w:rsidRDefault="00725E71" w:rsidP="00725E71">
      <w:pPr>
        <w:rPr>
          <w:rFonts w:asciiTheme="majorBidi" w:hAnsiTheme="majorBidi" w:cstheme="majorBidi"/>
          <w:lang w:val="fr-FR" w:eastAsia="fr-FR"/>
        </w:rPr>
      </w:pPr>
      <w:r w:rsidRPr="00725E71">
        <w:rPr>
          <w:rFonts w:asciiTheme="majorBidi" w:hAnsiTheme="majorBidi" w:cstheme="majorBidi"/>
          <w:lang w:val="fr-FR" w:eastAsia="fr-FR"/>
        </w:rPr>
        <w:t xml:space="preserve">En général, la diminution de l'emploi dans les télécommunications concerne principalement les activités comme la construction, l'installation, la réparation et la maintenance des équipements des centres de commutation ainsi que la pose de câbles et de lignes. L'emploi des femmes a été particulièrement affecté par les progrès technologiques, car bon nombre d'entre elles étaient opératrices téléphoniques ou employées de </w:t>
      </w:r>
      <w:r w:rsidRPr="00725E71">
        <w:rPr>
          <w:rFonts w:asciiTheme="majorBidi" w:hAnsiTheme="majorBidi" w:cstheme="majorBidi"/>
          <w:lang w:val="fr-FR" w:eastAsia="fr-FR"/>
        </w:rPr>
        <w:lastRenderedPageBreak/>
        <w:t>bureau. En revanche, des domaines touchant au marketing, à l'extension et à la modernisation des infrastructures ont connu une augmentation du nombre d'emplois. Aux Etats-Unis, dans les années 90, les plus fortes hausses ont été enregistrées dans les services de planification et de gestion des réseaux, le marketing et les services clients. Une forte croissance de l'emploi a également été observée dans les activités non traditionnelles ou "non essentielles" (par exemple, services informatiques, de réseautage et de traitement des données).</w:t>
      </w:r>
      <w:r w:rsidR="00557F2E">
        <w:rPr>
          <w:rFonts w:asciiTheme="majorBidi" w:hAnsiTheme="majorBidi" w:cstheme="majorBidi"/>
          <w:lang w:val="fr-FR" w:eastAsia="fr-FR"/>
        </w:rPr>
        <w:t xml:space="preserve"> </w:t>
      </w:r>
      <w:r w:rsidRPr="00725E71">
        <w:rPr>
          <w:rFonts w:asciiTheme="majorBidi" w:hAnsiTheme="majorBidi" w:cstheme="majorBidi"/>
          <w:lang w:val="fr-FR" w:eastAsia="fr-FR"/>
        </w:rPr>
        <w:t>Tous ces domaines nécessitent des compétences et des qualifications qui, auparavant, ne semblaient pas essentielles pour les services de télécommunication.</w:t>
      </w:r>
    </w:p>
    <w:p w:rsidR="00725E71" w:rsidRPr="00725E71" w:rsidRDefault="00725E71" w:rsidP="00725E71">
      <w:pPr>
        <w:pStyle w:val="Heading2"/>
        <w:rPr>
          <w:lang w:val="fr-FR"/>
        </w:rPr>
      </w:pPr>
      <w:bookmarkStart w:id="17" w:name="_Toc219785635"/>
      <w:r w:rsidRPr="00725E71">
        <w:rPr>
          <w:lang w:val="fr-FR"/>
        </w:rPr>
        <w:t>3.2</w:t>
      </w:r>
      <w:r w:rsidRPr="00725E71">
        <w:rPr>
          <w:lang w:val="fr-FR"/>
        </w:rPr>
        <w:tab/>
        <w:t>Incidences sur les entreprises de téléphonie mobile</w:t>
      </w:r>
      <w:bookmarkEnd w:id="17"/>
    </w:p>
    <w:p w:rsidR="00725E71" w:rsidRPr="00725E71" w:rsidRDefault="00725E71" w:rsidP="00725E71">
      <w:pPr>
        <w:rPr>
          <w:rFonts w:asciiTheme="majorBidi" w:hAnsiTheme="majorBidi" w:cstheme="majorBidi"/>
          <w:lang w:val="fr-FR"/>
        </w:rPr>
      </w:pPr>
      <w:r w:rsidRPr="00725E71">
        <w:rPr>
          <w:rFonts w:asciiTheme="majorBidi" w:hAnsiTheme="majorBidi" w:cstheme="majorBidi"/>
          <w:lang w:val="fr-FR"/>
        </w:rPr>
        <w:t>Dans l'ensemble, la tendance dans ce secteur est à la hausse. Sur le nouveau marché mobile, l'augmentation peut être très forte chaque année en raison du niveau d'investissement. Entre 1995 et 1999, le nombre d'employés dans ce secteur s'est accru de 106% dans les pays de l'OCDE (de 173 166 à 356 827), de 208% dans les pays de l'Union européenne (de 38 080 à 117 375) et de 57% aux Etats-Unis (de 102 500 à 161 400).</w:t>
      </w:r>
    </w:p>
    <w:p w:rsidR="00C82AF3" w:rsidRDefault="00725E71" w:rsidP="00725E71">
      <w:pPr>
        <w:rPr>
          <w:lang w:val="fr-FR"/>
        </w:rPr>
      </w:pPr>
      <w:r w:rsidRPr="00725E71">
        <w:rPr>
          <w:rFonts w:asciiTheme="majorBidi" w:hAnsiTheme="majorBidi" w:cstheme="majorBidi"/>
          <w:lang w:val="fr-FR"/>
        </w:rPr>
        <w:t>Les résultats suivants ressortent d'une étude</w:t>
      </w:r>
      <w:r>
        <w:rPr>
          <w:rStyle w:val="FootnoteReference"/>
          <w:rFonts w:asciiTheme="majorBidi" w:hAnsiTheme="majorBidi" w:cstheme="majorBidi"/>
        </w:rPr>
        <w:footnoteReference w:id="6"/>
      </w:r>
      <w:r w:rsidRPr="00725E71">
        <w:rPr>
          <w:rFonts w:asciiTheme="majorBidi" w:hAnsiTheme="majorBidi" w:cstheme="majorBidi"/>
          <w:lang w:val="fr-FR"/>
        </w:rPr>
        <w:t xml:space="preserve"> réalisée en décembre 2005 par l'association GSM dans six pays (Brésil, Chili, Colombie, Mexique, Pérou et Venezuela)</w:t>
      </w:r>
      <w:r w:rsidR="00C82AF3" w:rsidRPr="00725E71">
        <w:rPr>
          <w:lang w:val="fr-FR"/>
        </w:rPr>
        <w:t>:</w:t>
      </w:r>
    </w:p>
    <w:p w:rsidR="005427F7" w:rsidRPr="005427F7" w:rsidRDefault="005427F7" w:rsidP="00725E71">
      <w:pPr>
        <w:rPr>
          <w:sz w:val="8"/>
          <w:szCs w:val="8"/>
          <w:lang w:val="fr-FR"/>
        </w:rPr>
      </w:pPr>
    </w:p>
    <w:tbl>
      <w:tblPr>
        <w:tblW w:w="0" w:type="auto"/>
        <w:tblInd w:w="108" w:type="dxa"/>
        <w:tblLayout w:type="fixed"/>
        <w:tblLook w:val="01E0"/>
      </w:tblPr>
      <w:tblGrid>
        <w:gridCol w:w="7230"/>
        <w:gridCol w:w="2409"/>
      </w:tblGrid>
      <w:tr w:rsidR="002923CA" w:rsidRPr="001C0AAC" w:rsidTr="00794F82">
        <w:tc>
          <w:tcPr>
            <w:tcW w:w="7230" w:type="dxa"/>
            <w:tcBorders>
              <w:top w:val="single" w:sz="4" w:space="0" w:color="auto"/>
            </w:tcBorders>
            <w:vAlign w:val="center"/>
          </w:tcPr>
          <w:p w:rsidR="002923CA" w:rsidRPr="001C0AAC" w:rsidRDefault="005427F7" w:rsidP="0061291C">
            <w:pPr>
              <w:spacing w:before="60" w:after="60"/>
              <w:rPr>
                <w:rFonts w:asciiTheme="majorBidi" w:hAnsiTheme="majorBidi" w:cstheme="majorBidi"/>
                <w:i/>
                <w:iCs/>
                <w:sz w:val="20"/>
                <w:lang w:val="fr-FR"/>
              </w:rPr>
            </w:pPr>
            <w:r>
              <w:rPr>
                <w:rFonts w:asciiTheme="majorBidi" w:hAnsiTheme="majorBidi" w:cstheme="majorBidi"/>
                <w:i/>
                <w:iCs/>
                <w:sz w:val="20"/>
                <w:lang w:val="fr-FR"/>
              </w:rPr>
              <w:tab/>
            </w:r>
            <w:r w:rsidR="002923CA" w:rsidRPr="001C0AAC">
              <w:rPr>
                <w:rFonts w:asciiTheme="majorBidi" w:hAnsiTheme="majorBidi" w:cstheme="majorBidi"/>
                <w:i/>
                <w:iCs/>
                <w:sz w:val="20"/>
                <w:lang w:val="fr-FR"/>
              </w:rPr>
              <w:t>Emplois dans les services mobiles dans les six pays à l'étude (en milliers)</w:t>
            </w:r>
          </w:p>
        </w:tc>
        <w:tc>
          <w:tcPr>
            <w:tcW w:w="2409" w:type="dxa"/>
            <w:tcBorders>
              <w:top w:val="single" w:sz="4" w:space="0" w:color="auto"/>
            </w:tcBorders>
          </w:tcPr>
          <w:p w:rsidR="002923CA" w:rsidRPr="001C0AAC" w:rsidRDefault="002923CA" w:rsidP="0061291C">
            <w:pPr>
              <w:spacing w:before="60" w:after="60"/>
              <w:ind w:left="-108" w:right="317"/>
              <w:jc w:val="right"/>
              <w:rPr>
                <w:rFonts w:asciiTheme="majorBidi" w:hAnsiTheme="majorBidi" w:cstheme="majorBidi"/>
                <w:i/>
                <w:iCs/>
                <w:sz w:val="20"/>
              </w:rPr>
            </w:pPr>
            <w:r w:rsidRPr="001C0AAC">
              <w:rPr>
                <w:rFonts w:asciiTheme="majorBidi" w:hAnsiTheme="majorBidi" w:cstheme="majorBidi"/>
                <w:i/>
                <w:iCs/>
                <w:sz w:val="20"/>
              </w:rPr>
              <w:t>Direct</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Revendeurs</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109</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Exploitants</w:t>
            </w:r>
            <w:proofErr w:type="spellEnd"/>
            <w:r w:rsidR="002923CA" w:rsidRPr="001C0AAC">
              <w:rPr>
                <w:rFonts w:asciiTheme="majorBidi" w:hAnsiTheme="majorBidi" w:cstheme="majorBidi"/>
                <w:sz w:val="20"/>
              </w:rPr>
              <w:t xml:space="preserve"> de services </w:t>
            </w:r>
            <w:proofErr w:type="spellStart"/>
            <w:r w:rsidR="002923CA" w:rsidRPr="001C0AAC">
              <w:rPr>
                <w:rFonts w:asciiTheme="majorBidi" w:hAnsiTheme="majorBidi" w:cstheme="majorBidi"/>
                <w:sz w:val="20"/>
              </w:rPr>
              <w:t>hertziens</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38</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Fournisseurs</w:t>
            </w:r>
            <w:proofErr w:type="spellEnd"/>
            <w:r w:rsidR="002923CA" w:rsidRPr="001C0AAC">
              <w:rPr>
                <w:rFonts w:asciiTheme="majorBidi" w:hAnsiTheme="majorBidi" w:cstheme="majorBidi"/>
                <w:sz w:val="20"/>
              </w:rPr>
              <w:t xml:space="preserve"> de services </w:t>
            </w:r>
            <w:proofErr w:type="spellStart"/>
            <w:r w:rsidR="002923CA" w:rsidRPr="001C0AAC">
              <w:rPr>
                <w:rFonts w:asciiTheme="majorBidi" w:hAnsiTheme="majorBidi" w:cstheme="majorBidi"/>
                <w:sz w:val="20"/>
              </w:rPr>
              <w:t>d'appui</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0</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Exploitants</w:t>
            </w:r>
            <w:proofErr w:type="spellEnd"/>
            <w:r w:rsidR="002923CA" w:rsidRPr="001C0AAC">
              <w:rPr>
                <w:rFonts w:asciiTheme="majorBidi" w:hAnsiTheme="majorBidi" w:cstheme="majorBidi"/>
                <w:sz w:val="20"/>
              </w:rPr>
              <w:t xml:space="preserve"> de services </w:t>
            </w:r>
            <w:proofErr w:type="spellStart"/>
            <w:r w:rsidR="002923CA" w:rsidRPr="001C0AAC">
              <w:rPr>
                <w:rFonts w:asciiTheme="majorBidi" w:hAnsiTheme="majorBidi" w:cstheme="majorBidi"/>
                <w:sz w:val="20"/>
              </w:rPr>
              <w:t>filaires</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69</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Autres</w:t>
            </w:r>
            <w:proofErr w:type="spellEnd"/>
            <w:r w:rsidR="002923CA" w:rsidRPr="001C0AAC">
              <w:rPr>
                <w:rFonts w:asciiTheme="majorBidi" w:hAnsiTheme="majorBidi" w:cstheme="majorBidi"/>
                <w:sz w:val="20"/>
              </w:rPr>
              <w:t xml:space="preserve"> sources </w:t>
            </w:r>
            <w:proofErr w:type="spellStart"/>
            <w:r w:rsidR="002923CA" w:rsidRPr="001C0AAC">
              <w:rPr>
                <w:rFonts w:asciiTheme="majorBidi" w:hAnsiTheme="majorBidi" w:cstheme="majorBidi"/>
                <w:sz w:val="20"/>
              </w:rPr>
              <w:t>d'investissement</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103</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Fournisseurs</w:t>
            </w:r>
            <w:proofErr w:type="spellEnd"/>
            <w:r w:rsidR="002923CA" w:rsidRPr="001C0AAC">
              <w:rPr>
                <w:rFonts w:asciiTheme="majorBidi" w:hAnsiTheme="majorBidi" w:cstheme="majorBidi"/>
                <w:sz w:val="20"/>
              </w:rPr>
              <w:t xml:space="preserve"> de </w:t>
            </w:r>
            <w:proofErr w:type="spellStart"/>
            <w:r w:rsidR="002923CA" w:rsidRPr="001C0AAC">
              <w:rPr>
                <w:rFonts w:asciiTheme="majorBidi" w:hAnsiTheme="majorBidi" w:cstheme="majorBidi"/>
                <w:sz w:val="20"/>
              </w:rPr>
              <w:t>terminaux</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4</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lang w:val="fr-FR"/>
              </w:rPr>
            </w:pPr>
            <w:r>
              <w:rPr>
                <w:rFonts w:asciiTheme="majorBidi" w:hAnsiTheme="majorBidi" w:cstheme="majorBidi"/>
                <w:sz w:val="20"/>
                <w:lang w:val="fr-FR"/>
              </w:rPr>
              <w:tab/>
            </w:r>
            <w:r w:rsidR="002923CA" w:rsidRPr="001C0AAC">
              <w:rPr>
                <w:rFonts w:asciiTheme="majorBidi" w:hAnsiTheme="majorBidi" w:cstheme="majorBidi"/>
                <w:sz w:val="20"/>
                <w:lang w:val="fr-FR"/>
              </w:rPr>
              <w:t>Fournisseurs de composants de terminaux</w:t>
            </w:r>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0</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rPr>
            </w:pPr>
            <w:r>
              <w:rPr>
                <w:rFonts w:asciiTheme="majorBidi" w:hAnsiTheme="majorBidi" w:cstheme="majorBidi"/>
                <w:sz w:val="20"/>
              </w:rPr>
              <w:tab/>
            </w:r>
            <w:proofErr w:type="spellStart"/>
            <w:r w:rsidR="002923CA" w:rsidRPr="001C0AAC">
              <w:rPr>
                <w:rFonts w:asciiTheme="majorBidi" w:hAnsiTheme="majorBidi" w:cstheme="majorBidi"/>
                <w:sz w:val="20"/>
              </w:rPr>
              <w:t>Fournisseurs</w:t>
            </w:r>
            <w:proofErr w:type="spellEnd"/>
            <w:r w:rsidR="002923CA" w:rsidRPr="001C0AAC">
              <w:rPr>
                <w:rFonts w:asciiTheme="majorBidi" w:hAnsiTheme="majorBidi" w:cstheme="majorBidi"/>
                <w:sz w:val="20"/>
              </w:rPr>
              <w:t xml:space="preserve"> </w:t>
            </w:r>
            <w:proofErr w:type="spellStart"/>
            <w:r w:rsidR="002923CA" w:rsidRPr="001C0AAC">
              <w:rPr>
                <w:rFonts w:asciiTheme="majorBidi" w:hAnsiTheme="majorBidi" w:cstheme="majorBidi"/>
                <w:sz w:val="20"/>
              </w:rPr>
              <w:t>d'équipements</w:t>
            </w:r>
            <w:proofErr w:type="spellEnd"/>
            <w:r w:rsidR="002923CA" w:rsidRPr="001C0AAC">
              <w:rPr>
                <w:rFonts w:asciiTheme="majorBidi" w:hAnsiTheme="majorBidi" w:cstheme="majorBidi"/>
                <w:sz w:val="20"/>
              </w:rPr>
              <w:t xml:space="preserve"> de </w:t>
            </w:r>
            <w:proofErr w:type="spellStart"/>
            <w:r w:rsidR="002923CA" w:rsidRPr="001C0AAC">
              <w:rPr>
                <w:rFonts w:asciiTheme="majorBidi" w:hAnsiTheme="majorBidi" w:cstheme="majorBidi"/>
                <w:sz w:val="20"/>
              </w:rPr>
              <w:t>réseaux</w:t>
            </w:r>
            <w:proofErr w:type="spellEnd"/>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3</w:t>
            </w:r>
          </w:p>
        </w:tc>
      </w:tr>
      <w:tr w:rsidR="002923CA" w:rsidRPr="00B56515" w:rsidTr="00794F82">
        <w:tc>
          <w:tcPr>
            <w:tcW w:w="7230" w:type="dxa"/>
            <w:vAlign w:val="center"/>
          </w:tcPr>
          <w:p w:rsidR="002923CA" w:rsidRPr="001C0AAC" w:rsidRDefault="005427F7" w:rsidP="00DC14FC">
            <w:pPr>
              <w:spacing w:before="20" w:after="20"/>
              <w:rPr>
                <w:rFonts w:asciiTheme="majorBidi" w:hAnsiTheme="majorBidi" w:cstheme="majorBidi"/>
                <w:sz w:val="20"/>
                <w:lang w:val="fr-FR"/>
              </w:rPr>
            </w:pPr>
            <w:r>
              <w:rPr>
                <w:rFonts w:asciiTheme="majorBidi" w:hAnsiTheme="majorBidi" w:cstheme="majorBidi"/>
                <w:sz w:val="20"/>
                <w:lang w:val="fr-FR"/>
              </w:rPr>
              <w:tab/>
            </w:r>
            <w:r w:rsidR="002923CA" w:rsidRPr="001C0AAC">
              <w:rPr>
                <w:rFonts w:asciiTheme="majorBidi" w:hAnsiTheme="majorBidi" w:cstheme="majorBidi"/>
                <w:sz w:val="20"/>
                <w:lang w:val="fr-FR"/>
              </w:rPr>
              <w:t>Fournisseurs de composants d'équipements de réseaux</w:t>
            </w:r>
          </w:p>
        </w:tc>
        <w:tc>
          <w:tcPr>
            <w:tcW w:w="2409" w:type="dxa"/>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0</w:t>
            </w:r>
          </w:p>
        </w:tc>
      </w:tr>
      <w:tr w:rsidR="002923CA" w:rsidRPr="00B56515" w:rsidTr="00794F82">
        <w:tc>
          <w:tcPr>
            <w:tcW w:w="7230" w:type="dxa"/>
            <w:tcBorders>
              <w:bottom w:val="single" w:sz="4" w:space="0" w:color="auto"/>
            </w:tcBorders>
            <w:vAlign w:val="center"/>
          </w:tcPr>
          <w:p w:rsidR="002923CA" w:rsidRPr="001C0AAC" w:rsidRDefault="005427F7" w:rsidP="00794F82">
            <w:pPr>
              <w:spacing w:before="20" w:after="80"/>
              <w:rPr>
                <w:rFonts w:asciiTheme="majorBidi" w:hAnsiTheme="majorBidi" w:cstheme="majorBidi"/>
                <w:sz w:val="20"/>
              </w:rPr>
            </w:pPr>
            <w:r>
              <w:rPr>
                <w:rFonts w:asciiTheme="majorBidi" w:hAnsiTheme="majorBidi" w:cstheme="majorBidi"/>
                <w:sz w:val="20"/>
              </w:rPr>
              <w:tab/>
            </w:r>
            <w:r w:rsidR="002923CA" w:rsidRPr="001C0AAC">
              <w:rPr>
                <w:rFonts w:asciiTheme="majorBidi" w:hAnsiTheme="majorBidi" w:cstheme="majorBidi"/>
                <w:sz w:val="20"/>
              </w:rPr>
              <w:t>Total</w:t>
            </w:r>
          </w:p>
        </w:tc>
        <w:tc>
          <w:tcPr>
            <w:tcW w:w="2409" w:type="dxa"/>
            <w:tcBorders>
              <w:bottom w:val="single" w:sz="4" w:space="0" w:color="auto"/>
            </w:tcBorders>
            <w:vAlign w:val="center"/>
          </w:tcPr>
          <w:p w:rsidR="002923CA" w:rsidRPr="001C0AAC" w:rsidRDefault="002923CA" w:rsidP="00794F82">
            <w:pPr>
              <w:spacing w:before="20" w:after="20"/>
              <w:ind w:right="317"/>
              <w:jc w:val="right"/>
              <w:rPr>
                <w:rFonts w:asciiTheme="majorBidi" w:hAnsiTheme="majorBidi" w:cstheme="majorBidi"/>
                <w:sz w:val="20"/>
              </w:rPr>
            </w:pPr>
            <w:r w:rsidRPr="001C0AAC">
              <w:rPr>
                <w:rFonts w:asciiTheme="majorBidi" w:hAnsiTheme="majorBidi" w:cstheme="majorBidi"/>
                <w:sz w:val="20"/>
              </w:rPr>
              <w:t>326</w:t>
            </w:r>
          </w:p>
        </w:tc>
      </w:tr>
    </w:tbl>
    <w:p w:rsidR="00C82AF3" w:rsidRPr="002923CA" w:rsidRDefault="002923CA" w:rsidP="005427F7">
      <w:pPr>
        <w:pStyle w:val="Normalaftertitle"/>
        <w:spacing w:before="80"/>
        <w:rPr>
          <w:lang w:val="fr-FR"/>
        </w:rPr>
      </w:pPr>
      <w:r w:rsidRPr="002923CA">
        <w:rPr>
          <w:lang w:val="fr-FR"/>
        </w:rPr>
        <w:t>Ce tableau montre que 326 000 emplois ont été créés directement par le secteur, dont 38 000 directement par les opérateurs mobiles.</w:t>
      </w:r>
      <w:r w:rsidR="00C82AF3" w:rsidRPr="002923CA">
        <w:rPr>
          <w:lang w:val="fr-FR"/>
        </w:rPr>
        <w:t xml:space="preserve"> </w:t>
      </w:r>
    </w:p>
    <w:p w:rsidR="002923CA" w:rsidRPr="002923CA" w:rsidRDefault="002923CA" w:rsidP="005427F7">
      <w:pPr>
        <w:spacing w:before="80"/>
        <w:rPr>
          <w:rFonts w:asciiTheme="majorBidi" w:hAnsiTheme="majorBidi" w:cstheme="majorBidi"/>
          <w:szCs w:val="24"/>
          <w:lang w:val="fr-FR"/>
        </w:rPr>
      </w:pPr>
      <w:r w:rsidRPr="002923CA">
        <w:rPr>
          <w:rFonts w:asciiTheme="majorBidi" w:hAnsiTheme="majorBidi" w:cstheme="majorBidi"/>
          <w:szCs w:val="24"/>
          <w:lang w:val="fr-FR"/>
        </w:rPr>
        <w:t>Les opérateurs mobiles ont souvent une structure souple composée d'équipes jeunes et interdisciplinaires qui travaillent sur des marchés instables. En règle générale, les employés sont recrutés en fonction de leur capacité à entretenir de bonnes relations et à travailler en équipe, de leur polyvalence, de leur disposition à accepter une mobilité horizontale et de l'intérêt qu'ils portent à la formation continue.</w:t>
      </w:r>
    </w:p>
    <w:p w:rsidR="002923CA" w:rsidRPr="002923CA" w:rsidRDefault="002923CA" w:rsidP="005427F7">
      <w:pPr>
        <w:spacing w:before="80"/>
        <w:rPr>
          <w:rFonts w:asciiTheme="majorBidi" w:hAnsiTheme="majorBidi" w:cstheme="majorBidi"/>
          <w:szCs w:val="24"/>
          <w:lang w:val="fr-FR"/>
        </w:rPr>
      </w:pPr>
      <w:r w:rsidRPr="002923CA">
        <w:rPr>
          <w:rFonts w:asciiTheme="majorBidi" w:hAnsiTheme="majorBidi" w:cstheme="majorBidi"/>
          <w:szCs w:val="24"/>
          <w:lang w:val="fr-FR"/>
        </w:rPr>
        <w:t>Bien que les opérateurs de téléphonie mobile ne créent eux-mêmes qu'un nombre limité d'emplois, ces emplois sont fortement rémunérés et recherchés et ont un effet d'entraînement très important sur le commerce de détail (la vente de temps d'utilisation, de combinés et de cartes SIM). En effet, le secteur de la téléphonie GSM a donné naissance à des kiosques de vente de cartes prépayées et a donc créé des emplois. Au Pakistan</w:t>
      </w:r>
      <w:r w:rsidRPr="00B56515">
        <w:rPr>
          <w:rStyle w:val="FootnoteReference"/>
          <w:rFonts w:asciiTheme="majorBidi" w:hAnsiTheme="majorBidi" w:cstheme="majorBidi"/>
          <w:szCs w:val="24"/>
        </w:rPr>
        <w:footnoteReference w:id="7"/>
      </w:r>
      <w:r w:rsidRPr="002923CA">
        <w:rPr>
          <w:rFonts w:asciiTheme="majorBidi" w:hAnsiTheme="majorBidi" w:cstheme="majorBidi"/>
          <w:szCs w:val="24"/>
          <w:lang w:val="fr-FR"/>
        </w:rPr>
        <w:t>, le nombre total de titulaires de franchises s'établissait à 1 522, employant d'après les estimations 10</w:t>
      </w:r>
      <w:r w:rsidR="00B1373C">
        <w:rPr>
          <w:rFonts w:asciiTheme="majorBidi" w:hAnsiTheme="majorBidi" w:cstheme="majorBidi"/>
          <w:szCs w:val="24"/>
          <w:lang w:val="fr-FR"/>
        </w:rPr>
        <w:t> </w:t>
      </w:r>
      <w:r w:rsidRPr="002923CA">
        <w:rPr>
          <w:rFonts w:asciiTheme="majorBidi" w:hAnsiTheme="majorBidi" w:cstheme="majorBidi"/>
          <w:szCs w:val="24"/>
          <w:lang w:val="fr-FR"/>
        </w:rPr>
        <w:t>650 personnes.</w:t>
      </w:r>
    </w:p>
    <w:p w:rsidR="002923CA" w:rsidRPr="002923CA" w:rsidRDefault="002923CA" w:rsidP="005427F7">
      <w:pPr>
        <w:spacing w:before="80"/>
        <w:rPr>
          <w:rFonts w:asciiTheme="majorBidi" w:hAnsiTheme="majorBidi" w:cstheme="majorBidi"/>
          <w:lang w:val="fr-FR"/>
        </w:rPr>
      </w:pPr>
      <w:r w:rsidRPr="002923CA">
        <w:rPr>
          <w:rFonts w:asciiTheme="majorBidi" w:hAnsiTheme="majorBidi" w:cstheme="majorBidi"/>
          <w:lang w:val="fr-FR"/>
        </w:rPr>
        <w:t>En Egypte</w:t>
      </w:r>
      <w:r w:rsidRPr="00B56515">
        <w:rPr>
          <w:rStyle w:val="FootnoteReference"/>
          <w:rFonts w:asciiTheme="majorBidi" w:hAnsiTheme="majorBidi" w:cstheme="majorBidi"/>
        </w:rPr>
        <w:footnoteReference w:id="8"/>
      </w:r>
      <w:r w:rsidRPr="002923CA">
        <w:rPr>
          <w:rFonts w:asciiTheme="majorBidi" w:hAnsiTheme="majorBidi" w:cstheme="majorBidi"/>
          <w:lang w:val="fr-FR"/>
        </w:rPr>
        <w:t xml:space="preserve">, l'entreprise </w:t>
      </w:r>
      <w:proofErr w:type="spellStart"/>
      <w:r w:rsidRPr="002923CA">
        <w:rPr>
          <w:rFonts w:asciiTheme="majorBidi" w:hAnsiTheme="majorBidi" w:cstheme="majorBidi"/>
          <w:lang w:val="fr-FR"/>
        </w:rPr>
        <w:t>Mcel</w:t>
      </w:r>
      <w:proofErr w:type="spellEnd"/>
      <w:r w:rsidRPr="002923CA">
        <w:rPr>
          <w:rFonts w:asciiTheme="majorBidi" w:hAnsiTheme="majorBidi" w:cstheme="majorBidi"/>
          <w:lang w:val="fr-FR"/>
        </w:rPr>
        <w:t xml:space="preserve"> compte quatre grand distributeurs et près de 10 000 points de vente au détail où l'on peut se procurer des cartes de recharge et </w:t>
      </w:r>
      <w:proofErr w:type="spellStart"/>
      <w:r w:rsidRPr="002923CA">
        <w:rPr>
          <w:rFonts w:asciiTheme="majorBidi" w:hAnsiTheme="majorBidi" w:cstheme="majorBidi"/>
          <w:lang w:val="fr-FR"/>
        </w:rPr>
        <w:t>Vodacom</w:t>
      </w:r>
      <w:proofErr w:type="spellEnd"/>
      <w:r w:rsidRPr="002923CA">
        <w:rPr>
          <w:rFonts w:asciiTheme="majorBidi" w:hAnsiTheme="majorBidi" w:cstheme="majorBidi"/>
          <w:lang w:val="fr-FR"/>
        </w:rPr>
        <w:t xml:space="preserve"> fait appel à douze revendeurs exclusifs, appelés "super dealers", pour gérer un vaste réseau de revendeurs dans l'ensemble du pays.</w:t>
      </w:r>
    </w:p>
    <w:p w:rsidR="002923CA" w:rsidRPr="002923CA" w:rsidRDefault="002923CA" w:rsidP="002923CA">
      <w:pPr>
        <w:rPr>
          <w:rFonts w:asciiTheme="majorBidi" w:hAnsiTheme="majorBidi" w:cstheme="majorBidi"/>
          <w:lang w:val="fr-FR"/>
        </w:rPr>
      </w:pPr>
      <w:r w:rsidRPr="002923CA">
        <w:rPr>
          <w:rFonts w:asciiTheme="majorBidi" w:hAnsiTheme="majorBidi" w:cstheme="majorBidi"/>
          <w:lang w:val="fr-FR"/>
        </w:rPr>
        <w:lastRenderedPageBreak/>
        <w:t>La revente de services GSM est devenue une source de création d'emplois viable à divers égards. Ainsi, au Nigéria</w:t>
      </w:r>
      <w:r w:rsidRPr="00B56515">
        <w:rPr>
          <w:rStyle w:val="FootnoteReference"/>
          <w:rFonts w:asciiTheme="majorBidi" w:hAnsiTheme="majorBidi" w:cstheme="majorBidi"/>
        </w:rPr>
        <w:footnoteReference w:id="9"/>
      </w:r>
      <w:r w:rsidRPr="002923CA">
        <w:rPr>
          <w:rFonts w:asciiTheme="majorBidi" w:hAnsiTheme="majorBidi" w:cstheme="majorBidi"/>
          <w:lang w:val="fr-FR"/>
        </w:rPr>
        <w:t xml:space="preserve">, l'accroissement de la </w:t>
      </w:r>
      <w:proofErr w:type="spellStart"/>
      <w:r w:rsidRPr="002923CA">
        <w:rPr>
          <w:rFonts w:asciiTheme="majorBidi" w:hAnsiTheme="majorBidi" w:cstheme="majorBidi"/>
          <w:lang w:val="fr-FR"/>
        </w:rPr>
        <w:t>télédensité</w:t>
      </w:r>
      <w:proofErr w:type="spellEnd"/>
      <w:r w:rsidRPr="002923CA">
        <w:rPr>
          <w:rFonts w:asciiTheme="majorBidi" w:hAnsiTheme="majorBidi" w:cstheme="majorBidi"/>
          <w:lang w:val="fr-FR"/>
        </w:rPr>
        <w:t xml:space="preserve"> a entraîné la création d'emplois par le biais de services assurés par les "vendeurs aux parasols" qui, dans de nombreuses villes du pays, revendent des services hertziens GSM, à savoir principalement des appels téléphoniques ou du temps d'utilisation. Leur matériel est rudimentaire, un parasol et bien sûr une carte SIM et un téléphone portable, et les voilà prêts à faire des affaires.</w:t>
      </w:r>
    </w:p>
    <w:p w:rsidR="002923CA" w:rsidRPr="002923CA" w:rsidRDefault="002923CA" w:rsidP="002923CA">
      <w:pPr>
        <w:rPr>
          <w:rFonts w:asciiTheme="majorBidi" w:hAnsiTheme="majorBidi" w:cstheme="majorBidi"/>
          <w:lang w:val="fr-FR"/>
        </w:rPr>
      </w:pPr>
      <w:r w:rsidRPr="002923CA">
        <w:rPr>
          <w:rFonts w:asciiTheme="majorBidi" w:hAnsiTheme="majorBidi" w:cstheme="majorBidi"/>
          <w:lang w:val="fr-FR"/>
        </w:rPr>
        <w:t>Toutefois, alors que le marché arrive à saturation, la tendance à la croissance semble s'inverser. Un opérateur comme Vodafone a connu une très forte croissance</w:t>
      </w:r>
      <w:r w:rsidR="00E63ADD">
        <w:rPr>
          <w:rFonts w:asciiTheme="majorBidi" w:hAnsiTheme="majorBidi" w:cstheme="majorBidi"/>
          <w:lang w:val="fr-FR"/>
        </w:rPr>
        <w:t xml:space="preserve"> – </w:t>
      </w:r>
      <w:r w:rsidRPr="002923CA">
        <w:rPr>
          <w:rFonts w:asciiTheme="majorBidi" w:hAnsiTheme="majorBidi" w:cstheme="majorBidi"/>
          <w:lang w:val="fr-FR"/>
        </w:rPr>
        <w:t>l'entreprise employait environ 57 000 personnes dans le monde entier en 2001, contre seulement 9 640 en 1997, suite à une série de rachats et à une expansion au niveau mondial. En octobre 2001, Vodafone a licencié environ 650 personnes sur les 10 000 qu'il employait au Royaume-Uni</w:t>
      </w:r>
      <w:r w:rsidRPr="00B56515">
        <w:rPr>
          <w:rStyle w:val="FootnoteReference"/>
          <w:rFonts w:asciiTheme="majorBidi" w:hAnsiTheme="majorBidi" w:cstheme="majorBidi"/>
          <w:szCs w:val="16"/>
        </w:rPr>
        <w:footnoteReference w:id="10"/>
      </w:r>
      <w:r w:rsidRPr="002923CA">
        <w:rPr>
          <w:rFonts w:asciiTheme="majorBidi" w:hAnsiTheme="majorBidi" w:cstheme="majorBidi"/>
          <w:lang w:val="fr-FR"/>
        </w:rPr>
        <w:t>.</w:t>
      </w:r>
    </w:p>
    <w:p w:rsidR="00C82AF3" w:rsidRPr="002923CA" w:rsidRDefault="002923CA" w:rsidP="002923CA">
      <w:pPr>
        <w:rPr>
          <w:lang w:val="fr-FR"/>
        </w:rPr>
      </w:pPr>
      <w:r w:rsidRPr="002923CA">
        <w:rPr>
          <w:rFonts w:asciiTheme="majorBidi" w:hAnsiTheme="majorBidi" w:cstheme="majorBidi"/>
          <w:lang w:val="fr-FR"/>
        </w:rPr>
        <w:t>En 2007, l'Association GSM a publié un rapport indiquant le nombre estimatif d'emplois créés par le secteur des télécommunications mobiles en Tanzanie en 2006</w:t>
      </w:r>
      <w:r w:rsidRPr="00B56515">
        <w:rPr>
          <w:rStyle w:val="FootnoteReference"/>
          <w:rFonts w:asciiTheme="majorBidi" w:hAnsiTheme="majorBidi" w:cstheme="majorBidi"/>
        </w:rPr>
        <w:footnoteReference w:id="11"/>
      </w:r>
      <w:r w:rsidRPr="002923CA">
        <w:rPr>
          <w:rFonts w:asciiTheme="majorBidi" w:hAnsiTheme="majorBidi" w:cstheme="majorBidi"/>
          <w:lang w:val="fr-FR"/>
        </w:rPr>
        <w:t>. Il ressort des chiffres que le secteur des télécommunications mobiles assurait plus de 125 000 emplois sur l'activité économique, et que 25 000 autres emplois avaient été créés en raison de l'effet multiplicateur</w:t>
      </w:r>
      <w:r w:rsidR="00C82AF3" w:rsidRPr="002923CA">
        <w:rPr>
          <w:lang w:val="fr-FR"/>
        </w:rPr>
        <w:t>.</w:t>
      </w:r>
    </w:p>
    <w:p w:rsidR="00630579" w:rsidRPr="002923CA" w:rsidRDefault="00630579" w:rsidP="00630579">
      <w:pPr>
        <w:rPr>
          <w:lang w:val="fr-FR"/>
        </w:rPr>
      </w:pPr>
    </w:p>
    <w:p w:rsidR="00C82AF3" w:rsidRPr="00FA181E" w:rsidRDefault="00C82AF3" w:rsidP="00FA181E">
      <w:pPr>
        <w:pStyle w:val="FigureTitle"/>
        <w:rPr>
          <w:lang w:val="fr-FR"/>
        </w:rPr>
      </w:pPr>
      <w:r w:rsidRPr="00FA181E">
        <w:rPr>
          <w:lang w:val="fr-FR"/>
        </w:rPr>
        <w:t>Table</w:t>
      </w:r>
      <w:r w:rsidR="00FA181E" w:rsidRPr="00FA181E">
        <w:rPr>
          <w:lang w:val="fr-FR"/>
        </w:rPr>
        <w:t>au</w:t>
      </w:r>
      <w:r w:rsidRPr="00FA181E">
        <w:rPr>
          <w:lang w:val="fr-FR"/>
        </w:rPr>
        <w:t xml:space="preserve"> 1: </w:t>
      </w:r>
      <w:r w:rsidR="00FA181E" w:rsidRPr="00FA181E">
        <w:rPr>
          <w:lang w:val="fr-FR"/>
        </w:rPr>
        <w:t>Nombre estimatif d'emplois créés par le secteur de la téléphonie mobile en Tanzanie</w:t>
      </w:r>
    </w:p>
    <w:p w:rsidR="00C82AF3" w:rsidRPr="00FA181E" w:rsidRDefault="00C82AF3" w:rsidP="009B2917">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6378"/>
        <w:gridCol w:w="1749"/>
      </w:tblGrid>
      <w:tr w:rsidR="00FA181E" w:rsidRPr="00B1373C" w:rsidTr="00DC14FC">
        <w:trPr>
          <w:jc w:val="center"/>
        </w:trPr>
        <w:tc>
          <w:tcPr>
            <w:tcW w:w="475" w:type="dxa"/>
            <w:vAlign w:val="center"/>
          </w:tcPr>
          <w:p w:rsidR="00FA181E" w:rsidRPr="00B1373C" w:rsidRDefault="00FA181E" w:rsidP="00B1373C">
            <w:pPr>
              <w:pStyle w:val="Tablehead"/>
              <w:rPr>
                <w:sz w:val="18"/>
                <w:szCs w:val="18"/>
                <w:lang w:val="fr-CH"/>
              </w:rPr>
            </w:pPr>
          </w:p>
        </w:tc>
        <w:tc>
          <w:tcPr>
            <w:tcW w:w="6378" w:type="dxa"/>
            <w:vAlign w:val="center"/>
          </w:tcPr>
          <w:p w:rsidR="00FA181E" w:rsidRPr="00B1373C" w:rsidRDefault="00FA181E" w:rsidP="00E76CE8">
            <w:pPr>
              <w:pStyle w:val="Tablehead"/>
              <w:rPr>
                <w:sz w:val="18"/>
                <w:szCs w:val="18"/>
                <w:lang w:val="en-US"/>
              </w:rPr>
            </w:pPr>
            <w:r w:rsidRPr="00B1373C">
              <w:rPr>
                <w:sz w:val="18"/>
                <w:szCs w:val="18"/>
                <w:lang w:val="fr-CH"/>
              </w:rPr>
              <w:t>Source</w:t>
            </w:r>
          </w:p>
        </w:tc>
        <w:tc>
          <w:tcPr>
            <w:tcW w:w="1749" w:type="dxa"/>
            <w:vAlign w:val="center"/>
          </w:tcPr>
          <w:p w:rsidR="00FA181E" w:rsidRPr="00B1373C" w:rsidRDefault="00FA181E" w:rsidP="00E76CE8">
            <w:pPr>
              <w:pStyle w:val="Tablehead"/>
              <w:rPr>
                <w:sz w:val="18"/>
                <w:szCs w:val="18"/>
                <w:lang w:val="en-US"/>
              </w:rPr>
            </w:pPr>
            <w:r w:rsidRPr="00B1373C">
              <w:rPr>
                <w:sz w:val="18"/>
                <w:szCs w:val="18"/>
                <w:lang w:val="fr-CH"/>
              </w:rPr>
              <w:t>Nombre d'emplois</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en-US"/>
              </w:rPr>
            </w:pPr>
            <w:r w:rsidRPr="00B1373C">
              <w:rPr>
                <w:sz w:val="18"/>
                <w:szCs w:val="18"/>
                <w:lang w:val="fr-CH"/>
              </w:rPr>
              <w:t>1</w:t>
            </w:r>
          </w:p>
        </w:tc>
        <w:tc>
          <w:tcPr>
            <w:tcW w:w="6378" w:type="dxa"/>
          </w:tcPr>
          <w:p w:rsidR="00FA181E" w:rsidRPr="00B1373C" w:rsidRDefault="00FA181E" w:rsidP="00E76CE8">
            <w:pPr>
              <w:pStyle w:val="Tabletext"/>
              <w:rPr>
                <w:sz w:val="18"/>
                <w:szCs w:val="18"/>
                <w:lang w:val="en-US"/>
              </w:rPr>
            </w:pPr>
            <w:r w:rsidRPr="00B1373C">
              <w:rPr>
                <w:sz w:val="18"/>
                <w:szCs w:val="18"/>
                <w:lang w:val="fr-CH"/>
              </w:rPr>
              <w:t>Opérateurs de téléphonie mobile</w:t>
            </w:r>
          </w:p>
        </w:tc>
        <w:tc>
          <w:tcPr>
            <w:tcW w:w="1749" w:type="dxa"/>
          </w:tcPr>
          <w:p w:rsidR="00FA181E" w:rsidRPr="00B1373C" w:rsidRDefault="00FA181E" w:rsidP="00B1373C">
            <w:pPr>
              <w:pStyle w:val="Tabletext"/>
              <w:tabs>
                <w:tab w:val="clear" w:pos="1418"/>
                <w:tab w:val="left" w:pos="1168"/>
              </w:tabs>
              <w:ind w:right="365"/>
              <w:jc w:val="right"/>
              <w:rPr>
                <w:sz w:val="18"/>
                <w:szCs w:val="18"/>
                <w:lang w:val="en-US"/>
              </w:rPr>
            </w:pPr>
            <w:r w:rsidRPr="00B1373C">
              <w:rPr>
                <w:sz w:val="18"/>
                <w:szCs w:val="18"/>
                <w:lang w:val="fr-CH"/>
              </w:rPr>
              <w:t>1 285</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en-US"/>
              </w:rPr>
            </w:pPr>
            <w:r w:rsidRPr="00B1373C">
              <w:rPr>
                <w:sz w:val="18"/>
                <w:szCs w:val="18"/>
                <w:lang w:val="en-US"/>
              </w:rPr>
              <w:t>2</w:t>
            </w:r>
          </w:p>
        </w:tc>
        <w:tc>
          <w:tcPr>
            <w:tcW w:w="6378" w:type="dxa"/>
          </w:tcPr>
          <w:p w:rsidR="00FA181E" w:rsidRPr="00B1373C" w:rsidRDefault="00FA181E" w:rsidP="00E76CE8">
            <w:pPr>
              <w:pStyle w:val="Tabletext"/>
              <w:rPr>
                <w:sz w:val="18"/>
                <w:szCs w:val="18"/>
                <w:lang w:val="en-US"/>
              </w:rPr>
            </w:pPr>
            <w:r w:rsidRPr="00B1373C">
              <w:rPr>
                <w:sz w:val="18"/>
                <w:szCs w:val="18"/>
                <w:lang w:val="fr-CH"/>
              </w:rPr>
              <w:t>Opérateurs de réseaux fixes</w:t>
            </w:r>
          </w:p>
        </w:tc>
        <w:tc>
          <w:tcPr>
            <w:tcW w:w="1749" w:type="dxa"/>
          </w:tcPr>
          <w:p w:rsidR="00FA181E" w:rsidRPr="00B1373C" w:rsidRDefault="00FA181E" w:rsidP="00B1373C">
            <w:pPr>
              <w:pStyle w:val="Tabletext"/>
              <w:tabs>
                <w:tab w:val="clear" w:pos="1418"/>
                <w:tab w:val="left" w:pos="1168"/>
              </w:tabs>
              <w:ind w:right="365"/>
              <w:jc w:val="right"/>
              <w:rPr>
                <w:sz w:val="18"/>
                <w:szCs w:val="18"/>
                <w:lang w:val="en-US"/>
              </w:rPr>
            </w:pPr>
            <w:r w:rsidRPr="00B1373C">
              <w:rPr>
                <w:sz w:val="18"/>
                <w:szCs w:val="18"/>
                <w:lang w:val="fr-CH"/>
              </w:rPr>
              <w:t>341</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en-US"/>
              </w:rPr>
            </w:pPr>
            <w:r w:rsidRPr="00B1373C">
              <w:rPr>
                <w:sz w:val="18"/>
                <w:szCs w:val="18"/>
                <w:lang w:val="en-US"/>
              </w:rPr>
              <w:t>3</w:t>
            </w:r>
          </w:p>
        </w:tc>
        <w:tc>
          <w:tcPr>
            <w:tcW w:w="6378" w:type="dxa"/>
          </w:tcPr>
          <w:p w:rsidR="00FA181E" w:rsidRPr="00B1373C" w:rsidRDefault="00FA181E" w:rsidP="00E76CE8">
            <w:pPr>
              <w:pStyle w:val="Tabletext"/>
              <w:rPr>
                <w:sz w:val="18"/>
                <w:szCs w:val="18"/>
                <w:lang w:val="en-US"/>
              </w:rPr>
            </w:pPr>
            <w:r w:rsidRPr="00B1373C">
              <w:rPr>
                <w:sz w:val="18"/>
                <w:szCs w:val="18"/>
                <w:lang w:val="fr-CH"/>
              </w:rPr>
              <w:t>Equipementiers réseaux</w:t>
            </w:r>
          </w:p>
        </w:tc>
        <w:tc>
          <w:tcPr>
            <w:tcW w:w="1749" w:type="dxa"/>
          </w:tcPr>
          <w:p w:rsidR="00FA181E" w:rsidRPr="00B1373C" w:rsidRDefault="00FA181E" w:rsidP="00B1373C">
            <w:pPr>
              <w:pStyle w:val="Tabletext"/>
              <w:tabs>
                <w:tab w:val="clear" w:pos="1418"/>
                <w:tab w:val="left" w:pos="1168"/>
              </w:tabs>
              <w:ind w:right="365"/>
              <w:jc w:val="right"/>
              <w:rPr>
                <w:sz w:val="18"/>
                <w:szCs w:val="18"/>
                <w:lang w:val="en-US"/>
              </w:rPr>
            </w:pPr>
            <w:r w:rsidRPr="00B1373C">
              <w:rPr>
                <w:sz w:val="18"/>
                <w:szCs w:val="18"/>
                <w:lang w:val="fr-CH"/>
              </w:rPr>
              <w:t>783</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en-US"/>
              </w:rPr>
            </w:pPr>
            <w:r w:rsidRPr="00B1373C">
              <w:rPr>
                <w:sz w:val="18"/>
                <w:szCs w:val="18"/>
                <w:lang w:val="en-US"/>
              </w:rPr>
              <w:t>4</w:t>
            </w:r>
          </w:p>
        </w:tc>
        <w:tc>
          <w:tcPr>
            <w:tcW w:w="6378" w:type="dxa"/>
          </w:tcPr>
          <w:p w:rsidR="00FA181E" w:rsidRPr="00B1373C" w:rsidRDefault="00FA181E" w:rsidP="00E76CE8">
            <w:pPr>
              <w:pStyle w:val="Tabletext"/>
              <w:rPr>
                <w:sz w:val="18"/>
                <w:szCs w:val="18"/>
                <w:lang w:val="fr-CH"/>
              </w:rPr>
            </w:pPr>
            <w:r w:rsidRPr="00B1373C">
              <w:rPr>
                <w:sz w:val="18"/>
                <w:szCs w:val="18"/>
                <w:lang w:val="fr-CH"/>
              </w:rPr>
              <w:t>Concepteurs et distributeurs d'appareils téléphoniques</w:t>
            </w:r>
          </w:p>
        </w:tc>
        <w:tc>
          <w:tcPr>
            <w:tcW w:w="1749" w:type="dxa"/>
          </w:tcPr>
          <w:p w:rsidR="00FA181E" w:rsidRPr="00B1373C" w:rsidRDefault="00FA181E" w:rsidP="00B1373C">
            <w:pPr>
              <w:pStyle w:val="Tabletext"/>
              <w:tabs>
                <w:tab w:val="clear" w:pos="1418"/>
                <w:tab w:val="left" w:pos="1168"/>
              </w:tabs>
              <w:ind w:right="365"/>
              <w:jc w:val="right"/>
              <w:rPr>
                <w:sz w:val="18"/>
                <w:szCs w:val="18"/>
                <w:lang w:val="fr-CH"/>
              </w:rPr>
            </w:pPr>
            <w:r w:rsidRPr="00B1373C">
              <w:rPr>
                <w:sz w:val="18"/>
                <w:szCs w:val="18"/>
                <w:lang w:val="fr-CH"/>
              </w:rPr>
              <w:t>7 045</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fr-CH"/>
              </w:rPr>
            </w:pPr>
            <w:r w:rsidRPr="00B1373C">
              <w:rPr>
                <w:sz w:val="18"/>
                <w:szCs w:val="18"/>
                <w:lang w:val="fr-CH"/>
              </w:rPr>
              <w:t>5</w:t>
            </w:r>
          </w:p>
        </w:tc>
        <w:tc>
          <w:tcPr>
            <w:tcW w:w="6378" w:type="dxa"/>
          </w:tcPr>
          <w:p w:rsidR="00FA181E" w:rsidRPr="00B1373C" w:rsidRDefault="00FA181E" w:rsidP="00E76CE8">
            <w:pPr>
              <w:pStyle w:val="Tabletext"/>
              <w:rPr>
                <w:sz w:val="18"/>
                <w:szCs w:val="18"/>
                <w:lang w:val="fr-CH"/>
              </w:rPr>
            </w:pPr>
            <w:r w:rsidRPr="00B1373C">
              <w:rPr>
                <w:sz w:val="18"/>
                <w:szCs w:val="18"/>
                <w:lang w:val="fr-CH"/>
              </w:rPr>
              <w:t>Autres fournisseurs de biens d'équipement</w:t>
            </w:r>
          </w:p>
        </w:tc>
        <w:tc>
          <w:tcPr>
            <w:tcW w:w="1749" w:type="dxa"/>
          </w:tcPr>
          <w:p w:rsidR="00FA181E" w:rsidRPr="00B1373C" w:rsidRDefault="00FA181E" w:rsidP="00B1373C">
            <w:pPr>
              <w:pStyle w:val="Tabletext"/>
              <w:tabs>
                <w:tab w:val="clear" w:pos="1418"/>
                <w:tab w:val="left" w:pos="1168"/>
              </w:tabs>
              <w:ind w:right="365"/>
              <w:jc w:val="right"/>
              <w:rPr>
                <w:sz w:val="18"/>
                <w:szCs w:val="18"/>
                <w:lang w:val="fr-CH"/>
              </w:rPr>
            </w:pPr>
            <w:r w:rsidRPr="00B1373C">
              <w:rPr>
                <w:sz w:val="18"/>
                <w:szCs w:val="18"/>
                <w:lang w:val="fr-CH"/>
              </w:rPr>
              <w:t>244</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fr-CH"/>
              </w:rPr>
            </w:pPr>
            <w:r w:rsidRPr="00B1373C">
              <w:rPr>
                <w:sz w:val="18"/>
                <w:szCs w:val="18"/>
                <w:lang w:val="fr-CH"/>
              </w:rPr>
              <w:t>6</w:t>
            </w:r>
          </w:p>
        </w:tc>
        <w:tc>
          <w:tcPr>
            <w:tcW w:w="6378" w:type="dxa"/>
          </w:tcPr>
          <w:p w:rsidR="00FA181E" w:rsidRPr="00B1373C" w:rsidRDefault="00FA181E" w:rsidP="00E76CE8">
            <w:pPr>
              <w:pStyle w:val="Tabletext"/>
              <w:rPr>
                <w:sz w:val="18"/>
                <w:szCs w:val="18"/>
                <w:lang w:val="fr-CH"/>
              </w:rPr>
            </w:pPr>
            <w:r w:rsidRPr="00B1373C">
              <w:rPr>
                <w:sz w:val="18"/>
                <w:szCs w:val="18"/>
                <w:lang w:val="fr-CH"/>
              </w:rPr>
              <w:t>Prestataires de services d'appui</w:t>
            </w:r>
          </w:p>
        </w:tc>
        <w:tc>
          <w:tcPr>
            <w:tcW w:w="1749" w:type="dxa"/>
          </w:tcPr>
          <w:p w:rsidR="00FA181E" w:rsidRPr="00B1373C" w:rsidRDefault="00FA181E" w:rsidP="00B1373C">
            <w:pPr>
              <w:pStyle w:val="Tabletext"/>
              <w:tabs>
                <w:tab w:val="clear" w:pos="1418"/>
                <w:tab w:val="left" w:pos="1168"/>
              </w:tabs>
              <w:ind w:right="365"/>
              <w:jc w:val="right"/>
              <w:rPr>
                <w:sz w:val="18"/>
                <w:szCs w:val="18"/>
                <w:lang w:val="fr-CH"/>
              </w:rPr>
            </w:pPr>
            <w:r w:rsidRPr="00B1373C">
              <w:rPr>
                <w:sz w:val="18"/>
                <w:szCs w:val="18"/>
                <w:lang w:val="fr-CH"/>
              </w:rPr>
              <w:t>14 725</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fr-CH"/>
              </w:rPr>
            </w:pPr>
            <w:r w:rsidRPr="00B1373C">
              <w:rPr>
                <w:sz w:val="18"/>
                <w:szCs w:val="18"/>
                <w:lang w:val="fr-CH"/>
              </w:rPr>
              <w:t>7</w:t>
            </w:r>
          </w:p>
        </w:tc>
        <w:tc>
          <w:tcPr>
            <w:tcW w:w="6378" w:type="dxa"/>
          </w:tcPr>
          <w:p w:rsidR="00FA181E" w:rsidRPr="00B1373C" w:rsidRDefault="00FA181E" w:rsidP="00E76CE8">
            <w:pPr>
              <w:pStyle w:val="Tabletext"/>
              <w:rPr>
                <w:sz w:val="18"/>
                <w:szCs w:val="18"/>
                <w:lang w:val="fr-CH"/>
              </w:rPr>
            </w:pPr>
            <w:r w:rsidRPr="00B1373C">
              <w:rPr>
                <w:sz w:val="18"/>
                <w:szCs w:val="18"/>
                <w:lang w:val="fr-CH"/>
              </w:rPr>
              <w:t>Fournisseurs de temps de communication, opérateurs de publiphones</w:t>
            </w:r>
          </w:p>
        </w:tc>
        <w:tc>
          <w:tcPr>
            <w:tcW w:w="1749" w:type="dxa"/>
          </w:tcPr>
          <w:p w:rsidR="00FA181E" w:rsidRPr="00B1373C" w:rsidRDefault="00FA181E" w:rsidP="00B1373C">
            <w:pPr>
              <w:pStyle w:val="Tabletext"/>
              <w:tabs>
                <w:tab w:val="clear" w:pos="1418"/>
                <w:tab w:val="left" w:pos="1168"/>
              </w:tabs>
              <w:ind w:right="365"/>
              <w:jc w:val="right"/>
              <w:rPr>
                <w:sz w:val="18"/>
                <w:szCs w:val="18"/>
                <w:lang w:val="fr-CH"/>
              </w:rPr>
            </w:pPr>
            <w:r w:rsidRPr="00B1373C">
              <w:rPr>
                <w:sz w:val="18"/>
                <w:szCs w:val="18"/>
                <w:lang w:val="fr-CH"/>
              </w:rPr>
              <w:t>101 141</w:t>
            </w:r>
          </w:p>
        </w:tc>
      </w:tr>
      <w:tr w:rsidR="00FA181E" w:rsidRPr="00B1373C" w:rsidTr="00DC14FC">
        <w:trPr>
          <w:jc w:val="center"/>
        </w:trPr>
        <w:tc>
          <w:tcPr>
            <w:tcW w:w="475" w:type="dxa"/>
          </w:tcPr>
          <w:p w:rsidR="00FA181E" w:rsidRPr="00B1373C" w:rsidRDefault="00FA181E" w:rsidP="00B1373C">
            <w:pPr>
              <w:pStyle w:val="Tabletext"/>
              <w:jc w:val="center"/>
              <w:rPr>
                <w:sz w:val="18"/>
                <w:szCs w:val="18"/>
                <w:lang w:val="fr-CH"/>
              </w:rPr>
            </w:pPr>
          </w:p>
        </w:tc>
        <w:tc>
          <w:tcPr>
            <w:tcW w:w="6378" w:type="dxa"/>
          </w:tcPr>
          <w:p w:rsidR="00FA181E" w:rsidRPr="00B1373C" w:rsidRDefault="00FA181E" w:rsidP="00E76CE8">
            <w:pPr>
              <w:pStyle w:val="Tabletext"/>
              <w:rPr>
                <w:sz w:val="18"/>
                <w:szCs w:val="18"/>
                <w:lang w:val="fr-CH"/>
              </w:rPr>
            </w:pPr>
            <w:r w:rsidRPr="00B1373C">
              <w:rPr>
                <w:sz w:val="18"/>
                <w:szCs w:val="18"/>
                <w:lang w:val="en-US"/>
              </w:rPr>
              <w:t>TOTAL</w:t>
            </w:r>
          </w:p>
        </w:tc>
        <w:tc>
          <w:tcPr>
            <w:tcW w:w="1749" w:type="dxa"/>
          </w:tcPr>
          <w:p w:rsidR="00FA181E" w:rsidRPr="00B1373C" w:rsidRDefault="00FA181E" w:rsidP="00B1373C">
            <w:pPr>
              <w:pStyle w:val="Tabletext"/>
              <w:tabs>
                <w:tab w:val="clear" w:pos="1418"/>
                <w:tab w:val="left" w:pos="1168"/>
              </w:tabs>
              <w:ind w:right="365"/>
              <w:jc w:val="right"/>
              <w:rPr>
                <w:sz w:val="18"/>
                <w:szCs w:val="18"/>
                <w:lang w:val="fr-CH"/>
              </w:rPr>
            </w:pPr>
            <w:r w:rsidRPr="00B1373C">
              <w:rPr>
                <w:sz w:val="18"/>
                <w:szCs w:val="18"/>
                <w:lang w:val="en-US"/>
              </w:rPr>
              <w:t>125 564</w:t>
            </w:r>
          </w:p>
        </w:tc>
      </w:tr>
    </w:tbl>
    <w:p w:rsidR="00B1373C" w:rsidRPr="00B1373C" w:rsidRDefault="00B1373C" w:rsidP="00B1373C">
      <w:pPr>
        <w:pStyle w:val="FigureSource"/>
        <w:rPr>
          <w:sz w:val="18"/>
          <w:szCs w:val="18"/>
        </w:rPr>
      </w:pPr>
    </w:p>
    <w:p w:rsidR="00FA181E" w:rsidRPr="00B56515" w:rsidRDefault="00FA181E" w:rsidP="00FA181E">
      <w:pPr>
        <w:pStyle w:val="Heading2"/>
      </w:pPr>
      <w:r w:rsidRPr="00B56515">
        <w:t>3.3</w:t>
      </w:r>
      <w:r w:rsidRPr="00B56515">
        <w:tab/>
        <w:t xml:space="preserve">Incidences de </w:t>
      </w:r>
      <w:proofErr w:type="spellStart"/>
      <w:r w:rsidRPr="00B56515">
        <w:t>l'Internet</w:t>
      </w:r>
      <w:proofErr w:type="spellEnd"/>
      <w:r w:rsidRPr="00B56515">
        <w:t xml:space="preserve"> </w:t>
      </w:r>
    </w:p>
    <w:p w:rsidR="00FA181E" w:rsidRPr="00FA181E" w:rsidRDefault="00FA181E" w:rsidP="00FA181E">
      <w:pPr>
        <w:rPr>
          <w:rFonts w:asciiTheme="majorBidi" w:hAnsiTheme="majorBidi" w:cstheme="majorBidi"/>
          <w:lang w:val="fr-FR" w:eastAsia="fr-FR"/>
        </w:rPr>
      </w:pPr>
      <w:r w:rsidRPr="00FA181E">
        <w:rPr>
          <w:rFonts w:asciiTheme="majorBidi" w:hAnsiTheme="majorBidi" w:cstheme="majorBidi"/>
          <w:lang w:val="fr-FR"/>
        </w:rPr>
        <w:t xml:space="preserve">Depuis la libéralisation des </w:t>
      </w:r>
      <w:r w:rsidRPr="00FA181E">
        <w:rPr>
          <w:rFonts w:asciiTheme="majorBidi" w:hAnsiTheme="majorBidi" w:cstheme="majorBidi"/>
          <w:szCs w:val="24"/>
          <w:lang w:val="fr-FR"/>
        </w:rPr>
        <w:t>télécommunications</w:t>
      </w:r>
      <w:r w:rsidRPr="00FA181E">
        <w:rPr>
          <w:rFonts w:asciiTheme="majorBidi" w:hAnsiTheme="majorBidi" w:cstheme="majorBidi"/>
          <w:lang w:val="fr-FR"/>
        </w:rPr>
        <w:t>, le développement de l'Internet a eu des répercussions inégales entre pays développés et pays en développement. En effet, si le nombre estimatif d'internautes continue d'augmenter rapidement à travers le monde, les taux de pénétration dans les pays en développement demeurent peu élevés, l'Afrique ayant à cet égard le taux le plus bas (de l'ordre de 0,82 à 2,03) selon l'Indice de développement de l'UIT, puisque moins de 5% de la population utilise Internet, contre moins de 15% en Asie et 43 et 44% respectivement en Europe et dans la région Amériques</w:t>
      </w:r>
      <w:r w:rsidRPr="00FA181E">
        <w:rPr>
          <w:rFonts w:asciiTheme="majorBidi" w:hAnsiTheme="majorBidi" w:cstheme="majorBidi"/>
          <w:lang w:val="fr-FR" w:eastAsia="fr-FR"/>
        </w:rPr>
        <w:t xml:space="preserve">. Les </w:t>
      </w:r>
      <w:r w:rsidRPr="00FA181E">
        <w:rPr>
          <w:rFonts w:asciiTheme="majorBidi" w:hAnsiTheme="majorBidi" w:cstheme="majorBidi"/>
          <w:lang w:val="fr-FR"/>
        </w:rPr>
        <w:t>fournisseurs de services</w:t>
      </w:r>
      <w:r w:rsidRPr="00FA181E">
        <w:rPr>
          <w:rFonts w:asciiTheme="majorBidi" w:hAnsiTheme="majorBidi" w:cstheme="majorBidi"/>
          <w:lang w:val="fr-FR" w:eastAsia="fr-FR"/>
        </w:rPr>
        <w:t xml:space="preserve"> Internet et, d'une manière générale, les </w:t>
      </w:r>
      <w:r w:rsidRPr="00FA181E">
        <w:rPr>
          <w:rFonts w:asciiTheme="majorBidi" w:hAnsiTheme="majorBidi" w:cstheme="majorBidi"/>
          <w:lang w:val="fr-FR"/>
        </w:rPr>
        <w:t>fournisseurs de services</w:t>
      </w:r>
      <w:r w:rsidRPr="00FA181E">
        <w:rPr>
          <w:rFonts w:asciiTheme="majorBidi" w:hAnsiTheme="majorBidi" w:cstheme="majorBidi"/>
          <w:lang w:val="fr-FR" w:eastAsia="fr-FR"/>
        </w:rPr>
        <w:t xml:space="preserve"> d'informations en ligne, figurent au nombre des entreprises qui ont enregistré un développement relativement rapide, en particulier dans les pays les plus avancés, et ont créé un nombre d'emplois significatif. Par ailleurs, la libéralisation a stimulé la concurrence sur le marché des services d'assistance informatique, offrant ainsi de nouveaux débouchés aux informaticiens ou aux techniciens récemment diplômés ou ayant suivi une formation continue. </w:t>
      </w:r>
    </w:p>
    <w:p w:rsidR="00FA181E" w:rsidRPr="00FA181E" w:rsidRDefault="00FA181E" w:rsidP="00FA181E">
      <w:pPr>
        <w:rPr>
          <w:rFonts w:asciiTheme="majorBidi" w:hAnsiTheme="majorBidi" w:cstheme="majorBidi"/>
          <w:lang w:val="fr-FR" w:eastAsia="fr-FR"/>
        </w:rPr>
      </w:pPr>
      <w:r w:rsidRPr="00FA181E">
        <w:rPr>
          <w:rFonts w:asciiTheme="majorBidi" w:hAnsiTheme="majorBidi" w:cstheme="majorBidi"/>
          <w:lang w:val="fr-FR" w:eastAsia="fr-FR"/>
        </w:rPr>
        <w:lastRenderedPageBreak/>
        <w:t xml:space="preserve">Cependant, dans les pays développés, la création d'emplois a été freinée par le fait que plusieurs entreprises de communication, confrontées à des dettes irrécouvrables résultant de leurs projets d'expansion, ont dû vendre leurs actifs pour obtenir des liquidités ou se </w:t>
      </w:r>
      <w:r w:rsidRPr="000E4043">
        <w:rPr>
          <w:rFonts w:asciiTheme="majorBidi" w:hAnsiTheme="majorBidi" w:cstheme="majorBidi"/>
          <w:szCs w:val="22"/>
          <w:lang w:val="fr-FR" w:eastAsia="fr-FR"/>
        </w:rPr>
        <w:t xml:space="preserve">déclarer </w:t>
      </w:r>
      <w:hyperlink r:id="rId23" w:history="1">
        <w:r w:rsidRPr="000E4043">
          <w:rPr>
            <w:rStyle w:val="Hyperlink"/>
            <w:rFonts w:asciiTheme="majorBidi" w:hAnsiTheme="majorBidi" w:cstheme="majorBidi"/>
            <w:szCs w:val="22"/>
            <w:lang w:val="fr-FR" w:eastAsia="fr-FR"/>
          </w:rPr>
          <w:t>en faillite</w:t>
        </w:r>
      </w:hyperlink>
      <w:r w:rsidRPr="00FA181E">
        <w:rPr>
          <w:rFonts w:asciiTheme="majorBidi" w:hAnsiTheme="majorBidi" w:cstheme="majorBidi"/>
          <w:szCs w:val="24"/>
          <w:lang w:val="fr-FR" w:eastAsia="fr-FR"/>
        </w:rPr>
        <w:t xml:space="preserve"> à la</w:t>
      </w:r>
      <w:r w:rsidRPr="00FA181E">
        <w:rPr>
          <w:rFonts w:asciiTheme="majorBidi" w:hAnsiTheme="majorBidi" w:cstheme="majorBidi"/>
          <w:lang w:val="fr-FR" w:eastAsia="fr-FR"/>
        </w:rPr>
        <w:t xml:space="preserve"> suite de l'éclatement de la "bulle des </w:t>
      </w:r>
      <w:r w:rsidRPr="00FA181E">
        <w:rPr>
          <w:rFonts w:asciiTheme="majorBidi" w:hAnsiTheme="majorBidi" w:cstheme="majorBidi"/>
          <w:szCs w:val="24"/>
          <w:lang w:val="fr-FR" w:eastAsia="fr-FR"/>
        </w:rPr>
        <w:t>télécommunications</w:t>
      </w:r>
      <w:r w:rsidRPr="00FA181E">
        <w:rPr>
          <w:rFonts w:asciiTheme="majorBidi" w:hAnsiTheme="majorBidi" w:cstheme="majorBidi"/>
          <w:lang w:val="fr-FR" w:eastAsia="fr-FR"/>
        </w:rPr>
        <w:t>"</w:t>
      </w:r>
      <w:r w:rsidRPr="00FA181E">
        <w:rPr>
          <w:rFonts w:asciiTheme="majorBidi" w:hAnsiTheme="majorBidi" w:cstheme="majorBidi"/>
          <w:lang w:val="fr-FR"/>
        </w:rPr>
        <w:t xml:space="preserve"> (1995-2001). En dépit de cette période de crise, le secteur a bien résisté sur le plan de l'emploi. Ainsi, aux Etats-Unis, on recensait en 2006</w:t>
      </w:r>
      <w:r w:rsidRPr="002B31F7">
        <w:rPr>
          <w:rStyle w:val="FootnoteReference"/>
          <w:rFonts w:asciiTheme="majorBidi" w:hAnsiTheme="majorBidi" w:cstheme="majorBidi"/>
          <w:szCs w:val="16"/>
        </w:rPr>
        <w:footnoteReference w:id="12"/>
      </w:r>
      <w:r w:rsidR="00335207" w:rsidRPr="00E76CE8">
        <w:rPr>
          <w:lang w:val="fr-FR"/>
        </w:rPr>
        <w:t>,</w:t>
      </w:r>
      <w:r w:rsidR="00335207">
        <w:rPr>
          <w:sz w:val="16"/>
          <w:szCs w:val="16"/>
          <w:lang w:val="fr-FR"/>
        </w:rPr>
        <w:t xml:space="preserve"> </w:t>
      </w:r>
      <w:r w:rsidRPr="00FA181E">
        <w:rPr>
          <w:rFonts w:asciiTheme="majorBidi" w:hAnsiTheme="majorBidi" w:cstheme="majorBidi"/>
          <w:lang w:val="fr-FR"/>
        </w:rPr>
        <w:t>383 000 emplois salariés parmi les fournisseurs de services Internet, les entreprises spécialisées dans les portails de recherche sur le web et les prestataires de services de traitement de données. Les services liés au traitement des données et à l'hébergement de site et les services apparentés ont représenté près de 68% de ces emplois, les 32% restants étant occupés dans le secteur des fournisseurs de services Internet et dans des entreprises spécialisées dans les portails de recherche sur le web. Etant donné que les dépenses d'équipement afférentes à la fourniture de services d'hébergement de données sont relativement faibles et du fait de la répartition géographique des fournisseurs de services Internet, près de 94% des entreprises comptent moins de 50 employés et environ 65% ont moins de 5 employés. Les professions libérales et les emplois connexes (informaticiens, ingénieurs en logiciel par exemple, analystes-systèmes, programmeurs…) sont le groupe le plus important et ont représenté environ 41% des emplois salariés. Arrivent ensuite les emplois dans les services d'appui et administratifs, qui ont représenté près de 32% des emplois. Enfin, 17% des employés occupent des fonctions d'ordre commercial et financier ou de gestion.</w:t>
      </w:r>
    </w:p>
    <w:p w:rsidR="00FA181E" w:rsidRPr="00FA181E" w:rsidRDefault="00FA181E" w:rsidP="00FA181E">
      <w:pPr>
        <w:rPr>
          <w:rFonts w:asciiTheme="majorBidi" w:hAnsiTheme="majorBidi" w:cstheme="majorBidi"/>
          <w:lang w:val="fr-FR"/>
        </w:rPr>
      </w:pPr>
      <w:r w:rsidRPr="00FA181E">
        <w:rPr>
          <w:rFonts w:asciiTheme="majorBidi" w:hAnsiTheme="majorBidi" w:cstheme="majorBidi"/>
          <w:lang w:val="fr-FR"/>
        </w:rPr>
        <w:t>Au Pakistan</w:t>
      </w:r>
      <w:r w:rsidRPr="002B31F7">
        <w:rPr>
          <w:rStyle w:val="FootnoteReference"/>
          <w:rFonts w:asciiTheme="majorBidi" w:hAnsiTheme="majorBidi" w:cstheme="majorBidi"/>
          <w:szCs w:val="16"/>
        </w:rPr>
        <w:footnoteReference w:id="13"/>
      </w:r>
      <w:r w:rsidRPr="00FA181E">
        <w:rPr>
          <w:rFonts w:asciiTheme="majorBidi" w:hAnsiTheme="majorBidi" w:cstheme="majorBidi"/>
          <w:lang w:val="fr-FR"/>
        </w:rPr>
        <w:t xml:space="preserve">, la libéralisation de la fourniture de services Internet en 1995 a marqué un véritable tournant. Cent cinquante licences ont été octroyées à des fournisseurs de services Internet, dont environ 70 ont commencé à exercer leurs activités en fournissant des services d'accès direct par téléphone, mais en raison de l'insuffisance de la demande (imputable au manque de connaissance ainsi qu'au nombre limité et au coût élevé des ordinateurs personnels) et de la faiblesse des recettes moyennes par utilisateur (ARPU) dues à une concurrence particulièrement rude, presque tous les fournisseurs de services Internet ont cessé leurs activités, à l'exception de 5 qui offrent aujourd'hui des services large bande. En 2008, on estimait à environ 3 500 le nombre total d'employés travaillant pour le compte de fournisseurs de services Internet. </w:t>
      </w:r>
    </w:p>
    <w:p w:rsidR="00FA181E" w:rsidRPr="00B56515" w:rsidRDefault="00FA181E" w:rsidP="00FA181E">
      <w:pPr>
        <w:rPr>
          <w:rFonts w:asciiTheme="majorBidi" w:hAnsiTheme="majorBidi" w:cstheme="majorBidi"/>
          <w:lang w:val="fr-CH"/>
        </w:rPr>
      </w:pPr>
      <w:r w:rsidRPr="00FA181E">
        <w:rPr>
          <w:rFonts w:asciiTheme="majorBidi" w:hAnsiTheme="majorBidi" w:cstheme="majorBidi"/>
          <w:lang w:val="fr-FR"/>
        </w:rPr>
        <w:t xml:space="preserve">Plusieurs organisations ont lancé des initiatives dans le but de soutenir la croissance économique et le développement social grâce aux TIC. Ainsi, </w:t>
      </w:r>
      <w:r w:rsidRPr="00B56515">
        <w:rPr>
          <w:rFonts w:asciiTheme="majorBidi" w:hAnsiTheme="majorBidi" w:cstheme="majorBidi"/>
          <w:lang w:val="fr-CH"/>
        </w:rPr>
        <w:t xml:space="preserve">l'UIT a lancé avec la </w:t>
      </w:r>
      <w:r w:rsidRPr="00FA181E">
        <w:rPr>
          <w:rFonts w:asciiTheme="majorBidi" w:hAnsiTheme="majorBidi" w:cstheme="majorBidi"/>
          <w:lang w:val="fr-FR"/>
        </w:rPr>
        <w:t>Commission économique des Nations Unies pour l'Afrique la création de centres de formation pour favoriser le renforcement des capacités des jeunes diplômés</w:t>
      </w:r>
      <w:r w:rsidRPr="002B31F7">
        <w:rPr>
          <w:rStyle w:val="FootnoteReference"/>
          <w:rFonts w:asciiTheme="majorBidi" w:hAnsiTheme="majorBidi" w:cstheme="majorBidi"/>
          <w:szCs w:val="16"/>
        </w:rPr>
        <w:footnoteReference w:id="14"/>
      </w:r>
      <w:r w:rsidRPr="00FA181E">
        <w:rPr>
          <w:rFonts w:asciiTheme="majorBidi" w:hAnsiTheme="majorBidi" w:cstheme="majorBidi"/>
          <w:lang w:val="fr-FR"/>
        </w:rPr>
        <w:t>.</w:t>
      </w:r>
    </w:p>
    <w:p w:rsidR="00FA181E" w:rsidRPr="00FA181E" w:rsidRDefault="00FA181E" w:rsidP="00335207">
      <w:pPr>
        <w:pStyle w:val="Heading1"/>
        <w:spacing w:before="240"/>
        <w:rPr>
          <w:lang w:val="fr-FR"/>
        </w:rPr>
      </w:pPr>
      <w:r w:rsidRPr="00FA181E">
        <w:rPr>
          <w:lang w:val="fr-FR"/>
        </w:rPr>
        <w:t>4</w:t>
      </w:r>
      <w:r w:rsidRPr="00FA181E">
        <w:rPr>
          <w:lang w:val="fr-FR"/>
        </w:rPr>
        <w:tab/>
        <w:t>Approches stratégiques liées à l'emploi direct</w:t>
      </w:r>
    </w:p>
    <w:p w:rsidR="00FA181E" w:rsidRPr="00FA181E" w:rsidRDefault="00FA181E" w:rsidP="003805DA">
      <w:pPr>
        <w:rPr>
          <w:rFonts w:asciiTheme="majorBidi" w:hAnsiTheme="majorBidi" w:cstheme="majorBidi"/>
          <w:lang w:val="fr-FR" w:eastAsia="fr-FR"/>
        </w:rPr>
      </w:pPr>
      <w:r w:rsidRPr="00FA181E">
        <w:rPr>
          <w:rFonts w:asciiTheme="majorBidi" w:hAnsiTheme="majorBidi" w:cstheme="majorBidi"/>
          <w:lang w:val="fr-FR" w:eastAsia="fr-FR"/>
        </w:rPr>
        <w:t xml:space="preserve">D'un côté, la </w:t>
      </w:r>
      <w:r w:rsidRPr="00FA181E">
        <w:rPr>
          <w:rFonts w:asciiTheme="majorBidi" w:hAnsiTheme="majorBidi" w:cstheme="majorBidi"/>
          <w:lang w:val="fr-FR"/>
        </w:rPr>
        <w:t xml:space="preserve">structure des emplois dans une entreprise de télécommunications a évolué par le passé, généralement en fonction des caractéristiques technologiques des nouveaux équipements installés. Cependant, la mise en place d'équipements de commutation électroniques entraîne la suppression des tâches de contrôle et de vérification dont s'acquittaient les opérateurs téléphoniques et le personnel administratif. Selon un rapport publié par </w:t>
      </w:r>
      <w:r w:rsidRPr="00FA181E">
        <w:rPr>
          <w:rFonts w:asciiTheme="majorBidi" w:hAnsiTheme="majorBidi" w:cstheme="majorBidi"/>
          <w:lang w:val="fr-FR" w:eastAsia="fr-FR"/>
        </w:rPr>
        <w:t>Rada (1989)</w:t>
      </w:r>
      <w:r w:rsidRPr="00B56515">
        <w:rPr>
          <w:rStyle w:val="FootnoteReference"/>
          <w:rFonts w:asciiTheme="majorBidi" w:hAnsiTheme="majorBidi" w:cstheme="majorBidi"/>
          <w:szCs w:val="16"/>
          <w:lang w:eastAsia="fr-FR"/>
        </w:rPr>
        <w:footnoteReference w:id="15"/>
      </w:r>
      <w:r w:rsidRPr="00FA181E">
        <w:rPr>
          <w:rFonts w:asciiTheme="majorBidi" w:hAnsiTheme="majorBidi" w:cstheme="majorBidi"/>
          <w:lang w:val="fr-FR" w:eastAsia="fr-FR"/>
        </w:rPr>
        <w:t xml:space="preserve">, l'utilisation de systèmes électromécaniques nécessitait environ 15 à 20 employés pour 1 000 lignes, tandis qu'il n'en faut que quatre à cinq dans le cas de systèmes numériques, soit 4 fois moins. </w:t>
      </w:r>
      <w:r w:rsidRPr="00FA181E">
        <w:rPr>
          <w:rFonts w:asciiTheme="majorBidi" w:hAnsiTheme="majorBidi" w:cstheme="majorBidi"/>
          <w:lang w:val="fr-FR"/>
        </w:rPr>
        <w:t>En Argentine, la part des cadres de direction, de techniciens et de cadres dans le personnel a augmenté de 21,5% en 1976 à 30% en 1988, tandis que la part des opérateurs téléphoniques a diminué de 26% à 20%, pendant la même période. Le pourcentage de travailleurs manuels et de superviseurs ainsi que celui de personnel administratif est resté stable (environ 36% et 13% respectivement).</w:t>
      </w:r>
      <w:r w:rsidRPr="00FA181E">
        <w:rPr>
          <w:rFonts w:asciiTheme="majorBidi" w:hAnsiTheme="majorBidi" w:cstheme="majorBidi"/>
          <w:lang w:val="fr-FR" w:eastAsia="fr-FR"/>
        </w:rPr>
        <w:t xml:space="preserve"> </w:t>
      </w:r>
    </w:p>
    <w:p w:rsidR="00FA181E" w:rsidRPr="00FA181E" w:rsidRDefault="00FA181E" w:rsidP="00FA181E">
      <w:pPr>
        <w:rPr>
          <w:rFonts w:asciiTheme="majorBidi" w:hAnsiTheme="majorBidi" w:cstheme="majorBidi"/>
          <w:lang w:val="fr-FR" w:eastAsia="fr-FR"/>
        </w:rPr>
      </w:pPr>
      <w:r w:rsidRPr="00FA181E">
        <w:rPr>
          <w:rFonts w:asciiTheme="majorBidi" w:hAnsiTheme="majorBidi" w:cstheme="majorBidi"/>
          <w:lang w:val="fr-FR" w:eastAsia="fr-FR"/>
        </w:rPr>
        <w:t>Aujourd'hui, la libéralisation, la privatisation et la concurrence mondiale ont contribué à l'évolution technique rapide et ont sensiblement modifié la nature des emplois liés aux télécommunications</w:t>
      </w:r>
      <w:r w:rsidRPr="00B56515">
        <w:rPr>
          <w:rStyle w:val="FootnoteReference"/>
          <w:rFonts w:asciiTheme="majorBidi" w:hAnsiTheme="majorBidi" w:cstheme="majorBidi"/>
          <w:szCs w:val="16"/>
          <w:lang w:eastAsia="fr-FR"/>
        </w:rPr>
        <w:footnoteReference w:id="16"/>
      </w:r>
      <w:r w:rsidRPr="00FA181E">
        <w:rPr>
          <w:rFonts w:asciiTheme="majorBidi" w:hAnsiTheme="majorBidi" w:cstheme="majorBidi"/>
          <w:lang w:val="fr-FR" w:eastAsia="fr-FR"/>
        </w:rPr>
        <w:t xml:space="preserve">. En 2000, France Télécom indiquait qu'au cours des trois années précédentes, 31% de ses employés avaient pris de </w:t>
      </w:r>
      <w:r w:rsidRPr="00FA181E">
        <w:rPr>
          <w:rFonts w:asciiTheme="majorBidi" w:hAnsiTheme="majorBidi" w:cstheme="majorBidi"/>
          <w:lang w:val="fr-FR" w:eastAsia="fr-FR"/>
        </w:rPr>
        <w:lastRenderedPageBreak/>
        <w:t xml:space="preserve">nouveaux emplois dans le domaine du marketing et des ventes, des </w:t>
      </w:r>
      <w:r w:rsidRPr="00FA181E">
        <w:rPr>
          <w:rFonts w:asciiTheme="majorBidi" w:hAnsiTheme="majorBidi" w:cstheme="majorBidi"/>
          <w:iCs/>
          <w:lang w:val="fr-FR" w:eastAsia="fr-FR"/>
        </w:rPr>
        <w:t>système</w:t>
      </w:r>
      <w:r w:rsidRPr="00FA181E">
        <w:rPr>
          <w:rFonts w:asciiTheme="majorBidi" w:hAnsiTheme="majorBidi" w:cstheme="majorBidi"/>
          <w:lang w:val="fr-FR" w:eastAsia="fr-FR"/>
        </w:rPr>
        <w:t xml:space="preserve">s hertziens ou des systèmes d'information. </w:t>
      </w:r>
      <w:proofErr w:type="spellStart"/>
      <w:r w:rsidRPr="00FA181E">
        <w:rPr>
          <w:rFonts w:asciiTheme="majorBidi" w:hAnsiTheme="majorBidi" w:cstheme="majorBidi"/>
          <w:lang w:val="fr-FR" w:eastAsia="fr-FR"/>
        </w:rPr>
        <w:t>Energis</w:t>
      </w:r>
      <w:proofErr w:type="spellEnd"/>
      <w:r w:rsidRPr="00FA181E">
        <w:rPr>
          <w:rFonts w:asciiTheme="majorBidi" w:hAnsiTheme="majorBidi" w:cstheme="majorBidi"/>
          <w:lang w:val="fr-FR" w:eastAsia="fr-FR"/>
        </w:rPr>
        <w:t xml:space="preserve"> (</w:t>
      </w:r>
      <w:proofErr w:type="spellStart"/>
      <w:r w:rsidRPr="00FA181E">
        <w:rPr>
          <w:rFonts w:asciiTheme="majorBidi" w:hAnsiTheme="majorBidi" w:cstheme="majorBidi"/>
          <w:lang w:val="fr-FR" w:eastAsia="fr-FR"/>
        </w:rPr>
        <w:t>Royaume</w:t>
      </w:r>
      <w:r w:rsidRPr="00FA181E">
        <w:rPr>
          <w:rFonts w:asciiTheme="majorBidi" w:hAnsiTheme="majorBidi" w:cstheme="majorBidi"/>
          <w:lang w:val="fr-FR" w:eastAsia="fr-FR"/>
        </w:rPr>
        <w:noBreakHyphen/>
        <w:t>Uni</w:t>
      </w:r>
      <w:proofErr w:type="spellEnd"/>
      <w:r w:rsidRPr="00FA181E">
        <w:rPr>
          <w:rFonts w:asciiTheme="majorBidi" w:hAnsiTheme="majorBidi" w:cstheme="majorBidi"/>
          <w:lang w:val="fr-FR" w:eastAsia="fr-FR"/>
        </w:rPr>
        <w:t xml:space="preserve">) a annoncé que pas moins de 50% de ses employés travaillent dans le secteur des ventes et du marketing. </w:t>
      </w:r>
    </w:p>
    <w:p w:rsidR="00FA181E" w:rsidRPr="00FA181E" w:rsidRDefault="00FA181E" w:rsidP="00EF6E12">
      <w:pPr>
        <w:spacing w:before="80"/>
        <w:rPr>
          <w:rFonts w:asciiTheme="majorBidi" w:hAnsiTheme="majorBidi" w:cstheme="majorBidi"/>
          <w:lang w:val="fr-FR" w:eastAsia="fr-FR"/>
        </w:rPr>
      </w:pPr>
      <w:r w:rsidRPr="00FA181E">
        <w:rPr>
          <w:rFonts w:asciiTheme="majorBidi" w:hAnsiTheme="majorBidi" w:cstheme="majorBidi"/>
          <w:lang w:val="fr-FR" w:eastAsia="fr-FR"/>
        </w:rPr>
        <w:t xml:space="preserve">Il est essentiel d'établir des prévisions au niveau national ou de l'entreprise pour identifier les changements à venir et les anticiper. Ainsi, aux Etats-Unis, le Bureau des statistiques du travail (BLS) mène régulièrement des études de ce genre dont il publie les résultats en ligne </w:t>
      </w:r>
      <w:r w:rsidRPr="000E4043">
        <w:rPr>
          <w:rFonts w:asciiTheme="majorBidi" w:hAnsiTheme="majorBidi" w:cstheme="majorBidi"/>
          <w:szCs w:val="22"/>
          <w:lang w:val="fr-FR" w:eastAsia="fr-FR"/>
        </w:rPr>
        <w:t>(</w:t>
      </w:r>
      <w:r w:rsidRPr="00F7025C">
        <w:rPr>
          <w:rStyle w:val="Hyperlink"/>
          <w:rFonts w:asciiTheme="majorBidi" w:hAnsiTheme="majorBidi" w:cstheme="majorBidi"/>
          <w:szCs w:val="22"/>
          <w:u w:val="none"/>
          <w:lang w:val="fr-FR"/>
        </w:rPr>
        <w:t>www.bls.gov</w:t>
      </w:r>
      <w:r w:rsidRPr="000E4043">
        <w:rPr>
          <w:rFonts w:asciiTheme="majorBidi" w:hAnsiTheme="majorBidi" w:cstheme="majorBidi"/>
          <w:szCs w:val="22"/>
          <w:lang w:val="fr-FR" w:eastAsia="fr-FR"/>
        </w:rPr>
        <w:t>). D'après</w:t>
      </w:r>
      <w:r w:rsidRPr="00FA181E">
        <w:rPr>
          <w:rFonts w:asciiTheme="majorBidi" w:hAnsiTheme="majorBidi" w:cstheme="majorBidi"/>
          <w:lang w:val="fr-FR" w:eastAsia="fr-FR"/>
        </w:rPr>
        <w:t xml:space="preserve"> une de ces études, présentée ci-dessous (voir le Tableau 2), une augmentation générale des effectifs de 23% était prévue entre 1998 et 2008. Toujours selon cette étude, on pouvait s'attendre à une érosion de la pyramide des âges, due en grande partie aux compressions de personnel effectuées et à l'arrivée sur le marché d'employés plus jeunes. En outre, on prévoyait une forte diminution de la moyenne d'âge, qui était pourtant traditionnellement élevée dans les entreprises publiques. Dans son étude, le BLS anticipait également une baisse de 31% du nombre d'opérateurs des renseignements téléphoniques (23 000 en 1998), de 34% du nombre d'installateurs et réparateurs d'équipements (24 000 en 1998) et de 23% du nombre d'employés de bureau (28 000 en 1998). En revanche, une hausse de 61% du nombre d'employés et de techniciens s'occupant des systèmes informatiques et de 37% du nombre d'employés dans le domaine du marketing et des ventes était anticipée pour cette même période. </w:t>
      </w:r>
    </w:p>
    <w:p w:rsidR="00C82AF3" w:rsidRPr="00FA181E" w:rsidRDefault="00FA181E" w:rsidP="00EF6E12">
      <w:pPr>
        <w:spacing w:before="80"/>
        <w:rPr>
          <w:lang w:val="fr-FR"/>
        </w:rPr>
      </w:pPr>
      <w:r w:rsidRPr="00FA181E">
        <w:rPr>
          <w:rFonts w:asciiTheme="majorBidi" w:hAnsiTheme="majorBidi" w:cstheme="majorBidi"/>
          <w:lang w:val="fr-FR" w:eastAsia="fr-FR"/>
        </w:rPr>
        <w:t>Des études analogues ont également été effectuées régulièrement par l'Union européenne. Ainsi, l'étude réalisée en 2000 dans le cadre du projet de l'Union européenne "Analyse des obstacles au développement du plein potentiel d'emploi dans le secteur des télécommunications"</w:t>
      </w:r>
      <w:r w:rsidRPr="00B56515">
        <w:rPr>
          <w:rStyle w:val="FootnoteReference"/>
          <w:rFonts w:asciiTheme="majorBidi" w:hAnsiTheme="majorBidi" w:cstheme="majorBidi"/>
          <w:szCs w:val="16"/>
          <w:lang w:eastAsia="fr-FR"/>
        </w:rPr>
        <w:footnoteReference w:id="17"/>
      </w:r>
      <w:r w:rsidRPr="00FA181E">
        <w:rPr>
          <w:rFonts w:asciiTheme="majorBidi" w:hAnsiTheme="majorBidi" w:cstheme="majorBidi"/>
          <w:lang w:val="fr-FR" w:eastAsia="fr-FR"/>
        </w:rPr>
        <w:t xml:space="preserve"> portait sur les besoins de compétences et les incidences en termes de formation pour les spécialistes très qualifiés dans le secteur des télécommunications (Tableau 3). Le résumé des conclusions de cette étude est présenté sous la forme d'un tableau. Cette étude a fait apparaître un relèvement général du niveau des qualifications. Pour ce qui est des emplois administratifs et techniques, la tendance a été à la professionnalisation du personnel, les professions les plus recherchées étant les ingénieurs en général et les économistes (diplômes universitaires en économie, gestion du personnel ou comptabilité).</w:t>
      </w:r>
    </w:p>
    <w:p w:rsidR="00B40DE5" w:rsidRPr="00EF6E12" w:rsidRDefault="00B40DE5" w:rsidP="00834AF2">
      <w:pPr>
        <w:rPr>
          <w:sz w:val="8"/>
          <w:szCs w:val="8"/>
          <w:lang w:val="fr-FR"/>
        </w:rPr>
      </w:pPr>
    </w:p>
    <w:p w:rsidR="00834AF2" w:rsidRPr="00A81DF2" w:rsidRDefault="00006F0A" w:rsidP="00EF6E12">
      <w:pPr>
        <w:pStyle w:val="FigureTitle"/>
        <w:spacing w:after="40"/>
        <w:rPr>
          <w:lang w:val="fr-FR"/>
        </w:rPr>
      </w:pPr>
      <w:r w:rsidRPr="00A81DF2">
        <w:rPr>
          <w:lang w:val="fr-FR"/>
        </w:rPr>
        <w:t>Table</w:t>
      </w:r>
      <w:r w:rsidR="00A81DF2" w:rsidRPr="00A81DF2">
        <w:rPr>
          <w:lang w:val="fr-FR" w:eastAsia="fr-FR"/>
        </w:rPr>
        <w:t>au 2 – Evolution de l'emploi aux Etats-Unis</w:t>
      </w:r>
    </w:p>
    <w:tbl>
      <w:tblPr>
        <w:tblW w:w="9606" w:type="dxa"/>
        <w:tblBorders>
          <w:top w:val="single" w:sz="4" w:space="0" w:color="auto"/>
          <w:bottom w:val="single" w:sz="4" w:space="0" w:color="auto"/>
          <w:insideH w:val="single" w:sz="4" w:space="0" w:color="auto"/>
        </w:tblBorders>
        <w:tblLook w:val="01E0"/>
      </w:tblPr>
      <w:tblGrid>
        <w:gridCol w:w="3804"/>
        <w:gridCol w:w="2953"/>
        <w:gridCol w:w="2849"/>
      </w:tblGrid>
      <w:tr w:rsidR="00A81DF2" w:rsidRPr="00C30982" w:rsidTr="00F81732">
        <w:tc>
          <w:tcPr>
            <w:tcW w:w="3804" w:type="dxa"/>
            <w:vAlign w:val="center"/>
          </w:tcPr>
          <w:p w:rsidR="00A81DF2" w:rsidRPr="00F81732" w:rsidRDefault="00A81DF2" w:rsidP="00DC14FC">
            <w:pPr>
              <w:pStyle w:val="Tablehead"/>
              <w:keepLines/>
              <w:rPr>
                <w:sz w:val="20"/>
              </w:rPr>
            </w:pPr>
            <w:proofErr w:type="spellStart"/>
            <w:r w:rsidRPr="00F81732">
              <w:rPr>
                <w:sz w:val="20"/>
              </w:rPr>
              <w:t>Catégorie</w:t>
            </w:r>
            <w:proofErr w:type="spellEnd"/>
            <w:r w:rsidRPr="00F81732">
              <w:rPr>
                <w:sz w:val="20"/>
              </w:rPr>
              <w:t xml:space="preserve"> </w:t>
            </w:r>
            <w:proofErr w:type="spellStart"/>
            <w:r w:rsidRPr="00F81732">
              <w:rPr>
                <w:sz w:val="20"/>
              </w:rPr>
              <w:t>professionnelle</w:t>
            </w:r>
            <w:proofErr w:type="spellEnd"/>
          </w:p>
        </w:tc>
        <w:tc>
          <w:tcPr>
            <w:tcW w:w="2953" w:type="dxa"/>
            <w:vAlign w:val="center"/>
          </w:tcPr>
          <w:p w:rsidR="00A81DF2" w:rsidRPr="00921A3F" w:rsidRDefault="00A81DF2" w:rsidP="00DC14FC">
            <w:pPr>
              <w:pStyle w:val="Tablehead"/>
              <w:keepLines/>
              <w:rPr>
                <w:sz w:val="20"/>
                <w:lang w:val="fr-FR"/>
              </w:rPr>
            </w:pPr>
            <w:r w:rsidRPr="00921A3F">
              <w:rPr>
                <w:sz w:val="20"/>
                <w:lang w:val="fr-FR"/>
              </w:rPr>
              <w:t xml:space="preserve">Nombre d'emplois </w:t>
            </w:r>
            <w:r w:rsidR="00921A3F" w:rsidRPr="00921A3F">
              <w:rPr>
                <w:sz w:val="20"/>
                <w:lang w:val="fr-FR"/>
              </w:rPr>
              <w:br/>
            </w:r>
            <w:r w:rsidRPr="00921A3F">
              <w:rPr>
                <w:sz w:val="20"/>
                <w:lang w:val="fr-FR"/>
              </w:rPr>
              <w:t>en 1998</w:t>
            </w:r>
          </w:p>
        </w:tc>
        <w:tc>
          <w:tcPr>
            <w:tcW w:w="2849" w:type="dxa"/>
            <w:vAlign w:val="center"/>
          </w:tcPr>
          <w:p w:rsidR="00A81DF2" w:rsidRPr="00F81732" w:rsidRDefault="00A81DF2" w:rsidP="00DC14FC">
            <w:pPr>
              <w:pStyle w:val="Tablehead"/>
              <w:keepLines/>
              <w:rPr>
                <w:sz w:val="20"/>
                <w:lang w:val="fr-FR"/>
              </w:rPr>
            </w:pPr>
            <w:r w:rsidRPr="00F81732">
              <w:rPr>
                <w:sz w:val="20"/>
                <w:lang w:val="fr-FR"/>
              </w:rPr>
              <w:t xml:space="preserve">Evolution prévue de 1998 </w:t>
            </w:r>
            <w:r w:rsidRPr="00F81732">
              <w:rPr>
                <w:sz w:val="20"/>
                <w:lang w:val="fr-FR"/>
              </w:rPr>
              <w:br/>
              <w:t>à 2008 (en %)</w:t>
            </w:r>
          </w:p>
        </w:tc>
      </w:tr>
      <w:tr w:rsidR="00A81DF2" w:rsidRPr="00921A3F" w:rsidTr="00E76CE8">
        <w:tc>
          <w:tcPr>
            <w:tcW w:w="3804" w:type="dxa"/>
          </w:tcPr>
          <w:p w:rsidR="00A81DF2" w:rsidRPr="00F81732" w:rsidRDefault="00A81DF2" w:rsidP="00DC14FC">
            <w:pPr>
              <w:pStyle w:val="Tabletext"/>
              <w:keepNext/>
              <w:keepLines/>
              <w:jc w:val="left"/>
              <w:rPr>
                <w:sz w:val="20"/>
                <w:lang w:val="fr-FR"/>
              </w:rPr>
            </w:pPr>
            <w:r w:rsidRPr="00F81732">
              <w:rPr>
                <w:sz w:val="20"/>
                <w:lang w:val="fr-FR"/>
              </w:rPr>
              <w:t>Personnel d'appui administratif et employés de bureau</w:t>
            </w:r>
          </w:p>
        </w:tc>
        <w:tc>
          <w:tcPr>
            <w:tcW w:w="2953" w:type="dxa"/>
            <w:tcMar>
              <w:right w:w="1134" w:type="dxa"/>
            </w:tcMar>
          </w:tcPr>
          <w:p w:rsidR="00A81DF2" w:rsidRPr="00921A3F" w:rsidRDefault="00A81DF2" w:rsidP="00DC14FC">
            <w:pPr>
              <w:pStyle w:val="Tabletext"/>
              <w:keepNext/>
              <w:keepLines/>
              <w:jc w:val="right"/>
              <w:rPr>
                <w:sz w:val="20"/>
                <w:lang w:val="fr-FR"/>
              </w:rPr>
            </w:pPr>
            <w:r w:rsidRPr="00921A3F">
              <w:rPr>
                <w:sz w:val="20"/>
                <w:lang w:val="fr-FR"/>
              </w:rPr>
              <w:t>354 000</w:t>
            </w:r>
          </w:p>
        </w:tc>
        <w:tc>
          <w:tcPr>
            <w:tcW w:w="2849" w:type="dxa"/>
          </w:tcPr>
          <w:p w:rsidR="00A81DF2" w:rsidRPr="00921A3F" w:rsidRDefault="00A81DF2" w:rsidP="00DC14FC">
            <w:pPr>
              <w:pStyle w:val="Tabletext"/>
              <w:keepNext/>
              <w:keepLines/>
              <w:jc w:val="right"/>
              <w:rPr>
                <w:sz w:val="20"/>
                <w:lang w:val="fr-FR"/>
              </w:rPr>
            </w:pPr>
            <w:r w:rsidRPr="00921A3F">
              <w:rPr>
                <w:sz w:val="20"/>
                <w:lang w:val="fr-FR"/>
              </w:rPr>
              <w:t>7,9</w:t>
            </w:r>
          </w:p>
        </w:tc>
      </w:tr>
      <w:tr w:rsidR="00A81DF2" w:rsidRPr="0077211D" w:rsidTr="00E76CE8">
        <w:tc>
          <w:tcPr>
            <w:tcW w:w="3804" w:type="dxa"/>
          </w:tcPr>
          <w:p w:rsidR="00A81DF2" w:rsidRPr="00F81732" w:rsidRDefault="00A81DF2" w:rsidP="00DC14FC">
            <w:pPr>
              <w:pStyle w:val="Tabletext"/>
              <w:keepNext/>
              <w:keepLines/>
              <w:jc w:val="left"/>
              <w:rPr>
                <w:sz w:val="20"/>
                <w:lang w:val="fr-FR"/>
              </w:rPr>
            </w:pPr>
            <w:r w:rsidRPr="00F81732">
              <w:rPr>
                <w:sz w:val="20"/>
                <w:lang w:val="fr-FR"/>
              </w:rPr>
              <w:t>Personnel de production, réalisation et réparation de précision</w:t>
            </w:r>
          </w:p>
        </w:tc>
        <w:tc>
          <w:tcPr>
            <w:tcW w:w="2953" w:type="dxa"/>
            <w:tcMar>
              <w:right w:w="1134" w:type="dxa"/>
            </w:tcMar>
          </w:tcPr>
          <w:p w:rsidR="00A81DF2" w:rsidRPr="00F81732" w:rsidRDefault="00A81DF2" w:rsidP="00DC14FC">
            <w:pPr>
              <w:pStyle w:val="Tabletext"/>
              <w:keepNext/>
              <w:keepLines/>
              <w:jc w:val="right"/>
              <w:rPr>
                <w:sz w:val="20"/>
              </w:rPr>
            </w:pPr>
            <w:r w:rsidRPr="00F81732">
              <w:rPr>
                <w:sz w:val="20"/>
              </w:rPr>
              <w:t>261 000</w:t>
            </w:r>
          </w:p>
        </w:tc>
        <w:tc>
          <w:tcPr>
            <w:tcW w:w="2849" w:type="dxa"/>
          </w:tcPr>
          <w:p w:rsidR="00A81DF2" w:rsidRPr="00F81732" w:rsidRDefault="00A81DF2" w:rsidP="00DC14FC">
            <w:pPr>
              <w:pStyle w:val="Tabletext"/>
              <w:keepNext/>
              <w:keepLines/>
              <w:jc w:val="right"/>
              <w:rPr>
                <w:sz w:val="20"/>
              </w:rPr>
            </w:pPr>
            <w:r w:rsidRPr="00F81732">
              <w:rPr>
                <w:sz w:val="20"/>
              </w:rPr>
              <w:t>23,0</w:t>
            </w:r>
          </w:p>
        </w:tc>
      </w:tr>
      <w:tr w:rsidR="00A81DF2" w:rsidRPr="0077211D" w:rsidTr="00E76CE8">
        <w:tc>
          <w:tcPr>
            <w:tcW w:w="3804" w:type="dxa"/>
          </w:tcPr>
          <w:p w:rsidR="00A81DF2" w:rsidRPr="00F81732" w:rsidRDefault="00A81DF2" w:rsidP="00DC14FC">
            <w:pPr>
              <w:pStyle w:val="Tabletext"/>
              <w:keepNext/>
              <w:keepLines/>
              <w:jc w:val="left"/>
              <w:rPr>
                <w:sz w:val="20"/>
                <w:lang w:val="fr-FR"/>
              </w:rPr>
            </w:pPr>
            <w:r w:rsidRPr="00F81732">
              <w:rPr>
                <w:sz w:val="20"/>
                <w:lang w:val="fr-FR"/>
              </w:rPr>
              <w:t>Cadres, personnel administratif et cadres dirigeants</w:t>
            </w:r>
          </w:p>
        </w:tc>
        <w:tc>
          <w:tcPr>
            <w:tcW w:w="2953" w:type="dxa"/>
            <w:tcMar>
              <w:right w:w="1134" w:type="dxa"/>
            </w:tcMar>
          </w:tcPr>
          <w:p w:rsidR="00A81DF2" w:rsidRPr="00F81732" w:rsidRDefault="00A81DF2" w:rsidP="00DC14FC">
            <w:pPr>
              <w:pStyle w:val="Tabletext"/>
              <w:keepNext/>
              <w:keepLines/>
              <w:jc w:val="right"/>
              <w:rPr>
                <w:sz w:val="20"/>
              </w:rPr>
            </w:pPr>
            <w:r w:rsidRPr="00F81732">
              <w:rPr>
                <w:sz w:val="20"/>
              </w:rPr>
              <w:t>165 000</w:t>
            </w:r>
          </w:p>
        </w:tc>
        <w:tc>
          <w:tcPr>
            <w:tcW w:w="2849" w:type="dxa"/>
          </w:tcPr>
          <w:p w:rsidR="00A81DF2" w:rsidRPr="00F81732" w:rsidRDefault="00A81DF2" w:rsidP="00DC14FC">
            <w:pPr>
              <w:pStyle w:val="Tabletext"/>
              <w:keepNext/>
              <w:keepLines/>
              <w:jc w:val="right"/>
              <w:rPr>
                <w:sz w:val="20"/>
              </w:rPr>
            </w:pPr>
            <w:r w:rsidRPr="00F81732">
              <w:rPr>
                <w:sz w:val="20"/>
              </w:rPr>
              <w:t>37,3</w:t>
            </w:r>
          </w:p>
        </w:tc>
      </w:tr>
      <w:tr w:rsidR="00A81DF2" w:rsidRPr="0077211D" w:rsidTr="00E76CE8">
        <w:tc>
          <w:tcPr>
            <w:tcW w:w="3804" w:type="dxa"/>
          </w:tcPr>
          <w:p w:rsidR="00A81DF2" w:rsidRPr="00F81732" w:rsidRDefault="00A81DF2" w:rsidP="00DC14FC">
            <w:pPr>
              <w:pStyle w:val="Tabletext"/>
              <w:keepNext/>
              <w:keepLines/>
              <w:jc w:val="left"/>
              <w:rPr>
                <w:sz w:val="20"/>
              </w:rPr>
            </w:pPr>
            <w:r w:rsidRPr="00F81732">
              <w:rPr>
                <w:sz w:val="20"/>
              </w:rPr>
              <w:t xml:space="preserve">Marketing et </w:t>
            </w:r>
            <w:proofErr w:type="spellStart"/>
            <w:r w:rsidRPr="00F81732">
              <w:rPr>
                <w:sz w:val="20"/>
              </w:rPr>
              <w:t>ventes</w:t>
            </w:r>
            <w:proofErr w:type="spellEnd"/>
          </w:p>
        </w:tc>
        <w:tc>
          <w:tcPr>
            <w:tcW w:w="2953" w:type="dxa"/>
            <w:tcMar>
              <w:right w:w="1134" w:type="dxa"/>
            </w:tcMar>
          </w:tcPr>
          <w:p w:rsidR="00A81DF2" w:rsidRPr="00F81732" w:rsidRDefault="00A81DF2" w:rsidP="00DC14FC">
            <w:pPr>
              <w:pStyle w:val="Tabletext"/>
              <w:keepNext/>
              <w:keepLines/>
              <w:jc w:val="right"/>
              <w:rPr>
                <w:sz w:val="20"/>
              </w:rPr>
            </w:pPr>
            <w:r w:rsidRPr="00F81732">
              <w:rPr>
                <w:sz w:val="20"/>
              </w:rPr>
              <w:t>109 000</w:t>
            </w:r>
          </w:p>
        </w:tc>
        <w:tc>
          <w:tcPr>
            <w:tcW w:w="2849" w:type="dxa"/>
          </w:tcPr>
          <w:p w:rsidR="00A81DF2" w:rsidRPr="00F81732" w:rsidRDefault="00A81DF2" w:rsidP="00DC14FC">
            <w:pPr>
              <w:pStyle w:val="Tabletext"/>
              <w:keepNext/>
              <w:keepLines/>
              <w:jc w:val="right"/>
              <w:rPr>
                <w:sz w:val="20"/>
              </w:rPr>
            </w:pPr>
            <w:r w:rsidRPr="00F81732">
              <w:rPr>
                <w:sz w:val="20"/>
              </w:rPr>
              <w:t>37,6</w:t>
            </w:r>
          </w:p>
        </w:tc>
      </w:tr>
      <w:tr w:rsidR="00A81DF2" w:rsidRPr="0077211D" w:rsidTr="00E76CE8">
        <w:tc>
          <w:tcPr>
            <w:tcW w:w="3804" w:type="dxa"/>
          </w:tcPr>
          <w:p w:rsidR="00A81DF2" w:rsidRPr="00F81732" w:rsidRDefault="00A81DF2" w:rsidP="00DC14FC">
            <w:pPr>
              <w:pStyle w:val="Tabletext"/>
              <w:keepNext/>
              <w:keepLines/>
              <w:jc w:val="left"/>
              <w:rPr>
                <w:sz w:val="20"/>
                <w:lang w:val="fr-FR"/>
              </w:rPr>
            </w:pPr>
            <w:r w:rsidRPr="00F81732">
              <w:rPr>
                <w:sz w:val="20"/>
                <w:lang w:val="fr-FR"/>
              </w:rPr>
              <w:t>Personnel spécialisé (employés s'occupant des systèmes informatiques et ingénieurs en électrotechnique/électronique)</w:t>
            </w:r>
          </w:p>
        </w:tc>
        <w:tc>
          <w:tcPr>
            <w:tcW w:w="2953" w:type="dxa"/>
            <w:tcMar>
              <w:right w:w="1134" w:type="dxa"/>
            </w:tcMar>
          </w:tcPr>
          <w:p w:rsidR="00A81DF2" w:rsidRPr="00F81732" w:rsidRDefault="00A81DF2" w:rsidP="00DC14FC">
            <w:pPr>
              <w:pStyle w:val="Tabletext"/>
              <w:keepNext/>
              <w:keepLines/>
              <w:jc w:val="right"/>
              <w:rPr>
                <w:sz w:val="20"/>
              </w:rPr>
            </w:pPr>
            <w:r w:rsidRPr="00F81732">
              <w:rPr>
                <w:sz w:val="20"/>
              </w:rPr>
              <w:t>95 000</w:t>
            </w:r>
          </w:p>
        </w:tc>
        <w:tc>
          <w:tcPr>
            <w:tcW w:w="2849" w:type="dxa"/>
          </w:tcPr>
          <w:p w:rsidR="00A81DF2" w:rsidRPr="00F81732" w:rsidRDefault="00A81DF2" w:rsidP="00DC14FC">
            <w:pPr>
              <w:pStyle w:val="Tabletext"/>
              <w:keepNext/>
              <w:keepLines/>
              <w:jc w:val="right"/>
              <w:rPr>
                <w:sz w:val="20"/>
              </w:rPr>
            </w:pPr>
            <w:r w:rsidRPr="00F81732">
              <w:rPr>
                <w:sz w:val="20"/>
              </w:rPr>
              <w:t>46,7</w:t>
            </w:r>
          </w:p>
        </w:tc>
      </w:tr>
      <w:tr w:rsidR="00A81DF2" w:rsidRPr="0077211D" w:rsidTr="00E76CE8">
        <w:tc>
          <w:tcPr>
            <w:tcW w:w="3804" w:type="dxa"/>
          </w:tcPr>
          <w:p w:rsidR="00A81DF2" w:rsidRPr="00F81732" w:rsidRDefault="00A81DF2" w:rsidP="00F81732">
            <w:pPr>
              <w:pStyle w:val="Tabletext"/>
              <w:jc w:val="left"/>
              <w:rPr>
                <w:sz w:val="20"/>
              </w:rPr>
            </w:pPr>
            <w:proofErr w:type="spellStart"/>
            <w:r w:rsidRPr="00F81732">
              <w:rPr>
                <w:sz w:val="20"/>
              </w:rPr>
              <w:t>Techniciens</w:t>
            </w:r>
            <w:proofErr w:type="spellEnd"/>
            <w:r w:rsidRPr="00F81732">
              <w:rPr>
                <w:sz w:val="20"/>
              </w:rPr>
              <w:t xml:space="preserve"> et </w:t>
            </w:r>
            <w:proofErr w:type="spellStart"/>
            <w:r w:rsidRPr="00F81732">
              <w:rPr>
                <w:sz w:val="20"/>
              </w:rPr>
              <w:t>emplois</w:t>
            </w:r>
            <w:proofErr w:type="spellEnd"/>
            <w:r w:rsidRPr="00F81732">
              <w:rPr>
                <w:sz w:val="20"/>
              </w:rPr>
              <w:t xml:space="preserve"> </w:t>
            </w:r>
            <w:proofErr w:type="spellStart"/>
            <w:r w:rsidRPr="00F81732">
              <w:rPr>
                <w:sz w:val="20"/>
              </w:rPr>
              <w:t>connexes</w:t>
            </w:r>
            <w:proofErr w:type="spellEnd"/>
          </w:p>
        </w:tc>
        <w:tc>
          <w:tcPr>
            <w:tcW w:w="2953" w:type="dxa"/>
            <w:tcMar>
              <w:right w:w="1134" w:type="dxa"/>
            </w:tcMar>
          </w:tcPr>
          <w:p w:rsidR="00A81DF2" w:rsidRPr="00F81732" w:rsidRDefault="00A81DF2" w:rsidP="00A41ED4">
            <w:pPr>
              <w:pStyle w:val="Tabletext"/>
              <w:jc w:val="right"/>
              <w:rPr>
                <w:sz w:val="20"/>
              </w:rPr>
            </w:pPr>
            <w:r w:rsidRPr="00F81732">
              <w:rPr>
                <w:sz w:val="20"/>
              </w:rPr>
              <w:t>47 000</w:t>
            </w:r>
          </w:p>
        </w:tc>
        <w:tc>
          <w:tcPr>
            <w:tcW w:w="2849" w:type="dxa"/>
          </w:tcPr>
          <w:p w:rsidR="00A81DF2" w:rsidRPr="00F81732" w:rsidRDefault="00A81DF2" w:rsidP="00A41ED4">
            <w:pPr>
              <w:pStyle w:val="Tabletext"/>
              <w:jc w:val="right"/>
              <w:rPr>
                <w:sz w:val="20"/>
              </w:rPr>
            </w:pPr>
            <w:r w:rsidRPr="00F81732">
              <w:rPr>
                <w:sz w:val="20"/>
              </w:rPr>
              <w:t>13,6</w:t>
            </w:r>
          </w:p>
        </w:tc>
      </w:tr>
      <w:tr w:rsidR="00A81DF2" w:rsidRPr="0077211D" w:rsidTr="00E76CE8">
        <w:tc>
          <w:tcPr>
            <w:tcW w:w="3804" w:type="dxa"/>
          </w:tcPr>
          <w:p w:rsidR="00A81DF2" w:rsidRPr="00F81732" w:rsidRDefault="00A81DF2" w:rsidP="00F81732">
            <w:pPr>
              <w:pStyle w:val="Tabletext"/>
              <w:jc w:val="left"/>
              <w:rPr>
                <w:sz w:val="20"/>
              </w:rPr>
            </w:pPr>
            <w:proofErr w:type="spellStart"/>
            <w:r w:rsidRPr="00F81732">
              <w:rPr>
                <w:sz w:val="20"/>
              </w:rPr>
              <w:t>Autres</w:t>
            </w:r>
            <w:proofErr w:type="spellEnd"/>
          </w:p>
        </w:tc>
        <w:tc>
          <w:tcPr>
            <w:tcW w:w="2953" w:type="dxa"/>
            <w:tcMar>
              <w:right w:w="1134" w:type="dxa"/>
            </w:tcMar>
          </w:tcPr>
          <w:p w:rsidR="00A81DF2" w:rsidRPr="00F81732" w:rsidRDefault="00A81DF2" w:rsidP="00A41ED4">
            <w:pPr>
              <w:pStyle w:val="Tabletext"/>
              <w:jc w:val="right"/>
              <w:rPr>
                <w:sz w:val="20"/>
              </w:rPr>
            </w:pPr>
            <w:r w:rsidRPr="00F81732">
              <w:rPr>
                <w:sz w:val="20"/>
              </w:rPr>
              <w:t>9 000</w:t>
            </w:r>
          </w:p>
        </w:tc>
        <w:tc>
          <w:tcPr>
            <w:tcW w:w="2849" w:type="dxa"/>
          </w:tcPr>
          <w:p w:rsidR="00A81DF2" w:rsidRPr="00F81732" w:rsidRDefault="00A81DF2" w:rsidP="00A41ED4">
            <w:pPr>
              <w:pStyle w:val="Tabletext"/>
              <w:jc w:val="right"/>
              <w:rPr>
                <w:sz w:val="20"/>
              </w:rPr>
            </w:pPr>
            <w:r w:rsidRPr="00F81732">
              <w:rPr>
                <w:sz w:val="20"/>
              </w:rPr>
              <w:t>20,4</w:t>
            </w:r>
          </w:p>
        </w:tc>
      </w:tr>
      <w:tr w:rsidR="00A81DF2" w:rsidRPr="0077211D" w:rsidTr="00E76CE8">
        <w:tc>
          <w:tcPr>
            <w:tcW w:w="3804" w:type="dxa"/>
          </w:tcPr>
          <w:p w:rsidR="00A81DF2" w:rsidRPr="00F81732" w:rsidRDefault="00A81DF2" w:rsidP="00E76CE8">
            <w:pPr>
              <w:pStyle w:val="Tabletext"/>
              <w:rPr>
                <w:b/>
                <w:bCs/>
                <w:sz w:val="20"/>
              </w:rPr>
            </w:pPr>
            <w:r w:rsidRPr="00F81732">
              <w:rPr>
                <w:b/>
                <w:bCs/>
                <w:sz w:val="20"/>
              </w:rPr>
              <w:t>Total</w:t>
            </w:r>
          </w:p>
        </w:tc>
        <w:tc>
          <w:tcPr>
            <w:tcW w:w="2953" w:type="dxa"/>
            <w:tcMar>
              <w:right w:w="1134" w:type="dxa"/>
            </w:tcMar>
          </w:tcPr>
          <w:p w:rsidR="00A81DF2" w:rsidRPr="00F81732" w:rsidRDefault="00A81DF2" w:rsidP="00A41ED4">
            <w:pPr>
              <w:pStyle w:val="Tabletext"/>
              <w:jc w:val="right"/>
              <w:rPr>
                <w:b/>
                <w:bCs/>
                <w:sz w:val="20"/>
              </w:rPr>
            </w:pPr>
            <w:r w:rsidRPr="00F81732">
              <w:rPr>
                <w:b/>
                <w:bCs/>
                <w:sz w:val="20"/>
              </w:rPr>
              <w:t>1 042 000</w:t>
            </w:r>
          </w:p>
        </w:tc>
        <w:tc>
          <w:tcPr>
            <w:tcW w:w="2849" w:type="dxa"/>
          </w:tcPr>
          <w:p w:rsidR="00A81DF2" w:rsidRPr="00F81732" w:rsidRDefault="00A81DF2" w:rsidP="00A41ED4">
            <w:pPr>
              <w:pStyle w:val="Tabletext"/>
              <w:jc w:val="right"/>
              <w:rPr>
                <w:b/>
                <w:bCs/>
                <w:sz w:val="20"/>
              </w:rPr>
            </w:pPr>
            <w:r w:rsidRPr="00F81732">
              <w:rPr>
                <w:b/>
                <w:bCs/>
                <w:sz w:val="20"/>
              </w:rPr>
              <w:t>23,4</w:t>
            </w:r>
          </w:p>
        </w:tc>
      </w:tr>
      <w:tr w:rsidR="00A81DF2" w:rsidRPr="00C30982" w:rsidTr="00E76CE8">
        <w:tc>
          <w:tcPr>
            <w:tcW w:w="9606" w:type="dxa"/>
            <w:gridSpan w:val="3"/>
          </w:tcPr>
          <w:p w:rsidR="00A81DF2" w:rsidRPr="00EF6E12" w:rsidRDefault="00A81DF2" w:rsidP="00E76CE8">
            <w:pPr>
              <w:pStyle w:val="Tabletext"/>
              <w:rPr>
                <w:i/>
                <w:iCs/>
                <w:spacing w:val="-6"/>
                <w:sz w:val="18"/>
                <w:szCs w:val="18"/>
                <w:lang w:val="fr-FR" w:eastAsia="fr-FR"/>
              </w:rPr>
            </w:pPr>
            <w:r w:rsidRPr="00EF6E12">
              <w:rPr>
                <w:i/>
                <w:iCs/>
                <w:spacing w:val="-6"/>
                <w:sz w:val="18"/>
                <w:szCs w:val="18"/>
                <w:lang w:val="fr-FR" w:eastAsia="fr-FR"/>
              </w:rPr>
              <w:t xml:space="preserve">Source: Bureau des </w:t>
            </w:r>
            <w:r w:rsidRPr="00EF6E12">
              <w:rPr>
                <w:i/>
                <w:iCs/>
                <w:spacing w:val="-6"/>
                <w:sz w:val="18"/>
                <w:szCs w:val="18"/>
                <w:lang w:val="fr-CH" w:eastAsia="fr-FR"/>
              </w:rPr>
              <w:t>Etats-Unis</w:t>
            </w:r>
            <w:r w:rsidRPr="00EF6E12">
              <w:rPr>
                <w:i/>
                <w:iCs/>
                <w:spacing w:val="-6"/>
                <w:sz w:val="18"/>
                <w:szCs w:val="18"/>
                <w:lang w:val="fr-FR" w:eastAsia="fr-FR"/>
              </w:rPr>
              <w:t xml:space="preserve"> des statistiques du travail: </w:t>
            </w:r>
            <w:proofErr w:type="spellStart"/>
            <w:r w:rsidRPr="00EF6E12">
              <w:rPr>
                <w:i/>
                <w:iCs/>
                <w:spacing w:val="-6"/>
                <w:sz w:val="18"/>
                <w:szCs w:val="18"/>
                <w:lang w:val="fr-FR" w:eastAsia="fr-FR"/>
              </w:rPr>
              <w:t>Mont</w:t>
            </w:r>
            <w:r w:rsidR="00EF6E12" w:rsidRPr="00EF6E12">
              <w:rPr>
                <w:i/>
                <w:iCs/>
                <w:spacing w:val="-6"/>
                <w:sz w:val="18"/>
                <w:szCs w:val="18"/>
                <w:lang w:val="fr-FR" w:eastAsia="fr-FR"/>
              </w:rPr>
              <w:t>h</w:t>
            </w:r>
            <w:r w:rsidRPr="00EF6E12">
              <w:rPr>
                <w:i/>
                <w:iCs/>
                <w:spacing w:val="-6"/>
                <w:sz w:val="18"/>
                <w:szCs w:val="18"/>
                <w:lang w:val="fr-FR" w:eastAsia="fr-FR"/>
              </w:rPr>
              <w:t>ly</w:t>
            </w:r>
            <w:proofErr w:type="spellEnd"/>
            <w:r w:rsidRPr="00EF6E12">
              <w:rPr>
                <w:i/>
                <w:iCs/>
                <w:spacing w:val="-6"/>
                <w:sz w:val="18"/>
                <w:szCs w:val="18"/>
                <w:lang w:val="fr-FR" w:eastAsia="fr-FR"/>
              </w:rPr>
              <w:t xml:space="preserve"> Labor </w:t>
            </w:r>
            <w:proofErr w:type="spellStart"/>
            <w:r w:rsidRPr="00EF6E12">
              <w:rPr>
                <w:i/>
                <w:iCs/>
                <w:spacing w:val="-6"/>
                <w:sz w:val="18"/>
                <w:szCs w:val="18"/>
                <w:lang w:val="fr-FR" w:eastAsia="fr-FR"/>
              </w:rPr>
              <w:t>Review</w:t>
            </w:r>
            <w:proofErr w:type="spellEnd"/>
            <w:r w:rsidRPr="00EF6E12">
              <w:rPr>
                <w:i/>
                <w:iCs/>
                <w:spacing w:val="-6"/>
                <w:sz w:val="18"/>
                <w:szCs w:val="18"/>
                <w:lang w:val="fr-FR" w:eastAsia="fr-FR"/>
              </w:rPr>
              <w:t xml:space="preserve"> (Washington, D.C.), nov. 1999, p. 60 et 74 (chiffres révisés en mai 2000) et Bureau des </w:t>
            </w:r>
            <w:r w:rsidRPr="00EF6E12">
              <w:rPr>
                <w:i/>
                <w:iCs/>
                <w:spacing w:val="-6"/>
                <w:sz w:val="18"/>
                <w:szCs w:val="18"/>
                <w:lang w:val="fr-CH" w:eastAsia="fr-FR"/>
              </w:rPr>
              <w:t>Etats-Unis</w:t>
            </w:r>
            <w:r w:rsidRPr="00EF6E12">
              <w:rPr>
                <w:i/>
                <w:iCs/>
                <w:spacing w:val="-6"/>
                <w:sz w:val="18"/>
                <w:szCs w:val="18"/>
                <w:lang w:val="fr-FR" w:eastAsia="fr-FR"/>
              </w:rPr>
              <w:t xml:space="preserve"> des statistiques du travail, cité dans Perspectives des communications de l'OCDE, édition de 2001.</w:t>
            </w:r>
          </w:p>
        </w:tc>
      </w:tr>
    </w:tbl>
    <w:p w:rsidR="00834AF2" w:rsidRPr="00EF6E12" w:rsidRDefault="00834AF2" w:rsidP="00006F0A">
      <w:pPr>
        <w:pStyle w:val="FigureSource"/>
        <w:keepNext w:val="0"/>
        <w:rPr>
          <w:sz w:val="8"/>
          <w:szCs w:val="8"/>
          <w:lang w:val="fr-FR"/>
        </w:rPr>
      </w:pPr>
    </w:p>
    <w:p w:rsidR="00006F0A" w:rsidRDefault="00006F0A" w:rsidP="00655B6B">
      <w:pPr>
        <w:pStyle w:val="FigureTitle"/>
        <w:rPr>
          <w:lang w:val="fr-FR"/>
        </w:rPr>
      </w:pPr>
      <w:r w:rsidRPr="00CD4E5E">
        <w:rPr>
          <w:lang w:val="fr-FR"/>
        </w:rPr>
        <w:lastRenderedPageBreak/>
        <w:t>Table</w:t>
      </w:r>
      <w:r w:rsidR="00CD4E5E" w:rsidRPr="00CD4E5E">
        <w:rPr>
          <w:lang w:val="fr-FR"/>
        </w:rPr>
        <w:t>au 3 – Compétences professionnelles actuelles et futures</w:t>
      </w:r>
      <w:r w:rsidR="00E63ADD">
        <w:rPr>
          <w:lang w:val="fr-FR"/>
        </w:rPr>
        <w:t xml:space="preserve"> – </w:t>
      </w:r>
      <w:r w:rsidR="00CD4E5E" w:rsidRPr="00CD4E5E">
        <w:rPr>
          <w:lang w:val="fr-FR"/>
        </w:rPr>
        <w:t>Etude de l'Union européenne</w:t>
      </w:r>
      <w:r w:rsidR="00CD4E5E" w:rsidRPr="00CD4E5E">
        <w:rPr>
          <w:rStyle w:val="FootnoteReference"/>
          <w:rFonts w:asciiTheme="majorBidi" w:hAnsiTheme="majorBidi" w:cstheme="majorBidi"/>
          <w:b w:val="0"/>
          <w:bCs/>
        </w:rPr>
        <w:footnoteReference w:id="18"/>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2064"/>
        <w:gridCol w:w="2013"/>
        <w:gridCol w:w="2112"/>
        <w:gridCol w:w="2022"/>
      </w:tblGrid>
      <w:tr w:rsidR="00655B6B" w:rsidRPr="00C30982" w:rsidTr="006314FD">
        <w:trPr>
          <w:cantSplit/>
          <w:tblHeader/>
        </w:trPr>
        <w:tc>
          <w:tcPr>
            <w:tcW w:w="3492" w:type="dxa"/>
            <w:gridSpan w:val="2"/>
            <w:tcBorders>
              <w:top w:val="single" w:sz="4" w:space="0" w:color="auto"/>
              <w:left w:val="nil"/>
              <w:bottom w:val="single" w:sz="4" w:space="0" w:color="auto"/>
              <w:right w:val="nil"/>
            </w:tcBorders>
            <w:vAlign w:val="center"/>
          </w:tcPr>
          <w:p w:rsidR="00655B6B" w:rsidRPr="00EE1081" w:rsidRDefault="00655B6B" w:rsidP="00E57CB2">
            <w:pPr>
              <w:pStyle w:val="Tablehead"/>
              <w:spacing w:before="40" w:after="40"/>
              <w:rPr>
                <w:sz w:val="18"/>
                <w:szCs w:val="18"/>
              </w:rPr>
            </w:pPr>
            <w:proofErr w:type="spellStart"/>
            <w:r w:rsidRPr="00EE1081">
              <w:rPr>
                <w:sz w:val="18"/>
                <w:szCs w:val="18"/>
              </w:rPr>
              <w:t>Compétences</w:t>
            </w:r>
            <w:proofErr w:type="spellEnd"/>
            <w:r w:rsidRPr="00EE1081">
              <w:rPr>
                <w:sz w:val="18"/>
                <w:szCs w:val="18"/>
              </w:rPr>
              <w:t xml:space="preserve"> </w:t>
            </w:r>
            <w:proofErr w:type="spellStart"/>
            <w:r w:rsidRPr="00EE1081">
              <w:rPr>
                <w:sz w:val="18"/>
                <w:szCs w:val="18"/>
              </w:rPr>
              <w:t>requises</w:t>
            </w:r>
            <w:proofErr w:type="spellEnd"/>
          </w:p>
        </w:tc>
        <w:tc>
          <w:tcPr>
            <w:tcW w:w="2013" w:type="dxa"/>
            <w:tcBorders>
              <w:top w:val="single" w:sz="4" w:space="0" w:color="auto"/>
              <w:left w:val="nil"/>
              <w:bottom w:val="single" w:sz="4" w:space="0" w:color="auto"/>
              <w:right w:val="nil"/>
            </w:tcBorders>
            <w:vAlign w:val="center"/>
          </w:tcPr>
          <w:p w:rsidR="00655B6B" w:rsidRPr="00EE1081" w:rsidRDefault="00655B6B" w:rsidP="00E57CB2">
            <w:pPr>
              <w:pStyle w:val="Tablehead"/>
              <w:spacing w:before="40" w:after="40"/>
              <w:rPr>
                <w:sz w:val="18"/>
                <w:szCs w:val="18"/>
              </w:rPr>
            </w:pPr>
            <w:proofErr w:type="spellStart"/>
            <w:r w:rsidRPr="00EE1081">
              <w:rPr>
                <w:sz w:val="18"/>
                <w:szCs w:val="18"/>
              </w:rPr>
              <w:t>Tâches</w:t>
            </w:r>
            <w:proofErr w:type="spellEnd"/>
            <w:r w:rsidRPr="00EE1081">
              <w:rPr>
                <w:sz w:val="18"/>
                <w:szCs w:val="18"/>
              </w:rPr>
              <w:t xml:space="preserve"> à </w:t>
            </w:r>
            <w:proofErr w:type="spellStart"/>
            <w:r w:rsidRPr="00EE1081">
              <w:rPr>
                <w:sz w:val="18"/>
                <w:szCs w:val="18"/>
              </w:rPr>
              <w:t>effectuer</w:t>
            </w:r>
            <w:proofErr w:type="spellEnd"/>
          </w:p>
        </w:tc>
        <w:tc>
          <w:tcPr>
            <w:tcW w:w="2112" w:type="dxa"/>
            <w:tcBorders>
              <w:top w:val="single" w:sz="4" w:space="0" w:color="auto"/>
              <w:left w:val="nil"/>
              <w:bottom w:val="single" w:sz="4" w:space="0" w:color="auto"/>
              <w:right w:val="nil"/>
            </w:tcBorders>
            <w:vAlign w:val="center"/>
          </w:tcPr>
          <w:p w:rsidR="00655B6B" w:rsidRPr="00EE1081" w:rsidRDefault="00655B6B" w:rsidP="00E57CB2">
            <w:pPr>
              <w:pStyle w:val="Tablehead"/>
              <w:spacing w:before="40" w:after="40"/>
              <w:rPr>
                <w:sz w:val="18"/>
                <w:szCs w:val="18"/>
                <w:lang w:val="fr-FR"/>
              </w:rPr>
            </w:pPr>
            <w:r w:rsidRPr="00EE1081">
              <w:rPr>
                <w:sz w:val="18"/>
                <w:szCs w:val="18"/>
                <w:lang w:val="fr-FR"/>
              </w:rPr>
              <w:t>Incidences sur l'organisation, la formation professionnelle</w:t>
            </w:r>
          </w:p>
        </w:tc>
        <w:tc>
          <w:tcPr>
            <w:tcW w:w="2022" w:type="dxa"/>
            <w:tcBorders>
              <w:top w:val="single" w:sz="4" w:space="0" w:color="auto"/>
              <w:left w:val="nil"/>
              <w:bottom w:val="single" w:sz="4" w:space="0" w:color="auto"/>
              <w:right w:val="nil"/>
            </w:tcBorders>
            <w:vAlign w:val="center"/>
          </w:tcPr>
          <w:p w:rsidR="00655B6B" w:rsidRPr="00EE1081" w:rsidRDefault="00655B6B" w:rsidP="00E57CB2">
            <w:pPr>
              <w:pStyle w:val="Tablehead"/>
              <w:spacing w:before="40" w:after="40"/>
              <w:rPr>
                <w:sz w:val="18"/>
                <w:szCs w:val="18"/>
                <w:lang w:val="fr-FR"/>
              </w:rPr>
            </w:pPr>
            <w:r w:rsidRPr="00EE1081">
              <w:rPr>
                <w:sz w:val="18"/>
                <w:szCs w:val="18"/>
                <w:lang w:val="fr-FR"/>
              </w:rPr>
              <w:t>Evolution prévue de la demande</w:t>
            </w:r>
          </w:p>
        </w:tc>
      </w:tr>
      <w:tr w:rsidR="00655B6B" w:rsidRPr="00101F8C" w:rsidTr="006314FD">
        <w:trPr>
          <w:cantSplit/>
        </w:trPr>
        <w:tc>
          <w:tcPr>
            <w:tcW w:w="1428" w:type="dxa"/>
            <w:tcBorders>
              <w:top w:val="single" w:sz="4" w:space="0" w:color="auto"/>
              <w:left w:val="nil"/>
              <w:bottom w:val="nil"/>
              <w:right w:val="nil"/>
            </w:tcBorders>
          </w:tcPr>
          <w:p w:rsidR="00655B6B" w:rsidRPr="00EE1081" w:rsidRDefault="00655B6B" w:rsidP="00E76CE8">
            <w:pPr>
              <w:pStyle w:val="Tabletext"/>
              <w:rPr>
                <w:rFonts w:asciiTheme="majorBidi" w:hAnsiTheme="majorBidi" w:cstheme="majorBidi"/>
                <w:b/>
                <w:bCs/>
                <w:noProof/>
                <w:sz w:val="18"/>
                <w:szCs w:val="18"/>
              </w:rPr>
            </w:pPr>
            <w:r w:rsidRPr="00EE1081">
              <w:rPr>
                <w:rFonts w:asciiTheme="majorBidi" w:hAnsiTheme="majorBidi" w:cstheme="majorBidi"/>
                <w:b/>
                <w:bCs/>
                <w:noProof/>
                <w:sz w:val="18"/>
                <w:szCs w:val="18"/>
              </w:rPr>
              <w:t>Spécialistes très qualifiés</w:t>
            </w:r>
          </w:p>
        </w:tc>
        <w:tc>
          <w:tcPr>
            <w:tcW w:w="2064" w:type="dxa"/>
            <w:tcBorders>
              <w:top w:val="single" w:sz="4" w:space="0" w:color="auto"/>
              <w:left w:val="nil"/>
              <w:bottom w:val="nil"/>
              <w:right w:val="nil"/>
            </w:tcBorders>
          </w:tcPr>
          <w:p w:rsidR="00655B6B" w:rsidRPr="00EE1081" w:rsidRDefault="00655B6B" w:rsidP="00655B6B">
            <w:pPr>
              <w:pStyle w:val="Tabletext"/>
              <w:jc w:val="left"/>
              <w:rPr>
                <w:rFonts w:asciiTheme="majorBidi" w:hAnsiTheme="majorBidi" w:cstheme="majorBidi"/>
                <w:b/>
                <w:bCs/>
                <w:noProof/>
                <w:sz w:val="18"/>
                <w:szCs w:val="18"/>
                <w:lang w:val="fr-FR"/>
              </w:rPr>
            </w:pPr>
            <w:r w:rsidRPr="00EE1081">
              <w:rPr>
                <w:rFonts w:asciiTheme="majorBidi" w:hAnsiTheme="majorBidi" w:cstheme="majorBidi"/>
                <w:b/>
                <w:bCs/>
                <w:noProof/>
                <w:sz w:val="18"/>
                <w:szCs w:val="18"/>
                <w:lang w:val="fr-FR"/>
              </w:rPr>
              <w:t>Pour le personnel technique:</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Connaisances techniques très larges</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Connaissances en gestion des processus, métiers</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Connaissance du cadre juridique (réglementation)</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Compétences en matière de communication et d'interaction (en particulier, processus de lancement)</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rPr>
            </w:pPr>
            <w:r w:rsidRPr="00EE1081">
              <w:rPr>
                <w:rFonts w:asciiTheme="majorBidi" w:hAnsiTheme="majorBidi" w:cstheme="majorBidi"/>
                <w:noProof/>
                <w:sz w:val="18"/>
                <w:szCs w:val="18"/>
              </w:rPr>
              <w:t>–</w:t>
            </w:r>
            <w:r w:rsidRPr="00EE1081">
              <w:rPr>
                <w:rFonts w:asciiTheme="majorBidi" w:hAnsiTheme="majorBidi" w:cstheme="majorBidi"/>
                <w:noProof/>
                <w:sz w:val="18"/>
                <w:szCs w:val="18"/>
              </w:rPr>
              <w:tab/>
              <w:t>"Expérience"</w:t>
            </w:r>
          </w:p>
        </w:tc>
        <w:tc>
          <w:tcPr>
            <w:tcW w:w="2013" w:type="dxa"/>
            <w:tcBorders>
              <w:top w:val="single" w:sz="4" w:space="0" w:color="auto"/>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Développement de produits, y compris spécifications techniques, élaboration de prototypes, "lancement" (mise sur le marché)</w:t>
            </w:r>
          </w:p>
          <w:p w:rsidR="00655B6B" w:rsidRPr="00EE1081" w:rsidRDefault="00655B6B" w:rsidP="00655B6B">
            <w:pPr>
              <w:pStyle w:val="Tabletext"/>
              <w:ind w:left="284" w:hanging="284"/>
              <w:jc w:val="left"/>
              <w:rPr>
                <w:rFonts w:asciiTheme="majorBidi" w:hAnsiTheme="majorBidi" w:cstheme="majorBidi"/>
                <w:noProof/>
                <w:sz w:val="18"/>
                <w:szCs w:val="18"/>
              </w:rPr>
            </w:pPr>
            <w:r w:rsidRPr="00EE1081">
              <w:rPr>
                <w:rFonts w:asciiTheme="majorBidi" w:hAnsiTheme="majorBidi" w:cstheme="majorBidi"/>
                <w:noProof/>
                <w:sz w:val="18"/>
                <w:szCs w:val="18"/>
              </w:rPr>
              <w:t>–</w:t>
            </w:r>
            <w:r w:rsidRPr="00EE1081">
              <w:rPr>
                <w:rFonts w:asciiTheme="majorBidi" w:hAnsiTheme="majorBidi" w:cstheme="majorBidi"/>
                <w:noProof/>
                <w:sz w:val="18"/>
                <w:szCs w:val="18"/>
              </w:rPr>
              <w:tab/>
              <w:t>Remaniement des produits</w:t>
            </w:r>
          </w:p>
        </w:tc>
        <w:tc>
          <w:tcPr>
            <w:tcW w:w="2112" w:type="dxa"/>
            <w:tcBorders>
              <w:top w:val="single" w:sz="4" w:space="0" w:color="auto"/>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 xml:space="preserve">– </w:t>
            </w:r>
            <w:r w:rsidRPr="00EE1081">
              <w:rPr>
                <w:rFonts w:asciiTheme="majorBidi" w:hAnsiTheme="majorBidi" w:cstheme="majorBidi"/>
                <w:noProof/>
                <w:sz w:val="18"/>
                <w:szCs w:val="18"/>
                <w:lang w:val="fr-FR"/>
              </w:rPr>
              <w:tab/>
              <w:t>Coopération étroite avec différentes professions</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Appui et possibilité de remise à niveau des compétences</w:t>
            </w:r>
          </w:p>
        </w:tc>
        <w:tc>
          <w:tcPr>
            <w:tcW w:w="2022" w:type="dxa"/>
            <w:tcBorders>
              <w:top w:val="single" w:sz="4" w:space="0" w:color="auto"/>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Peu nombreux (les groupes de développement sont petits mais essentiels)</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Besoins permanents de personnel très qualifié/très performant</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Processus d'intégration plus rapide permettant de rendre les jeunes diplômés opérationnels</w:t>
            </w:r>
          </w:p>
          <w:p w:rsidR="00655B6B" w:rsidRPr="00EE1081" w:rsidRDefault="00655B6B" w:rsidP="00655B6B">
            <w:pPr>
              <w:pStyle w:val="Tabletext"/>
              <w:ind w:left="284" w:hanging="284"/>
              <w:jc w:val="left"/>
              <w:rPr>
                <w:rFonts w:asciiTheme="majorBidi" w:hAnsiTheme="majorBidi" w:cstheme="majorBidi"/>
                <w:noProof/>
                <w:sz w:val="18"/>
                <w:szCs w:val="18"/>
              </w:rPr>
            </w:pPr>
            <w:r w:rsidRPr="00EE1081">
              <w:rPr>
                <w:rFonts w:asciiTheme="majorBidi" w:hAnsiTheme="majorBidi" w:cstheme="majorBidi"/>
                <w:noProof/>
                <w:sz w:val="18"/>
                <w:szCs w:val="18"/>
              </w:rPr>
              <w:t>–</w:t>
            </w:r>
            <w:r w:rsidRPr="00EE1081">
              <w:rPr>
                <w:rFonts w:asciiTheme="majorBidi" w:hAnsiTheme="majorBidi" w:cstheme="majorBidi"/>
                <w:noProof/>
                <w:sz w:val="18"/>
                <w:szCs w:val="18"/>
              </w:rPr>
              <w:tab/>
              <w:t>Risque de surmenage</w:t>
            </w:r>
          </w:p>
        </w:tc>
      </w:tr>
      <w:tr w:rsidR="00655B6B" w:rsidRPr="00101F8C" w:rsidTr="009C2A9E">
        <w:trPr>
          <w:cantSplit/>
        </w:trPr>
        <w:tc>
          <w:tcPr>
            <w:tcW w:w="1428" w:type="dxa"/>
            <w:tcBorders>
              <w:top w:val="nil"/>
              <w:left w:val="nil"/>
              <w:bottom w:val="nil"/>
              <w:right w:val="nil"/>
            </w:tcBorders>
          </w:tcPr>
          <w:p w:rsidR="00655B6B" w:rsidRPr="00EE1081" w:rsidRDefault="00655B6B" w:rsidP="00655B6B">
            <w:pPr>
              <w:pStyle w:val="Tabletext"/>
              <w:jc w:val="left"/>
              <w:rPr>
                <w:rFonts w:asciiTheme="majorBidi" w:hAnsiTheme="majorBidi" w:cstheme="majorBidi"/>
                <w:noProof/>
                <w:sz w:val="18"/>
                <w:szCs w:val="18"/>
              </w:rPr>
            </w:pPr>
          </w:p>
        </w:tc>
        <w:tc>
          <w:tcPr>
            <w:tcW w:w="2064" w:type="dxa"/>
            <w:tcBorders>
              <w:top w:val="nil"/>
              <w:left w:val="nil"/>
              <w:bottom w:val="nil"/>
              <w:right w:val="nil"/>
            </w:tcBorders>
          </w:tcPr>
          <w:p w:rsidR="00655B6B" w:rsidRPr="00EE1081" w:rsidRDefault="00655B6B" w:rsidP="00655B6B">
            <w:pPr>
              <w:pStyle w:val="Tabletext"/>
              <w:jc w:val="left"/>
              <w:rPr>
                <w:rFonts w:asciiTheme="majorBidi" w:hAnsiTheme="majorBidi" w:cstheme="majorBidi"/>
                <w:b/>
                <w:bCs/>
                <w:noProof/>
                <w:sz w:val="18"/>
                <w:szCs w:val="18"/>
                <w:lang w:val="fr-FR"/>
              </w:rPr>
            </w:pPr>
            <w:r w:rsidRPr="00EE1081">
              <w:rPr>
                <w:rFonts w:asciiTheme="majorBidi" w:hAnsiTheme="majorBidi" w:cstheme="majorBidi"/>
                <w:b/>
                <w:bCs/>
                <w:noProof/>
                <w:sz w:val="18"/>
                <w:szCs w:val="18"/>
                <w:lang w:val="fr-FR"/>
              </w:rPr>
              <w:t>Pour le personnel de recherche marketing:</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Bonne compréhension technique</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Bonne capacité d'analyse dans les domaines de la recherche de marché et du marketing</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Compétences en matière de communication et d'interaction (en particulier, processus de lancement)</w:t>
            </w:r>
          </w:p>
        </w:tc>
        <w:tc>
          <w:tcPr>
            <w:tcW w:w="2013" w:type="dxa"/>
            <w:tcBorders>
              <w:top w:val="nil"/>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Observation du marché</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Recherche sur le comportement des consommateurs</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Définition des caractéristiques, fixation des prix et ciblages des consommateurs potentiels pour le produit</w:t>
            </w:r>
          </w:p>
        </w:tc>
        <w:tc>
          <w:tcPr>
            <w:tcW w:w="2112" w:type="dxa"/>
            <w:tcBorders>
              <w:top w:val="nil"/>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Coopération étroite avec différentes professions</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Appui et possibilité de remise à niveau des compétences</w:t>
            </w:r>
          </w:p>
        </w:tc>
        <w:tc>
          <w:tcPr>
            <w:tcW w:w="2022" w:type="dxa"/>
            <w:tcBorders>
              <w:top w:val="nil"/>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Difficulté croissante à trouver des personnes expérimentées dans le domaine du marketing, mais dans une moindre mesure, que dans le cas des professions techniques</w:t>
            </w:r>
          </w:p>
          <w:p w:rsidR="00655B6B" w:rsidRPr="00EE1081" w:rsidRDefault="00655B6B" w:rsidP="00655B6B">
            <w:pPr>
              <w:pStyle w:val="Tabletext"/>
              <w:ind w:left="284" w:hanging="284"/>
              <w:jc w:val="left"/>
              <w:rPr>
                <w:rFonts w:asciiTheme="majorBidi" w:hAnsiTheme="majorBidi" w:cstheme="majorBidi"/>
                <w:noProof/>
                <w:sz w:val="18"/>
                <w:szCs w:val="18"/>
              </w:rPr>
            </w:pPr>
            <w:r w:rsidRPr="00EE1081">
              <w:rPr>
                <w:rFonts w:asciiTheme="majorBidi" w:hAnsiTheme="majorBidi" w:cstheme="majorBidi"/>
                <w:noProof/>
                <w:sz w:val="18"/>
                <w:szCs w:val="18"/>
              </w:rPr>
              <w:t>–</w:t>
            </w:r>
            <w:r w:rsidRPr="00EE1081">
              <w:rPr>
                <w:rFonts w:asciiTheme="majorBidi" w:hAnsiTheme="majorBidi" w:cstheme="majorBidi"/>
                <w:noProof/>
                <w:sz w:val="18"/>
                <w:szCs w:val="18"/>
              </w:rPr>
              <w:tab/>
              <w:t>Risque de surmenage</w:t>
            </w:r>
          </w:p>
        </w:tc>
      </w:tr>
      <w:tr w:rsidR="00655B6B" w:rsidRPr="00C30982" w:rsidTr="009C2A9E">
        <w:trPr>
          <w:cantSplit/>
        </w:trPr>
        <w:tc>
          <w:tcPr>
            <w:tcW w:w="1428" w:type="dxa"/>
            <w:tcBorders>
              <w:top w:val="nil"/>
              <w:left w:val="nil"/>
              <w:bottom w:val="nil"/>
              <w:right w:val="nil"/>
            </w:tcBorders>
          </w:tcPr>
          <w:p w:rsidR="00655B6B" w:rsidRPr="00EE1081" w:rsidRDefault="00655B6B" w:rsidP="00655B6B">
            <w:pPr>
              <w:pStyle w:val="Tabletext"/>
              <w:jc w:val="left"/>
              <w:rPr>
                <w:rFonts w:asciiTheme="majorBidi" w:hAnsiTheme="majorBidi" w:cstheme="majorBidi"/>
                <w:noProof/>
                <w:sz w:val="18"/>
                <w:szCs w:val="18"/>
              </w:rPr>
            </w:pPr>
          </w:p>
        </w:tc>
        <w:tc>
          <w:tcPr>
            <w:tcW w:w="2064" w:type="dxa"/>
            <w:tcBorders>
              <w:top w:val="nil"/>
              <w:left w:val="nil"/>
              <w:bottom w:val="nil"/>
              <w:right w:val="nil"/>
            </w:tcBorders>
          </w:tcPr>
          <w:p w:rsidR="00655B6B" w:rsidRPr="00EE1081" w:rsidRDefault="00655B6B" w:rsidP="00655B6B">
            <w:pPr>
              <w:pStyle w:val="Tabletext"/>
              <w:jc w:val="left"/>
              <w:rPr>
                <w:rFonts w:asciiTheme="majorBidi" w:hAnsiTheme="majorBidi" w:cstheme="majorBidi"/>
                <w:b/>
                <w:bCs/>
                <w:noProof/>
                <w:sz w:val="18"/>
                <w:szCs w:val="18"/>
                <w:lang w:val="fr-FR"/>
              </w:rPr>
            </w:pPr>
            <w:r w:rsidRPr="00EE1081">
              <w:rPr>
                <w:rFonts w:asciiTheme="majorBidi" w:hAnsiTheme="majorBidi" w:cstheme="majorBidi"/>
                <w:b/>
                <w:bCs/>
                <w:noProof/>
                <w:sz w:val="18"/>
                <w:szCs w:val="18"/>
                <w:lang w:val="fr-FR"/>
              </w:rPr>
              <w:t>Pour les cadres:</w:t>
            </w:r>
          </w:p>
          <w:p w:rsidR="00655B6B" w:rsidRPr="00EE1081" w:rsidRDefault="00655B6B" w:rsidP="00655B6B">
            <w:pPr>
              <w:pStyle w:val="Tabletext"/>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Gestion de projet</w:t>
            </w:r>
          </w:p>
          <w:p w:rsidR="00655B6B" w:rsidRPr="00EE1081" w:rsidRDefault="00655B6B" w:rsidP="00655B6B">
            <w:pPr>
              <w:pStyle w:val="Tabletext"/>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Réseaux sociaux</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Compétences en matière de communication et d'interaction (en particulier, processus de lancement)</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Contrôle (finances et heures de travail)</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Utilisation des moyens informatiques</w:t>
            </w:r>
          </w:p>
          <w:p w:rsidR="00655B6B" w:rsidRPr="00EE1081" w:rsidRDefault="00655B6B" w:rsidP="00655B6B">
            <w:pPr>
              <w:pStyle w:val="Tabletext"/>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Outils de gestion</w:t>
            </w:r>
          </w:p>
        </w:tc>
        <w:tc>
          <w:tcPr>
            <w:tcW w:w="2013" w:type="dxa"/>
            <w:tcBorders>
              <w:top w:val="nil"/>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Tâche principale: constitution d'équipes productives à partir de ressources limitées</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Communication/</w:t>
            </w:r>
            <w:r w:rsidRPr="00EE1081">
              <w:rPr>
                <w:rFonts w:asciiTheme="majorBidi" w:hAnsiTheme="majorBidi" w:cstheme="majorBidi"/>
                <w:noProof/>
                <w:sz w:val="18"/>
                <w:szCs w:val="18"/>
                <w:lang w:val="fr-FR"/>
              </w:rPr>
              <w:br/>
              <w:t>interaction (manière différente de diriger)</w:t>
            </w:r>
          </w:p>
        </w:tc>
        <w:tc>
          <w:tcPr>
            <w:tcW w:w="2112" w:type="dxa"/>
            <w:tcBorders>
              <w:top w:val="nil"/>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Il faut non seulement des personnes avec des compétences individuelles mais aussi une équipe de travail productive</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Besoin d'un style différent de direction: facilité d'accès</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Communication, manière de diriger fondée sur la coopération</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Accepter ses erreurs comme des occasions d'apprendre</w:t>
            </w:r>
          </w:p>
          <w:p w:rsidR="00655B6B" w:rsidRPr="00EE1081" w:rsidRDefault="00655B6B" w:rsidP="00E57CB2">
            <w:pPr>
              <w:pStyle w:val="Tabletext"/>
              <w:spacing w:before="20" w:after="20"/>
              <w:ind w:left="284" w:hanging="284"/>
              <w:jc w:val="left"/>
              <w:rPr>
                <w:rFonts w:asciiTheme="majorBidi" w:hAnsiTheme="majorBidi" w:cstheme="majorBidi"/>
                <w:noProof/>
                <w:sz w:val="18"/>
                <w:szCs w:val="18"/>
              </w:rPr>
            </w:pPr>
            <w:r w:rsidRPr="00EE1081">
              <w:rPr>
                <w:rFonts w:asciiTheme="majorBidi" w:hAnsiTheme="majorBidi" w:cstheme="majorBidi"/>
                <w:noProof/>
                <w:sz w:val="18"/>
                <w:szCs w:val="18"/>
              </w:rPr>
              <w:t>–</w:t>
            </w:r>
            <w:r w:rsidRPr="00EE1081">
              <w:rPr>
                <w:rFonts w:asciiTheme="majorBidi" w:hAnsiTheme="majorBidi" w:cstheme="majorBidi"/>
                <w:noProof/>
                <w:sz w:val="18"/>
                <w:szCs w:val="18"/>
              </w:rPr>
              <w:tab/>
              <w:t xml:space="preserve">Gestion des connaissances </w:t>
            </w:r>
          </w:p>
        </w:tc>
        <w:tc>
          <w:tcPr>
            <w:tcW w:w="2022" w:type="dxa"/>
            <w:tcBorders>
              <w:top w:val="nil"/>
              <w:left w:val="nil"/>
              <w:bottom w:val="nil"/>
              <w:right w:val="nil"/>
            </w:tcBorders>
          </w:tcPr>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Gestion de ces unités pendant des périodes de rotation du personnel</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Risque de surmenage</w:t>
            </w:r>
          </w:p>
          <w:p w:rsidR="00655B6B" w:rsidRPr="00EE1081" w:rsidRDefault="00655B6B" w:rsidP="00655B6B">
            <w:pPr>
              <w:pStyle w:val="Tabletext"/>
              <w:ind w:left="284" w:hanging="284"/>
              <w:jc w:val="left"/>
              <w:rPr>
                <w:rFonts w:asciiTheme="majorBidi" w:hAnsiTheme="majorBidi" w:cstheme="majorBidi"/>
                <w:noProof/>
                <w:sz w:val="18"/>
                <w:szCs w:val="18"/>
                <w:lang w:val="fr-FR"/>
              </w:rPr>
            </w:pPr>
            <w:r w:rsidRPr="00EE1081">
              <w:rPr>
                <w:rFonts w:asciiTheme="majorBidi" w:hAnsiTheme="majorBidi" w:cstheme="majorBidi"/>
                <w:noProof/>
                <w:sz w:val="18"/>
                <w:szCs w:val="18"/>
                <w:lang w:val="fr-FR"/>
              </w:rPr>
              <w:t>–</w:t>
            </w:r>
            <w:r w:rsidRPr="00EE1081">
              <w:rPr>
                <w:rFonts w:asciiTheme="majorBidi" w:hAnsiTheme="majorBidi" w:cstheme="majorBidi"/>
                <w:noProof/>
                <w:sz w:val="18"/>
                <w:szCs w:val="18"/>
                <w:lang w:val="fr-FR"/>
              </w:rPr>
              <w:tab/>
              <w:t>Approche mixte formation interne/</w:t>
            </w:r>
            <w:r w:rsidRPr="00EE1081">
              <w:rPr>
                <w:rFonts w:asciiTheme="majorBidi" w:hAnsiTheme="majorBidi" w:cstheme="majorBidi"/>
                <w:noProof/>
                <w:sz w:val="18"/>
                <w:szCs w:val="18"/>
                <w:lang w:val="fr-FR"/>
              </w:rPr>
              <w:br/>
              <w:t>recrutements extérieurs</w:t>
            </w:r>
          </w:p>
        </w:tc>
      </w:tr>
      <w:tr w:rsidR="00655B6B" w:rsidRPr="00C30982" w:rsidTr="009C2A9E">
        <w:trPr>
          <w:cantSplit/>
        </w:trPr>
        <w:tc>
          <w:tcPr>
            <w:tcW w:w="9639" w:type="dxa"/>
            <w:gridSpan w:val="5"/>
            <w:tcBorders>
              <w:top w:val="nil"/>
              <w:left w:val="nil"/>
              <w:bottom w:val="nil"/>
              <w:right w:val="nil"/>
            </w:tcBorders>
          </w:tcPr>
          <w:p w:rsidR="00655B6B" w:rsidRPr="006314FD" w:rsidRDefault="00655B6B" w:rsidP="00E76CE8">
            <w:pPr>
              <w:pStyle w:val="Tabletext"/>
              <w:rPr>
                <w:rFonts w:asciiTheme="majorBidi" w:hAnsiTheme="majorBidi" w:cstheme="majorBidi"/>
                <w:i/>
                <w:iCs/>
                <w:noProof/>
                <w:sz w:val="18"/>
                <w:szCs w:val="18"/>
                <w:lang w:val="fr-FR"/>
              </w:rPr>
            </w:pPr>
            <w:r w:rsidRPr="006314FD">
              <w:rPr>
                <w:rFonts w:asciiTheme="majorBidi" w:hAnsiTheme="majorBidi" w:cstheme="majorBidi"/>
                <w:i/>
                <w:iCs/>
                <w:noProof/>
                <w:sz w:val="18"/>
                <w:szCs w:val="18"/>
                <w:lang w:val="fr-FR"/>
              </w:rPr>
              <w:t>Source: Latniak et Schmidt Dilcher, 2000.</w:t>
            </w:r>
          </w:p>
        </w:tc>
      </w:tr>
    </w:tbl>
    <w:p w:rsidR="00006F0A" w:rsidRPr="00E57CB2" w:rsidRDefault="00006F0A" w:rsidP="00E57CB2">
      <w:pPr>
        <w:pStyle w:val="FigureSource"/>
        <w:keepNext w:val="0"/>
        <w:ind w:left="567" w:hanging="567"/>
        <w:rPr>
          <w:sz w:val="8"/>
          <w:szCs w:val="8"/>
          <w:lang w:val="fr-FR"/>
        </w:rPr>
      </w:pPr>
    </w:p>
    <w:p w:rsidR="000A2548" w:rsidRPr="000A2548" w:rsidRDefault="000A2548" w:rsidP="000A2548">
      <w:pPr>
        <w:pStyle w:val="Normalaftertitle"/>
        <w:rPr>
          <w:lang w:val="fr-FR"/>
        </w:rPr>
      </w:pPr>
      <w:r w:rsidRPr="000A2548">
        <w:rPr>
          <w:lang w:val="fr-FR"/>
        </w:rPr>
        <w:lastRenderedPageBreak/>
        <w:t xml:space="preserve">Ces études sont essentielles pour opérer des choix précis en matière de politiques publiques, choix qui doivent privilégier le renforcement des compétences et leur adaptation, afin de disposer d'une </w:t>
      </w:r>
      <w:proofErr w:type="spellStart"/>
      <w:r w:rsidRPr="000A2548">
        <w:rPr>
          <w:lang w:val="fr-FR"/>
        </w:rPr>
        <w:t>main-d'oeuvre</w:t>
      </w:r>
      <w:proofErr w:type="spellEnd"/>
      <w:r w:rsidRPr="000A2548">
        <w:rPr>
          <w:lang w:val="fr-FR"/>
        </w:rPr>
        <w:t xml:space="preserve"> très qualifiée et à même de répondre aux besoins de l'économie. A cet égard, on peut s'inspirer de diverses initiatives prises par l'Union européenne</w:t>
      </w:r>
      <w:r w:rsidRPr="00B56515">
        <w:rPr>
          <w:rStyle w:val="FootnoteReference"/>
          <w:rFonts w:asciiTheme="majorBidi" w:hAnsiTheme="majorBidi" w:cstheme="majorBidi"/>
        </w:rPr>
        <w:footnoteReference w:id="19"/>
      </w:r>
      <w:r w:rsidRPr="000A2548">
        <w:rPr>
          <w:lang w:val="fr-FR"/>
        </w:rPr>
        <w:t>:</w:t>
      </w:r>
    </w:p>
    <w:p w:rsidR="000A2548" w:rsidRPr="00903AFC" w:rsidRDefault="000A2548" w:rsidP="001067A3">
      <w:pPr>
        <w:pStyle w:val="enumlev1"/>
        <w:spacing w:before="60"/>
        <w:rPr>
          <w:spacing w:val="-4"/>
          <w:lang w:val="fr-FR"/>
        </w:rPr>
      </w:pPr>
      <w:r w:rsidRPr="000A2548">
        <w:rPr>
          <w:lang w:val="fr-FR"/>
        </w:rPr>
        <w:t>•</w:t>
      </w:r>
      <w:r w:rsidRPr="000A2548">
        <w:rPr>
          <w:lang w:val="fr-FR"/>
        </w:rPr>
        <w:tab/>
      </w:r>
      <w:r w:rsidRPr="00903AFC">
        <w:rPr>
          <w:spacing w:val="-4"/>
          <w:lang w:val="fr-FR"/>
        </w:rPr>
        <w:t>Favoriser la mobilité transfrontalière et intersectorielle des "travailleurs de la connaissance" de façon à mieux faire correspondre l'offre et la demande au niveau de qualification le plus élevé; la Commission européenne a lancé un Plan d'action pour la mobilité de l'emploi (2007-2010)</w:t>
      </w:r>
      <w:r w:rsidRPr="00903AFC">
        <w:rPr>
          <w:rStyle w:val="FootnoteReference"/>
          <w:rFonts w:asciiTheme="majorBidi" w:hAnsiTheme="majorBidi" w:cstheme="majorBidi"/>
          <w:spacing w:val="-4"/>
        </w:rPr>
        <w:footnoteReference w:id="20"/>
      </w:r>
      <w:r w:rsidRPr="00903AFC">
        <w:rPr>
          <w:spacing w:val="-4"/>
          <w:lang w:val="fr-FR"/>
        </w:rPr>
        <w:t xml:space="preserve"> dans le but d'améliorer</w:t>
      </w:r>
      <w:r w:rsidRPr="00903AFC">
        <w:rPr>
          <w:spacing w:val="-4"/>
          <w:szCs w:val="19"/>
          <w:lang w:val="fr-FR"/>
        </w:rPr>
        <w:t xml:space="preserve"> la législation et les pratiques administratives existantes concernant la mobilité des travailleurs</w:t>
      </w:r>
      <w:r w:rsidRPr="00903AFC">
        <w:rPr>
          <w:spacing w:val="-4"/>
          <w:lang w:val="fr-FR"/>
        </w:rPr>
        <w:t xml:space="preserve">, </w:t>
      </w:r>
      <w:r w:rsidRPr="00903AFC">
        <w:rPr>
          <w:spacing w:val="-4"/>
          <w:szCs w:val="19"/>
          <w:lang w:val="fr-FR"/>
        </w:rPr>
        <w:t>de garantir le soutien stratégique des autorités à tous les niveaux</w:t>
      </w:r>
      <w:r w:rsidRPr="00903AFC">
        <w:rPr>
          <w:spacing w:val="-4"/>
          <w:lang w:val="fr-FR"/>
        </w:rPr>
        <w:t xml:space="preserve">, </w:t>
      </w:r>
      <w:r w:rsidRPr="00903AFC">
        <w:rPr>
          <w:spacing w:val="-4"/>
          <w:szCs w:val="19"/>
          <w:lang w:val="fr-FR"/>
        </w:rPr>
        <w:t>de renforcer le réseau EURES (Services européens de l'emploi) en tant que seul instrument au service de la mobilité des travailleurs et de leur famille</w:t>
      </w:r>
      <w:r w:rsidRPr="00903AFC">
        <w:rPr>
          <w:spacing w:val="-4"/>
          <w:lang w:val="fr-FR"/>
        </w:rPr>
        <w:t xml:space="preserve"> et de sensibiliser davantage le grand public aux possibilités et aux avantages qu’offre la mobilité.</w:t>
      </w:r>
    </w:p>
    <w:p w:rsidR="000A2548" w:rsidRPr="000A2548" w:rsidRDefault="000A2548" w:rsidP="001067A3">
      <w:pPr>
        <w:pStyle w:val="enumlev1"/>
        <w:spacing w:before="60"/>
        <w:rPr>
          <w:rFonts w:asciiTheme="majorBidi" w:hAnsiTheme="majorBidi" w:cstheme="majorBidi"/>
          <w:lang w:val="fr-FR"/>
        </w:rPr>
      </w:pPr>
      <w:r w:rsidRPr="000A2548">
        <w:rPr>
          <w:rFonts w:asciiTheme="majorBidi" w:hAnsiTheme="majorBidi" w:cstheme="majorBidi"/>
          <w:lang w:val="fr-FR"/>
        </w:rPr>
        <w:t>•</w:t>
      </w:r>
      <w:r w:rsidRPr="000A2548">
        <w:rPr>
          <w:rFonts w:asciiTheme="majorBidi" w:hAnsiTheme="majorBidi" w:cstheme="majorBidi"/>
          <w:lang w:val="fr-FR"/>
        </w:rPr>
        <w:tab/>
        <w:t xml:space="preserve">Proposer des possibilités de formation continue mieux conçues à tous les niveaux, de façon à anticiper l'évolution rapide des besoins en matière d'emploi, par le biais de l'enseignement, de programmes de formation professionnelle, etc. </w:t>
      </w:r>
    </w:p>
    <w:p w:rsidR="000A2548" w:rsidRPr="000A2548" w:rsidRDefault="000A2548" w:rsidP="001067A3">
      <w:pPr>
        <w:pStyle w:val="enumlev1"/>
        <w:spacing w:before="60"/>
        <w:rPr>
          <w:lang w:val="fr-FR"/>
        </w:rPr>
      </w:pPr>
      <w:r w:rsidRPr="000A2548">
        <w:rPr>
          <w:lang w:val="fr-FR"/>
        </w:rPr>
        <w:t>•</w:t>
      </w:r>
      <w:r w:rsidRPr="000A2548">
        <w:rPr>
          <w:lang w:val="fr-FR"/>
        </w:rPr>
        <w:tab/>
        <w:t>Définir un cadre stratégique pour la coopération dans le domaine de l'éducation et de la formation. Le document stratégique</w:t>
      </w:r>
      <w:r w:rsidRPr="00B56515">
        <w:rPr>
          <w:rStyle w:val="FootnoteReference"/>
          <w:rFonts w:asciiTheme="majorBidi" w:hAnsiTheme="majorBidi" w:cstheme="majorBidi"/>
        </w:rPr>
        <w:footnoteReference w:id="21"/>
      </w:r>
      <w:r w:rsidRPr="000A2548">
        <w:rPr>
          <w:lang w:val="fr-FR"/>
        </w:rPr>
        <w:t xml:space="preserve"> adopté par l'Union européenne définit quatre objectifs stratégiques à long terme, à savoir:</w:t>
      </w:r>
    </w:p>
    <w:p w:rsidR="000A2548" w:rsidRPr="000A2548" w:rsidRDefault="000A2548" w:rsidP="00E76CE8">
      <w:pPr>
        <w:pStyle w:val="enumlev2"/>
        <w:spacing w:before="40"/>
        <w:rPr>
          <w:lang w:val="fr-FR"/>
        </w:rPr>
      </w:pPr>
      <w:r w:rsidRPr="000A2548">
        <w:rPr>
          <w:lang w:val="fr-FR"/>
        </w:rPr>
        <w:t>1)</w:t>
      </w:r>
      <w:r w:rsidRPr="000A2548">
        <w:rPr>
          <w:lang w:val="fr-FR"/>
        </w:rPr>
        <w:tab/>
        <w:t xml:space="preserve">faire en sorte que l'éducation et la formation tout au long de la vie ainsi que la mobilité deviennent des réalités; </w:t>
      </w:r>
    </w:p>
    <w:p w:rsidR="000A2548" w:rsidRPr="000A2548" w:rsidRDefault="000A2548" w:rsidP="00E76CE8">
      <w:pPr>
        <w:pStyle w:val="enumlev2"/>
        <w:spacing w:before="40"/>
        <w:rPr>
          <w:lang w:val="fr-FR"/>
        </w:rPr>
      </w:pPr>
      <w:r w:rsidRPr="000A2548">
        <w:rPr>
          <w:lang w:val="fr-FR"/>
        </w:rPr>
        <w:t>2)</w:t>
      </w:r>
      <w:r w:rsidRPr="000A2548">
        <w:rPr>
          <w:lang w:val="fr-FR"/>
        </w:rPr>
        <w:tab/>
        <w:t xml:space="preserve">améliorer la qualité et l'efficacité des systèmes d'éducation et de formation; </w:t>
      </w:r>
    </w:p>
    <w:p w:rsidR="000A2548" w:rsidRPr="000A2548" w:rsidRDefault="000A2548" w:rsidP="00E76CE8">
      <w:pPr>
        <w:pStyle w:val="enumlev2"/>
        <w:spacing w:before="40"/>
        <w:rPr>
          <w:lang w:val="fr-FR"/>
        </w:rPr>
      </w:pPr>
      <w:r w:rsidRPr="000A2548">
        <w:rPr>
          <w:lang w:val="fr-FR"/>
        </w:rPr>
        <w:t>3)</w:t>
      </w:r>
      <w:r w:rsidRPr="000A2548">
        <w:rPr>
          <w:lang w:val="fr-FR"/>
        </w:rPr>
        <w:tab/>
        <w:t xml:space="preserve">promouvoir l'égalité, la cohésion sociale et la citoyenneté active; et </w:t>
      </w:r>
    </w:p>
    <w:p w:rsidR="000A2548" w:rsidRPr="000A2548" w:rsidRDefault="000A2548" w:rsidP="00E76CE8">
      <w:pPr>
        <w:pStyle w:val="enumlev2"/>
        <w:spacing w:before="40"/>
        <w:rPr>
          <w:lang w:val="fr-FR"/>
        </w:rPr>
      </w:pPr>
      <w:r w:rsidRPr="000A2548">
        <w:rPr>
          <w:lang w:val="fr-FR"/>
        </w:rPr>
        <w:t>4)</w:t>
      </w:r>
      <w:r w:rsidRPr="000A2548">
        <w:rPr>
          <w:lang w:val="fr-FR"/>
        </w:rPr>
        <w:tab/>
        <w:t>mettre en valeur la créativité et l'innovation, en particulier l'entreprenariat, et ce à tous les niveaux d'enseignement et de formation.</w:t>
      </w:r>
    </w:p>
    <w:p w:rsidR="000A2548" w:rsidRPr="000A2548" w:rsidRDefault="000A2548" w:rsidP="001067A3">
      <w:pPr>
        <w:pStyle w:val="enumlev1"/>
        <w:spacing w:before="60"/>
        <w:rPr>
          <w:lang w:val="fr-FR"/>
        </w:rPr>
      </w:pPr>
      <w:r w:rsidRPr="000A2548">
        <w:rPr>
          <w:lang w:val="fr-FR"/>
        </w:rPr>
        <w:t>•</w:t>
      </w:r>
      <w:r w:rsidRPr="000A2548">
        <w:rPr>
          <w:lang w:val="fr-FR"/>
        </w:rPr>
        <w:tab/>
        <w:t>Adopter des mesures d'incitation fiscales. Ainsi, les entreprises du secteur de l'informatique créant des emplois pourraient bénéficier d'exonérations fiscales qui dépendraient directement du nombre ou de la catégorie d'emplois nouvellement créés.</w:t>
      </w:r>
    </w:p>
    <w:p w:rsidR="000A2548" w:rsidRPr="000A2548" w:rsidRDefault="000A2548" w:rsidP="001067A3">
      <w:pPr>
        <w:pStyle w:val="enumlev1"/>
        <w:spacing w:before="60"/>
        <w:rPr>
          <w:rFonts w:asciiTheme="majorBidi" w:hAnsiTheme="majorBidi" w:cstheme="majorBidi"/>
          <w:lang w:val="fr-FR"/>
        </w:rPr>
      </w:pPr>
      <w:r w:rsidRPr="000A2548">
        <w:rPr>
          <w:rFonts w:asciiTheme="majorBidi" w:hAnsiTheme="majorBidi" w:cstheme="majorBidi"/>
          <w:lang w:val="fr-FR"/>
        </w:rPr>
        <w:t>•</w:t>
      </w:r>
      <w:r w:rsidRPr="000A2548">
        <w:rPr>
          <w:rFonts w:asciiTheme="majorBidi" w:hAnsiTheme="majorBidi" w:cstheme="majorBidi"/>
          <w:lang w:val="fr-FR"/>
        </w:rPr>
        <w:tab/>
        <w:t>Les stratégies pour l'emploi peuvent également aller de pair avec des dispositions sociales en faveur des minorités. Ainsi, pour créer davantage d'emplois pour les groupes vulnérables (handicapés, personnes âgées ou personnes à faible revenu), les pouvoirs publics peuvent éditer un ensemble de lois et de règlements visant à encourager diverses entités proposant des offres d'emploi spécifiques à répondre à la demande, ce qui serait moins onéreux qu'une prise en charge directe de cette catégorie de population. Les entreprises remplissant les conditions requises pourraient bénéficier de mesures préférentielles en matière de fiscalité, de prêts bancaires, d'opérations de change et dans le domaine foncier, etc. En Chine</w:t>
      </w:r>
      <w:r w:rsidRPr="00B56515">
        <w:rPr>
          <w:rStyle w:val="FootnoteReference"/>
          <w:rFonts w:asciiTheme="majorBidi" w:hAnsiTheme="majorBidi" w:cstheme="majorBidi"/>
        </w:rPr>
        <w:footnoteReference w:id="22"/>
      </w:r>
      <w:r w:rsidRPr="000A2548">
        <w:rPr>
          <w:rFonts w:asciiTheme="majorBidi" w:hAnsiTheme="majorBidi" w:cstheme="majorBidi"/>
          <w:lang w:val="fr-FR"/>
        </w:rPr>
        <w:t>, certaines sociétés de services</w:t>
      </w:r>
      <w:r w:rsidR="00E63ADD">
        <w:rPr>
          <w:rFonts w:asciiTheme="majorBidi" w:hAnsiTheme="majorBidi" w:cstheme="majorBidi"/>
          <w:lang w:val="fr-FR"/>
        </w:rPr>
        <w:t xml:space="preserve"> – </w:t>
      </w:r>
      <w:r w:rsidRPr="000A2548">
        <w:rPr>
          <w:rFonts w:asciiTheme="majorBidi" w:hAnsiTheme="majorBidi" w:cstheme="majorBidi"/>
          <w:lang w:val="fr-FR"/>
        </w:rPr>
        <w:t>conseils en informatique, de nombreux fournisseurs de services d'information se sont engagés à créer des emplois pour ces groupes de population vulnérables, afin de tirer parti de ces mesures. Dans certains cas, des opérateurs ont pris directement l'initiative d'employer des personnes appartenant à ces catégories de population. Tel a été le cas du Gabon</w:t>
      </w:r>
      <w:r w:rsidRPr="00B56515">
        <w:rPr>
          <w:rStyle w:val="FootnoteReference"/>
          <w:rFonts w:asciiTheme="majorBidi" w:hAnsiTheme="majorBidi" w:cstheme="majorBidi"/>
        </w:rPr>
        <w:footnoteReference w:id="23"/>
      </w:r>
      <w:r w:rsidRPr="000A2548">
        <w:rPr>
          <w:rFonts w:asciiTheme="majorBidi" w:hAnsiTheme="majorBidi" w:cstheme="majorBidi"/>
          <w:lang w:val="fr-FR"/>
        </w:rPr>
        <w:t xml:space="preserve">, où l'opérateur </w:t>
      </w:r>
      <w:proofErr w:type="spellStart"/>
      <w:r w:rsidRPr="000A2548">
        <w:rPr>
          <w:rFonts w:asciiTheme="majorBidi" w:hAnsiTheme="majorBidi" w:cstheme="majorBidi"/>
          <w:lang w:val="fr-FR"/>
        </w:rPr>
        <w:t>Moov</w:t>
      </w:r>
      <w:proofErr w:type="spellEnd"/>
      <w:r w:rsidRPr="000A2548">
        <w:rPr>
          <w:rFonts w:asciiTheme="majorBidi" w:hAnsiTheme="majorBidi" w:cstheme="majorBidi"/>
          <w:lang w:val="fr-FR"/>
        </w:rPr>
        <w:t xml:space="preserve"> a pris l'initiative de fournir un emploi à des personnes handicapées, en mettant à leur disposition des tricycles équipés de publiphones mobiles.</w:t>
      </w:r>
    </w:p>
    <w:p w:rsidR="00C82AF3" w:rsidRDefault="000A2548" w:rsidP="000A2548">
      <w:pPr>
        <w:rPr>
          <w:rFonts w:asciiTheme="majorBidi" w:hAnsiTheme="majorBidi" w:cstheme="majorBidi"/>
          <w:lang w:val="fr-FR"/>
        </w:rPr>
      </w:pPr>
      <w:r w:rsidRPr="000A2548">
        <w:rPr>
          <w:rFonts w:asciiTheme="majorBidi" w:hAnsiTheme="majorBidi" w:cstheme="majorBidi"/>
          <w:lang w:val="fr-FR"/>
        </w:rPr>
        <w:lastRenderedPageBreak/>
        <w:t>Pour rester compétitive, une entreprise doit elle aussi adopter ce genre d'approche prospective lorsqu'elle analyse les besoins futurs et des ressources nécessaires, afin de préparer les compétences de demain. En 2005, le Groupe Orange a lancé un programme visant à déterminer clairement, à l'horizon 2008, les perspectives d’emploi, les compétences nécessaires et la géographie des activités du Groupe. Il est apparu (voir la Figure 4 ci-dessous) que le nombre d'employés travaillant en relation directe avec les clients extérieurs augmenterait nettement</w:t>
      </w:r>
      <w:r w:rsidRPr="00B56515">
        <w:rPr>
          <w:rStyle w:val="FootnoteReference"/>
          <w:rFonts w:asciiTheme="majorBidi" w:hAnsiTheme="majorBidi" w:cstheme="majorBidi"/>
        </w:rPr>
        <w:footnoteReference w:id="24"/>
      </w:r>
      <w:r w:rsidRPr="000A2548">
        <w:rPr>
          <w:rFonts w:asciiTheme="majorBidi" w:hAnsiTheme="majorBidi" w:cstheme="majorBidi"/>
          <w:lang w:val="fr-FR"/>
        </w:rPr>
        <w:t>. La gestion évolue également en raison des nouveaux problèmes découlant de la concurrence et de la privatisation. Le nombre de cadres supérieurs et de dirigeants dans le secteur des télécommunications a enregistré, et enregistre encore, une forte croissance. De solides compétences sont également nécessaires pour la gestion de projet en vue du déploiement de projets de plus en plus complexes.</w:t>
      </w:r>
    </w:p>
    <w:p w:rsidR="00903AFC" w:rsidRDefault="00903AFC" w:rsidP="000A2548">
      <w:pPr>
        <w:rPr>
          <w:lang w:val="fr-FR" w:eastAsia="fr-FR"/>
        </w:rPr>
      </w:pPr>
    </w:p>
    <w:p w:rsidR="00A67CC2" w:rsidRPr="001A5672" w:rsidRDefault="00A67CC2" w:rsidP="001A5672">
      <w:pPr>
        <w:pStyle w:val="FigureTitle"/>
        <w:rPr>
          <w:lang w:val="fr-FR" w:eastAsia="fr-FR"/>
        </w:rPr>
      </w:pPr>
      <w:r w:rsidRPr="001A5672">
        <w:rPr>
          <w:lang w:val="fr-FR"/>
        </w:rPr>
        <w:t xml:space="preserve">Figure 4: </w:t>
      </w:r>
      <w:r w:rsidR="001A5672" w:rsidRPr="001A5672">
        <w:rPr>
          <w:lang w:val="fr-FR"/>
        </w:rPr>
        <w:t>Cartographie des métiers chez France Telecom</w:t>
      </w:r>
      <w:r w:rsidR="00E63ADD">
        <w:rPr>
          <w:lang w:val="fr-FR"/>
        </w:rPr>
        <w:t xml:space="preserve"> – </w:t>
      </w:r>
      <w:r w:rsidR="001A5672" w:rsidRPr="001A5672">
        <w:rPr>
          <w:lang w:val="fr-FR"/>
        </w:rPr>
        <w:t>Tendances et perspectives d'évolution</w:t>
      </w:r>
      <w:r w:rsidR="001A5672" w:rsidRPr="001A5672">
        <w:rPr>
          <w:rStyle w:val="FootnoteReference"/>
          <w:rFonts w:asciiTheme="majorBidi" w:hAnsiTheme="majorBidi" w:cstheme="majorBidi"/>
          <w:b w:val="0"/>
          <w:bCs/>
        </w:rPr>
        <w:footnoteReference w:id="25"/>
      </w:r>
    </w:p>
    <w:p w:rsidR="00C30982" w:rsidRPr="00D12E74" w:rsidRDefault="00C30982" w:rsidP="00C30982">
      <w:pPr>
        <w:rPr>
          <w:lang w:val="fr-FR"/>
        </w:rPr>
      </w:pPr>
    </w:p>
    <w:p w:rsidR="00C30982" w:rsidRPr="00E410BE" w:rsidRDefault="00C30982" w:rsidP="00C30982">
      <w:r>
        <w:tab/>
      </w:r>
      <w:r w:rsidR="00330ED2">
        <w:pict>
          <v:group id="_x0000_s1296" editas="canvas" style="width:382pt;height:268.3pt;mso-position-horizontal-relative:char;mso-position-vertical-relative:line" coordsize="7640,5366">
            <o:lock v:ext="edit" aspectratio="t"/>
            <v:shape id="_x0000_s1297" type="#_x0000_t75" style="position:absolute;width:7640;height:5366" o:preferrelative="f">
              <v:fill o:detectmouseclick="t"/>
              <v:path o:extrusionok="t" o:connecttype="none"/>
              <o:lock v:ext="edit" text="t"/>
            </v:shape>
            <v:group id="_x0000_s1298" style="position:absolute;width:7640;height:5366" coordsize="7640,5366">
              <v:shape id="_x0000_s1299" type="#_x0000_t75" style="position:absolute;width:7640;height:5366">
                <v:imagedata r:id="rId24" o:title=""/>
              </v:shape>
              <v:shape id="_x0000_s1300" type="#_x0000_t202" style="position:absolute;left:141;top:132;width:1134;height:227" strokecolor="white">
                <v:textbox style="mso-next-textbox:#_x0000_s1300" inset=",0,,0">
                  <w:txbxContent>
                    <w:p w:rsidR="00C30982" w:rsidRPr="00D33325" w:rsidRDefault="00C30982" w:rsidP="00C30982">
                      <w:pPr>
                        <w:spacing w:before="0"/>
                        <w:rPr>
                          <w:rFonts w:asciiTheme="majorBidi" w:hAnsiTheme="majorBidi" w:cstheme="majorBidi"/>
                          <w:spacing w:val="-4"/>
                          <w:sz w:val="10"/>
                          <w:szCs w:val="10"/>
                          <w:lang w:eastAsia="zh-CN"/>
                        </w:rPr>
                      </w:pPr>
                      <w:proofErr w:type="spellStart"/>
                      <w:r w:rsidRPr="00D33325">
                        <w:rPr>
                          <w:rFonts w:asciiTheme="majorBidi" w:hAnsiTheme="majorBidi" w:cstheme="majorBidi"/>
                          <w:spacing w:val="-4"/>
                          <w:sz w:val="10"/>
                          <w:szCs w:val="10"/>
                          <w:lang w:eastAsia="zh-CN"/>
                        </w:rPr>
                        <w:t>Domaine</w:t>
                      </w:r>
                      <w:proofErr w:type="spellEnd"/>
                      <w:r w:rsidRPr="00D33325">
                        <w:rPr>
                          <w:rFonts w:asciiTheme="majorBidi" w:hAnsiTheme="majorBidi" w:cstheme="majorBidi"/>
                          <w:spacing w:val="-4"/>
                          <w:sz w:val="10"/>
                          <w:szCs w:val="10"/>
                          <w:lang w:eastAsia="zh-CN"/>
                        </w:rPr>
                        <w:t xml:space="preserve"> </w:t>
                      </w:r>
                      <w:proofErr w:type="spellStart"/>
                      <w:r w:rsidRPr="00D33325">
                        <w:rPr>
                          <w:rFonts w:asciiTheme="majorBidi" w:hAnsiTheme="majorBidi" w:cstheme="majorBidi"/>
                          <w:spacing w:val="-4"/>
                          <w:sz w:val="10"/>
                          <w:szCs w:val="10"/>
                          <w:lang w:eastAsia="zh-CN"/>
                        </w:rPr>
                        <w:t>informatique</w:t>
                      </w:r>
                      <w:proofErr w:type="spellEnd"/>
                    </w:p>
                  </w:txbxContent>
                </v:textbox>
              </v:shape>
              <v:shape id="_x0000_s1301" type="#_x0000_t202" style="position:absolute;left:85;top:433;width:1181;height:508;v-text-anchor:middle" fillcolor="#0070c0" strokecolor="black [3213]" strokeweight=".5pt">
                <v:textbox style="mso-next-textbox:#_x0000_s1301" inset="0,0,0,0">
                  <w:txbxContent>
                    <w:p w:rsidR="00C30982" w:rsidRPr="00340717" w:rsidRDefault="00C30982" w:rsidP="00C30982">
                      <w:pPr>
                        <w:spacing w:before="0"/>
                        <w:jc w:val="center"/>
                        <w:rPr>
                          <w:color w:val="C0F1C4" w:themeColor="background1"/>
                          <w:spacing w:val="-4"/>
                          <w:sz w:val="12"/>
                          <w:szCs w:val="12"/>
                          <w:lang w:eastAsia="zh-CN"/>
                        </w:rPr>
                      </w:pPr>
                      <w:proofErr w:type="spellStart"/>
                      <w:r w:rsidRPr="00340717">
                        <w:rPr>
                          <w:color w:val="C0F1C4" w:themeColor="background1"/>
                          <w:spacing w:val="-4"/>
                          <w:sz w:val="12"/>
                          <w:szCs w:val="12"/>
                          <w:lang w:eastAsia="zh-CN"/>
                        </w:rPr>
                        <w:t>Conseil</w:t>
                      </w:r>
                      <w:proofErr w:type="spellEnd"/>
                      <w:r w:rsidRPr="00340717">
                        <w:rPr>
                          <w:color w:val="C0F1C4" w:themeColor="background1"/>
                          <w:spacing w:val="-4"/>
                          <w:sz w:val="12"/>
                          <w:szCs w:val="12"/>
                          <w:lang w:eastAsia="zh-CN"/>
                        </w:rPr>
                        <w:t xml:space="preserve"> en </w:t>
                      </w:r>
                      <w:proofErr w:type="spellStart"/>
                      <w:r w:rsidRPr="00340717">
                        <w:rPr>
                          <w:color w:val="C0F1C4" w:themeColor="background1"/>
                          <w:spacing w:val="-4"/>
                          <w:sz w:val="12"/>
                          <w:szCs w:val="12"/>
                          <w:lang w:eastAsia="zh-CN"/>
                        </w:rPr>
                        <w:t>SIAssistance</w:t>
                      </w:r>
                      <w:proofErr w:type="spellEnd"/>
                      <w:r w:rsidRPr="00340717">
                        <w:rPr>
                          <w:color w:val="C0F1C4" w:themeColor="background1"/>
                          <w:spacing w:val="-4"/>
                          <w:sz w:val="12"/>
                          <w:szCs w:val="12"/>
                          <w:lang w:eastAsia="zh-CN"/>
                        </w:rPr>
                        <w:t xml:space="preserve"> MOA</w:t>
                      </w:r>
                    </w:p>
                  </w:txbxContent>
                </v:textbox>
              </v:shape>
              <v:shape id="_x0000_s1302" type="#_x0000_t202" style="position:absolute;left:2620;top:433;width:1181;height:557;v-text-anchor:middle" fillcolor="#2d75df" strokecolor="black [3213]" strokeweight=".5pt">
                <v:textbox style="mso-next-textbox:#_x0000_s1302" inset="0,0,0,0">
                  <w:txbxContent>
                    <w:p w:rsidR="00C30982" w:rsidRPr="006E1179" w:rsidRDefault="00C30982" w:rsidP="00C30982">
                      <w:pPr>
                        <w:spacing w:before="0"/>
                        <w:jc w:val="center"/>
                        <w:rPr>
                          <w:color w:val="C0F1C4" w:themeColor="background1"/>
                          <w:sz w:val="12"/>
                          <w:szCs w:val="12"/>
                          <w:lang w:eastAsia="zh-CN"/>
                        </w:rPr>
                      </w:pPr>
                      <w:proofErr w:type="spellStart"/>
                      <w:r>
                        <w:rPr>
                          <w:color w:val="C0F1C4" w:themeColor="background1"/>
                          <w:sz w:val="12"/>
                          <w:szCs w:val="12"/>
                          <w:lang w:eastAsia="zh-CN"/>
                        </w:rPr>
                        <w:t>Recherche</w:t>
                      </w:r>
                      <w:proofErr w:type="spellEnd"/>
                      <w:r>
                        <w:rPr>
                          <w:color w:val="C0F1C4" w:themeColor="background1"/>
                          <w:sz w:val="12"/>
                          <w:szCs w:val="12"/>
                          <w:lang w:eastAsia="zh-CN"/>
                        </w:rPr>
                        <w:t xml:space="preserve"> </w:t>
                      </w:r>
                      <w:proofErr w:type="spellStart"/>
                      <w:r>
                        <w:rPr>
                          <w:color w:val="C0F1C4" w:themeColor="background1"/>
                          <w:sz w:val="12"/>
                          <w:szCs w:val="12"/>
                          <w:lang w:eastAsia="zh-CN"/>
                        </w:rPr>
                        <w:t>appliquée</w:t>
                      </w:r>
                      <w:proofErr w:type="spellEnd"/>
                    </w:p>
                  </w:txbxContent>
                </v:textbox>
              </v:shape>
              <v:shape id="_x0000_s1303" type="#_x0000_t202" style="position:absolute;left:2620;top:990;width:1181;height:508;v-text-anchor:middle" fillcolor="#2d75df" strokecolor="black [3213]" strokeweight=".5pt">
                <v:textbox style="mso-next-textbox:#_x0000_s1303" inset="0,0,0,0">
                  <w:txbxContent>
                    <w:p w:rsidR="00C30982" w:rsidRPr="006E1179" w:rsidRDefault="00C30982" w:rsidP="00C30982">
                      <w:pPr>
                        <w:spacing w:before="0"/>
                        <w:jc w:val="center"/>
                        <w:rPr>
                          <w:color w:val="C0F1C4" w:themeColor="background1"/>
                          <w:sz w:val="12"/>
                          <w:szCs w:val="12"/>
                          <w:lang w:eastAsia="zh-CN"/>
                        </w:rPr>
                      </w:pPr>
                      <w:proofErr w:type="spellStart"/>
                      <w:r>
                        <w:rPr>
                          <w:color w:val="C0F1C4" w:themeColor="background1"/>
                          <w:sz w:val="12"/>
                          <w:szCs w:val="12"/>
                          <w:lang w:eastAsia="zh-CN"/>
                        </w:rPr>
                        <w:t>Conseil</w:t>
                      </w:r>
                      <w:proofErr w:type="spellEnd"/>
                      <w:r>
                        <w:rPr>
                          <w:color w:val="C0F1C4" w:themeColor="background1"/>
                          <w:sz w:val="12"/>
                          <w:szCs w:val="12"/>
                          <w:lang w:eastAsia="zh-CN"/>
                        </w:rPr>
                        <w:t xml:space="preserve"> et </w:t>
                      </w:r>
                      <w:proofErr w:type="spellStart"/>
                      <w:r>
                        <w:rPr>
                          <w:color w:val="C0F1C4" w:themeColor="background1"/>
                          <w:sz w:val="12"/>
                          <w:szCs w:val="12"/>
                          <w:lang w:eastAsia="zh-CN"/>
                        </w:rPr>
                        <w:t>développement</w:t>
                      </w:r>
                      <w:proofErr w:type="spellEnd"/>
                    </w:p>
                  </w:txbxContent>
                </v:textbox>
              </v:shape>
              <v:shape id="_x0000_s1304" type="#_x0000_t202" style="position:absolute;left:1345;top:2056;width:1181;height:546;v-text-anchor:middle" fillcolor="#2d75df" strokecolor="black [3213]" strokeweight=".5pt">
                <v:textbox style="mso-next-textbox:#_x0000_s1304" inset="0,0,0,0">
                  <w:txbxContent>
                    <w:p w:rsidR="00C30982" w:rsidRPr="006E1179" w:rsidRDefault="00C30982" w:rsidP="00C30982">
                      <w:pPr>
                        <w:spacing w:before="0"/>
                        <w:jc w:val="center"/>
                        <w:rPr>
                          <w:color w:val="C0F1C4" w:themeColor="background1"/>
                          <w:sz w:val="12"/>
                          <w:szCs w:val="12"/>
                          <w:lang w:eastAsia="zh-CN"/>
                        </w:rPr>
                      </w:pPr>
                      <w:r>
                        <w:rPr>
                          <w:color w:val="C0F1C4" w:themeColor="background1"/>
                          <w:sz w:val="12"/>
                          <w:szCs w:val="12"/>
                          <w:lang w:val="en-US" w:eastAsia="zh-CN"/>
                        </w:rPr>
                        <w:t xml:space="preserve">Intervention </w:t>
                      </w:r>
                      <w:proofErr w:type="spellStart"/>
                      <w:r>
                        <w:rPr>
                          <w:color w:val="C0F1C4" w:themeColor="background1"/>
                          <w:sz w:val="12"/>
                          <w:szCs w:val="12"/>
                          <w:lang w:val="en-US" w:eastAsia="zh-CN"/>
                        </w:rPr>
                        <w:t>réseaux</w:t>
                      </w:r>
                      <w:proofErr w:type="spellEnd"/>
                    </w:p>
                  </w:txbxContent>
                </v:textbox>
              </v:shape>
              <v:shape id="_x0000_s1305" type="#_x0000_t202" style="position:absolute;left:1345;top:3159;width:1181;height:557;v-text-anchor:middle" fillcolor="#2d75df" strokecolor="black [3213]" strokeweight=".5pt">
                <v:textbox style="mso-next-textbox:#_x0000_s1305" inset="0,0,0,0">
                  <w:txbxContent>
                    <w:p w:rsidR="00C30982" w:rsidRPr="00B47FC6" w:rsidRDefault="00C30982" w:rsidP="00C30982">
                      <w:pPr>
                        <w:spacing w:before="0"/>
                        <w:jc w:val="center"/>
                        <w:rPr>
                          <w:color w:val="C0F1C4" w:themeColor="background1"/>
                          <w:sz w:val="16"/>
                          <w:szCs w:val="16"/>
                          <w:lang w:eastAsia="zh-CN"/>
                        </w:rPr>
                      </w:pPr>
                      <w:proofErr w:type="spellStart"/>
                      <w:r>
                        <w:rPr>
                          <w:color w:val="C0F1C4" w:themeColor="background1"/>
                          <w:sz w:val="12"/>
                          <w:szCs w:val="12"/>
                          <w:lang w:eastAsia="zh-CN"/>
                        </w:rPr>
                        <w:t>Gestion</w:t>
                      </w:r>
                      <w:proofErr w:type="spellEnd"/>
                      <w:r>
                        <w:rPr>
                          <w:color w:val="C0F1C4" w:themeColor="background1"/>
                          <w:sz w:val="12"/>
                          <w:szCs w:val="12"/>
                          <w:lang w:eastAsia="zh-CN"/>
                        </w:rPr>
                        <w:t xml:space="preserve"> </w:t>
                      </w:r>
                      <w:proofErr w:type="spellStart"/>
                      <w:r>
                        <w:rPr>
                          <w:color w:val="C0F1C4" w:themeColor="background1"/>
                          <w:sz w:val="12"/>
                          <w:szCs w:val="12"/>
                          <w:lang w:eastAsia="zh-CN"/>
                        </w:rPr>
                        <w:t>transversale</w:t>
                      </w:r>
                      <w:proofErr w:type="spellEnd"/>
                      <w:r>
                        <w:rPr>
                          <w:color w:val="C0F1C4" w:themeColor="background1"/>
                          <w:sz w:val="12"/>
                          <w:szCs w:val="12"/>
                          <w:lang w:eastAsia="zh-CN"/>
                        </w:rPr>
                        <w:t xml:space="preserve"> </w:t>
                      </w:r>
                      <w:r>
                        <w:rPr>
                          <w:color w:val="C0F1C4" w:themeColor="background1"/>
                          <w:sz w:val="12"/>
                          <w:szCs w:val="12"/>
                          <w:lang w:eastAsia="zh-CN"/>
                        </w:rPr>
                        <w:br/>
                      </w:r>
                      <w:proofErr w:type="spellStart"/>
                      <w:r>
                        <w:rPr>
                          <w:color w:val="C0F1C4" w:themeColor="background1"/>
                          <w:sz w:val="12"/>
                          <w:szCs w:val="12"/>
                          <w:lang w:eastAsia="zh-CN"/>
                        </w:rPr>
                        <w:t>réseaux</w:t>
                      </w:r>
                      <w:proofErr w:type="spellEnd"/>
                    </w:p>
                  </w:txbxContent>
                </v:textbox>
              </v:shape>
              <v:shape id="_x0000_s1306" type="#_x0000_t202" style="position:absolute;left:2620;top:1498;width:1181;height:558;v-text-anchor:middle" fillcolor="#2d75df" strokecolor="black [3213]" strokeweight=".5pt">
                <v:textbox style="mso-next-textbox:#_x0000_s1306" inset="0,0,0,0">
                  <w:txbxContent>
                    <w:p w:rsidR="00C30982" w:rsidRPr="006E1179" w:rsidRDefault="00C30982" w:rsidP="00C30982">
                      <w:pPr>
                        <w:spacing w:before="0"/>
                        <w:jc w:val="center"/>
                        <w:rPr>
                          <w:color w:val="C0F1C4" w:themeColor="background1"/>
                          <w:sz w:val="12"/>
                          <w:szCs w:val="12"/>
                          <w:lang w:eastAsia="zh-CN"/>
                        </w:rPr>
                      </w:pPr>
                      <w:proofErr w:type="spellStart"/>
                      <w:r>
                        <w:rPr>
                          <w:color w:val="C0F1C4" w:themeColor="background1"/>
                          <w:sz w:val="12"/>
                          <w:szCs w:val="12"/>
                          <w:lang w:eastAsia="zh-CN"/>
                        </w:rPr>
                        <w:t>Propriété</w:t>
                      </w:r>
                      <w:proofErr w:type="spellEnd"/>
                      <w:r>
                        <w:rPr>
                          <w:color w:val="C0F1C4" w:themeColor="background1"/>
                          <w:sz w:val="12"/>
                          <w:szCs w:val="12"/>
                          <w:lang w:eastAsia="zh-CN"/>
                        </w:rPr>
                        <w:t xml:space="preserve"> </w:t>
                      </w:r>
                      <w:proofErr w:type="spellStart"/>
                      <w:r>
                        <w:rPr>
                          <w:color w:val="C0F1C4" w:themeColor="background1"/>
                          <w:sz w:val="12"/>
                          <w:szCs w:val="12"/>
                          <w:lang w:eastAsia="zh-CN"/>
                        </w:rPr>
                        <w:t>intellectuelle</w:t>
                      </w:r>
                      <w:proofErr w:type="spellEnd"/>
                      <w:r>
                        <w:rPr>
                          <w:color w:val="C0F1C4" w:themeColor="background1"/>
                          <w:sz w:val="12"/>
                          <w:szCs w:val="12"/>
                          <w:lang w:eastAsia="zh-CN"/>
                        </w:rPr>
                        <w:t xml:space="preserve"> et valorisation</w:t>
                      </w:r>
                    </w:p>
                  </w:txbxContent>
                </v:textbox>
              </v:shape>
              <v:shape id="_x0000_s1307" type="#_x0000_t202" style="position:absolute;left:3880;top:433;width:1181;height:557;v-text-anchor:middle" fillcolor="#2d75df" strokecolor="black [3213]" strokeweight=".5pt">
                <v:textbox style="mso-next-textbox:#_x0000_s1307" inset="0,0,0,0">
                  <w:txbxContent>
                    <w:p w:rsidR="00C30982" w:rsidRPr="00A80188" w:rsidRDefault="00C30982" w:rsidP="00C30982">
                      <w:pPr>
                        <w:spacing w:before="0"/>
                        <w:jc w:val="center"/>
                        <w:rPr>
                          <w:color w:val="C0F1C4" w:themeColor="background1"/>
                          <w:sz w:val="12"/>
                          <w:szCs w:val="12"/>
                          <w:lang w:eastAsia="zh-CN"/>
                        </w:rPr>
                      </w:pPr>
                      <w:r>
                        <w:rPr>
                          <w:color w:val="C0F1C4" w:themeColor="background1"/>
                          <w:sz w:val="12"/>
                          <w:szCs w:val="12"/>
                          <w:lang w:eastAsia="zh-CN"/>
                        </w:rPr>
                        <w:t xml:space="preserve">Conception et </w:t>
                      </w:r>
                      <w:proofErr w:type="spellStart"/>
                      <w:r>
                        <w:rPr>
                          <w:color w:val="C0F1C4" w:themeColor="background1"/>
                          <w:sz w:val="12"/>
                          <w:szCs w:val="12"/>
                          <w:lang w:eastAsia="zh-CN"/>
                        </w:rPr>
                        <w:t>réalisation</w:t>
                      </w:r>
                      <w:proofErr w:type="spellEnd"/>
                      <w:r>
                        <w:rPr>
                          <w:color w:val="C0F1C4" w:themeColor="background1"/>
                          <w:sz w:val="12"/>
                          <w:szCs w:val="12"/>
                          <w:lang w:eastAsia="zh-CN"/>
                        </w:rPr>
                        <w:t xml:space="preserve"> </w:t>
                      </w:r>
                      <w:proofErr w:type="spellStart"/>
                      <w:r>
                        <w:rPr>
                          <w:color w:val="C0F1C4" w:themeColor="background1"/>
                          <w:sz w:val="12"/>
                          <w:szCs w:val="12"/>
                          <w:lang w:eastAsia="zh-CN"/>
                        </w:rPr>
                        <w:t>multimédia</w:t>
                      </w:r>
                      <w:proofErr w:type="spellEnd"/>
                    </w:p>
                  </w:txbxContent>
                </v:textbox>
              </v:shape>
              <v:shape id="_x0000_s1308" type="#_x0000_t202" style="position:absolute;left:5140;top:433;width:1181;height:508;v-text-anchor:middle" fillcolor="#2d75df" strokecolor="black [3213]" strokeweight=".5pt">
                <v:textbox style="mso-next-textbox:#_x0000_s1308" inset="0,0,0,0">
                  <w:txbxContent>
                    <w:p w:rsidR="00C30982" w:rsidRPr="00A87B24" w:rsidRDefault="00C30982" w:rsidP="00C30982">
                      <w:pPr>
                        <w:spacing w:before="0"/>
                        <w:jc w:val="center"/>
                        <w:rPr>
                          <w:color w:val="C0F1C4" w:themeColor="background1"/>
                          <w:sz w:val="12"/>
                          <w:szCs w:val="12"/>
                          <w:lang w:eastAsia="zh-CN"/>
                        </w:rPr>
                      </w:pPr>
                      <w:r w:rsidRPr="00A87B24">
                        <w:rPr>
                          <w:color w:val="C0F1C4" w:themeColor="background1"/>
                          <w:sz w:val="12"/>
                          <w:szCs w:val="12"/>
                          <w:lang w:eastAsia="zh-CN"/>
                        </w:rPr>
                        <w:t>Marketing</w:t>
                      </w:r>
                    </w:p>
                  </w:txbxContent>
                </v:textbox>
              </v:shape>
              <v:shape id="_x0000_s1309" type="#_x0000_t202" style="position:absolute;left:5140;top:1498;width:1181;height:558;v-text-anchor:middle" fillcolor="#2d75df" strokecolor="black [3213]" strokeweight=".5pt">
                <v:textbox style="mso-next-textbox:#_x0000_s1309" inset="0,0,0,0">
                  <w:txbxContent>
                    <w:p w:rsidR="00C30982" w:rsidRPr="00A87B24" w:rsidRDefault="00C30982" w:rsidP="00C30982">
                      <w:pPr>
                        <w:spacing w:before="0"/>
                        <w:jc w:val="center"/>
                        <w:rPr>
                          <w:color w:val="C0F1C4" w:themeColor="background1"/>
                          <w:sz w:val="12"/>
                          <w:szCs w:val="12"/>
                          <w:lang w:eastAsia="zh-CN"/>
                        </w:rPr>
                      </w:pPr>
                      <w:proofErr w:type="spellStart"/>
                      <w:r w:rsidRPr="00A87B24">
                        <w:rPr>
                          <w:color w:val="C0F1C4" w:themeColor="background1"/>
                          <w:sz w:val="12"/>
                          <w:szCs w:val="12"/>
                          <w:lang w:eastAsia="zh-CN"/>
                        </w:rPr>
                        <w:t>Vente</w:t>
                      </w:r>
                      <w:proofErr w:type="spellEnd"/>
                    </w:p>
                  </w:txbxContent>
                </v:textbox>
              </v:shape>
              <v:shape id="_x0000_s1310" type="#_x0000_t202" style="position:absolute;left:5140;top:2056;width:1181;height:557;v-text-anchor:middle" fillcolor="#2d75df" strokecolor="black [3213]" strokeweight=".5pt">
                <v:textbox style="mso-next-textbox:#_x0000_s1310" inset="0,0,0,0">
                  <w:txbxContent>
                    <w:p w:rsidR="00C30982" w:rsidRPr="00A87B24" w:rsidRDefault="00C30982" w:rsidP="00C30982">
                      <w:pPr>
                        <w:spacing w:before="0"/>
                        <w:jc w:val="center"/>
                        <w:rPr>
                          <w:color w:val="C0F1C4" w:themeColor="background1"/>
                          <w:sz w:val="12"/>
                          <w:szCs w:val="12"/>
                          <w:lang w:eastAsia="zh-CN"/>
                        </w:rPr>
                      </w:pPr>
                      <w:proofErr w:type="spellStart"/>
                      <w:r w:rsidRPr="00A87B24">
                        <w:rPr>
                          <w:color w:val="C0F1C4" w:themeColor="background1"/>
                          <w:sz w:val="12"/>
                          <w:szCs w:val="12"/>
                          <w:lang w:val="en-US" w:eastAsia="zh-CN"/>
                        </w:rPr>
                        <w:t>Gestion</w:t>
                      </w:r>
                      <w:proofErr w:type="spellEnd"/>
                      <w:r w:rsidRPr="00A87B24">
                        <w:rPr>
                          <w:color w:val="C0F1C4" w:themeColor="background1"/>
                          <w:sz w:val="12"/>
                          <w:szCs w:val="12"/>
                          <w:lang w:val="en-US" w:eastAsia="zh-CN"/>
                        </w:rPr>
                        <w:t xml:space="preserve"> des </w:t>
                      </w:r>
                      <w:r>
                        <w:rPr>
                          <w:color w:val="C0F1C4" w:themeColor="background1"/>
                          <w:sz w:val="12"/>
                          <w:szCs w:val="12"/>
                          <w:lang w:val="en-US" w:eastAsia="zh-CN"/>
                        </w:rPr>
                        <w:br/>
                      </w:r>
                      <w:proofErr w:type="spellStart"/>
                      <w:r w:rsidRPr="00A87B24">
                        <w:rPr>
                          <w:color w:val="C0F1C4" w:themeColor="background1"/>
                          <w:sz w:val="12"/>
                          <w:szCs w:val="12"/>
                          <w:lang w:val="en-US" w:eastAsia="zh-CN"/>
                        </w:rPr>
                        <w:t>comptes</w:t>
                      </w:r>
                      <w:proofErr w:type="spellEnd"/>
                      <w:r w:rsidRPr="00A87B24">
                        <w:rPr>
                          <w:color w:val="C0F1C4" w:themeColor="background1"/>
                          <w:sz w:val="12"/>
                          <w:szCs w:val="12"/>
                          <w:lang w:val="en-US" w:eastAsia="zh-CN"/>
                        </w:rPr>
                        <w:t xml:space="preserve"> clients</w:t>
                      </w:r>
                    </w:p>
                  </w:txbxContent>
                </v:textbox>
              </v:shape>
              <v:shape id="_x0000_s1311" type="#_x0000_t202" style="position:absolute;left:6426;top:941;width:1181;height:557;v-text-anchor:middle" fillcolor="#2d75df" strokecolor="black [3213]" strokeweight=".5pt">
                <v:textbox style="mso-next-textbox:#_x0000_s1311" inset="0,0,0,0">
                  <w:txbxContent>
                    <w:p w:rsidR="00C30982" w:rsidRPr="002C372B" w:rsidRDefault="00C30982" w:rsidP="00C30982">
                      <w:pPr>
                        <w:spacing w:before="0"/>
                        <w:jc w:val="center"/>
                        <w:rPr>
                          <w:color w:val="C0F1C4" w:themeColor="background1"/>
                          <w:sz w:val="12"/>
                          <w:szCs w:val="12"/>
                          <w:lang w:eastAsia="zh-CN"/>
                        </w:rPr>
                      </w:pPr>
                      <w:r w:rsidRPr="002C372B">
                        <w:rPr>
                          <w:color w:val="C0F1C4" w:themeColor="background1"/>
                          <w:sz w:val="12"/>
                          <w:szCs w:val="12"/>
                          <w:lang w:val="en-US" w:eastAsia="zh-CN"/>
                        </w:rPr>
                        <w:t>Communication</w:t>
                      </w:r>
                    </w:p>
                  </w:txbxContent>
                </v:textbox>
              </v:shape>
              <v:shape id="_x0000_s1312" type="#_x0000_t202" style="position:absolute;left:85;top:3159;width:1181;height:557;v-text-anchor:middle" fillcolor="#2d75df" strokecolor="black [3213]" strokeweight=".5pt">
                <v:textbox style="mso-next-textbox:#_x0000_s1312" inset="0,0,0,0">
                  <w:txbxContent>
                    <w:p w:rsidR="00C30982" w:rsidRPr="00D12E74" w:rsidRDefault="00C30982" w:rsidP="00C30982">
                      <w:pPr>
                        <w:spacing w:before="0"/>
                        <w:jc w:val="center"/>
                        <w:rPr>
                          <w:color w:val="C0F1C4" w:themeColor="background1"/>
                          <w:sz w:val="12"/>
                          <w:szCs w:val="12"/>
                          <w:lang w:eastAsia="zh-CN"/>
                        </w:rPr>
                      </w:pPr>
                      <w:proofErr w:type="spellStart"/>
                      <w:r>
                        <w:rPr>
                          <w:color w:val="C0F1C4" w:themeColor="background1"/>
                          <w:sz w:val="12"/>
                          <w:szCs w:val="12"/>
                          <w:lang w:eastAsia="zh-CN"/>
                        </w:rPr>
                        <w:t>Gestion</w:t>
                      </w:r>
                      <w:proofErr w:type="spellEnd"/>
                      <w:r>
                        <w:rPr>
                          <w:color w:val="C0F1C4" w:themeColor="background1"/>
                          <w:sz w:val="12"/>
                          <w:szCs w:val="12"/>
                          <w:lang w:eastAsia="zh-CN"/>
                        </w:rPr>
                        <w:t xml:space="preserve"> </w:t>
                      </w:r>
                      <w:proofErr w:type="spellStart"/>
                      <w:r>
                        <w:rPr>
                          <w:color w:val="C0F1C4" w:themeColor="background1"/>
                          <w:sz w:val="12"/>
                          <w:szCs w:val="12"/>
                          <w:lang w:eastAsia="zh-CN"/>
                        </w:rPr>
                        <w:t>transversale</w:t>
                      </w:r>
                      <w:proofErr w:type="spellEnd"/>
                      <w:r>
                        <w:rPr>
                          <w:color w:val="C0F1C4" w:themeColor="background1"/>
                          <w:sz w:val="12"/>
                          <w:szCs w:val="12"/>
                          <w:lang w:eastAsia="zh-CN"/>
                        </w:rPr>
                        <w:t xml:space="preserve"> </w:t>
                      </w:r>
                      <w:r>
                        <w:rPr>
                          <w:color w:val="C0F1C4" w:themeColor="background1"/>
                          <w:sz w:val="12"/>
                          <w:szCs w:val="12"/>
                          <w:lang w:eastAsia="zh-CN"/>
                        </w:rPr>
                        <w:br/>
                        <w:t>du SI</w:t>
                      </w:r>
                    </w:p>
                  </w:txbxContent>
                </v:textbox>
              </v:shape>
              <v:shape id="_x0000_s1313" type="#_x0000_t202" style="position:absolute;left:85;top:941;width:1181;height:557;v-text-anchor:middle" fillcolor="#00e266" strokecolor="black [3213]" strokeweight=".5pt">
                <v:textbox style="mso-next-textbox:#_x0000_s1313" inset="0,0,0,0">
                  <w:txbxContent>
                    <w:p w:rsidR="00C30982" w:rsidRPr="00340717" w:rsidRDefault="00C30982" w:rsidP="00C30982">
                      <w:pPr>
                        <w:spacing w:before="0"/>
                        <w:jc w:val="center"/>
                        <w:rPr>
                          <w:sz w:val="12"/>
                          <w:szCs w:val="12"/>
                          <w:lang w:eastAsia="zh-CN"/>
                        </w:rPr>
                      </w:pPr>
                      <w:r w:rsidRPr="00340717">
                        <w:rPr>
                          <w:sz w:val="12"/>
                          <w:szCs w:val="12"/>
                          <w:lang w:val="en-US" w:eastAsia="zh-CN"/>
                        </w:rPr>
                        <w:t xml:space="preserve">Etudes </w:t>
                      </w:r>
                      <w:proofErr w:type="spellStart"/>
                      <w:r w:rsidRPr="00340717">
                        <w:rPr>
                          <w:sz w:val="12"/>
                          <w:szCs w:val="12"/>
                          <w:lang w:val="en-US" w:eastAsia="zh-CN"/>
                        </w:rPr>
                        <w:t>développement</w:t>
                      </w:r>
                      <w:proofErr w:type="spellEnd"/>
                      <w:r w:rsidRPr="00340717">
                        <w:rPr>
                          <w:sz w:val="12"/>
                          <w:szCs w:val="12"/>
                          <w:lang w:val="en-US" w:eastAsia="zh-CN"/>
                        </w:rPr>
                        <w:t xml:space="preserve"> </w:t>
                      </w:r>
                      <w:proofErr w:type="spellStart"/>
                      <w:r w:rsidRPr="00340717">
                        <w:rPr>
                          <w:sz w:val="12"/>
                          <w:szCs w:val="12"/>
                          <w:lang w:val="en-US" w:eastAsia="zh-CN"/>
                        </w:rPr>
                        <w:t>intégration</w:t>
                      </w:r>
                      <w:proofErr w:type="spellEnd"/>
                    </w:p>
                  </w:txbxContent>
                </v:textbox>
              </v:shape>
              <v:shape id="_x0000_s1314" type="#_x0000_t202" style="position:absolute;left:85;top:1498;width:1181;height:557;v-text-anchor:middle" fillcolor="#00e266" strokecolor="black [3213]" strokeweight=".5pt">
                <v:textbox style="mso-next-textbox:#_x0000_s1314" inset="0,0,0,0">
                  <w:txbxContent>
                    <w:p w:rsidR="00C30982" w:rsidRPr="00340717" w:rsidRDefault="00C30982" w:rsidP="00C30982">
                      <w:pPr>
                        <w:spacing w:before="0"/>
                        <w:jc w:val="center"/>
                        <w:rPr>
                          <w:sz w:val="12"/>
                          <w:szCs w:val="12"/>
                          <w:lang w:eastAsia="zh-CN"/>
                        </w:rPr>
                      </w:pPr>
                      <w:proofErr w:type="spellStart"/>
                      <w:r w:rsidRPr="00340717">
                        <w:rPr>
                          <w:sz w:val="12"/>
                          <w:szCs w:val="12"/>
                          <w:lang w:eastAsia="zh-CN"/>
                        </w:rPr>
                        <w:t>Conseil</w:t>
                      </w:r>
                      <w:proofErr w:type="spellEnd"/>
                      <w:r w:rsidRPr="00340717">
                        <w:rPr>
                          <w:sz w:val="12"/>
                          <w:szCs w:val="12"/>
                          <w:lang w:eastAsia="zh-CN"/>
                        </w:rPr>
                        <w:t xml:space="preserve"> et assistance technique</w:t>
                      </w:r>
                      <w:r w:rsidR="004F6AC4">
                        <w:rPr>
                          <w:sz w:val="12"/>
                          <w:szCs w:val="12"/>
                          <w:lang w:eastAsia="zh-CN"/>
                        </w:rPr>
                        <w:t>s</w:t>
                      </w:r>
                      <w:r w:rsidRPr="00340717">
                        <w:rPr>
                          <w:sz w:val="12"/>
                          <w:szCs w:val="12"/>
                          <w:lang w:eastAsia="zh-CN"/>
                        </w:rPr>
                        <w:t xml:space="preserve"> </w:t>
                      </w:r>
                      <w:proofErr w:type="spellStart"/>
                      <w:r w:rsidRPr="00340717">
                        <w:rPr>
                          <w:sz w:val="12"/>
                          <w:szCs w:val="12"/>
                          <w:lang w:eastAsia="zh-CN"/>
                        </w:rPr>
                        <w:t>interne</w:t>
                      </w:r>
                      <w:r w:rsidR="004F6AC4">
                        <w:rPr>
                          <w:sz w:val="12"/>
                          <w:szCs w:val="12"/>
                          <w:lang w:eastAsia="zh-CN"/>
                        </w:rPr>
                        <w:t>s</w:t>
                      </w:r>
                      <w:proofErr w:type="spellEnd"/>
                    </w:p>
                  </w:txbxContent>
                </v:textbox>
              </v:shape>
              <v:shape id="_x0000_s1315" type="#_x0000_t202" style="position:absolute;left:85;top:3716;width:1181;height:557;v-text-anchor:middle" fillcolor="#00e266" strokecolor="black [3213]" strokeweight=".5pt">
                <v:textbox style="mso-next-textbox:#_x0000_s1315" inset="0,0,0,0">
                  <w:txbxContent>
                    <w:p w:rsidR="00C30982" w:rsidRPr="00D12E74" w:rsidRDefault="00C30982" w:rsidP="00C30982">
                      <w:pPr>
                        <w:spacing w:before="0"/>
                        <w:jc w:val="center"/>
                        <w:rPr>
                          <w:sz w:val="12"/>
                          <w:szCs w:val="12"/>
                          <w:lang w:val="fr-FR" w:eastAsia="zh-CN"/>
                        </w:rPr>
                      </w:pPr>
                      <w:r w:rsidRPr="00D12E74">
                        <w:rPr>
                          <w:sz w:val="12"/>
                          <w:szCs w:val="12"/>
                          <w:lang w:val="fr-FR" w:eastAsia="zh-CN"/>
                        </w:rPr>
                        <w:t>Construction et conception des services à valeur ajout</w:t>
                      </w:r>
                      <w:r>
                        <w:rPr>
                          <w:sz w:val="12"/>
                          <w:szCs w:val="12"/>
                          <w:lang w:val="fr-FR" w:eastAsia="zh-CN"/>
                        </w:rPr>
                        <w:t>é</w:t>
                      </w:r>
                      <w:r w:rsidRPr="00D12E74">
                        <w:rPr>
                          <w:sz w:val="12"/>
                          <w:szCs w:val="12"/>
                          <w:lang w:val="fr-FR" w:eastAsia="zh-CN"/>
                        </w:rPr>
                        <w:t>e</w:t>
                      </w:r>
                    </w:p>
                  </w:txbxContent>
                </v:textbox>
              </v:shape>
              <v:shape id="_x0000_s1316" type="#_x0000_t202" style="position:absolute;left:2620;top:2056;width:1181;height:557;v-text-anchor:middle" fillcolor="#00e266" strokecolor="black [3213]" strokeweight=".5pt">
                <v:textbox style="mso-next-textbox:#_x0000_s1316" inset="0,0,0,0">
                  <w:txbxContent>
                    <w:p w:rsidR="00C30982" w:rsidRPr="006E1179" w:rsidRDefault="00C30982" w:rsidP="00C30982">
                      <w:pPr>
                        <w:spacing w:before="0"/>
                        <w:jc w:val="center"/>
                        <w:rPr>
                          <w:sz w:val="12"/>
                          <w:szCs w:val="12"/>
                          <w:lang w:eastAsia="zh-CN"/>
                        </w:rPr>
                      </w:pPr>
                      <w:r>
                        <w:rPr>
                          <w:sz w:val="12"/>
                          <w:szCs w:val="12"/>
                          <w:lang w:eastAsia="zh-CN"/>
                        </w:rPr>
                        <w:t xml:space="preserve">Prospective et </w:t>
                      </w:r>
                      <w:r>
                        <w:rPr>
                          <w:sz w:val="12"/>
                          <w:szCs w:val="12"/>
                          <w:lang w:eastAsia="zh-CN"/>
                        </w:rPr>
                        <w:br/>
                      </w:r>
                      <w:proofErr w:type="spellStart"/>
                      <w:r>
                        <w:rPr>
                          <w:sz w:val="12"/>
                          <w:szCs w:val="12"/>
                          <w:lang w:eastAsia="zh-CN"/>
                        </w:rPr>
                        <w:t>stratégie</w:t>
                      </w:r>
                      <w:proofErr w:type="spellEnd"/>
                    </w:p>
                  </w:txbxContent>
                </v:textbox>
              </v:shape>
              <v:shape id="_x0000_s1317" type="#_x0000_t202" style="position:absolute;left:5140;top:2613;width:1181;height:557;v-text-anchor:middle" fillcolor="#00e266" strokecolor="black [3213]" strokeweight=".5pt">
                <v:textbox style="mso-next-textbox:#_x0000_s1317" inset="0,0,0,0">
                  <w:txbxContent>
                    <w:p w:rsidR="00C30982" w:rsidRPr="00A87B24" w:rsidRDefault="004F6AC4" w:rsidP="00C30982">
                      <w:pPr>
                        <w:spacing w:before="0"/>
                        <w:jc w:val="center"/>
                        <w:rPr>
                          <w:sz w:val="12"/>
                          <w:szCs w:val="12"/>
                          <w:lang w:eastAsia="zh-CN"/>
                        </w:rPr>
                      </w:pPr>
                      <w:r>
                        <w:rPr>
                          <w:sz w:val="12"/>
                          <w:szCs w:val="12"/>
                          <w:lang w:eastAsia="zh-CN"/>
                        </w:rPr>
                        <w:t>Services client</w:t>
                      </w:r>
                    </w:p>
                  </w:txbxContent>
                </v:textbox>
              </v:shape>
              <v:shape id="_x0000_s1318" type="#_x0000_t202" style="position:absolute;left:5140;top:3159;width:1181;height:557;v-text-anchor:middle" fillcolor="#00e266" strokecolor="black [3213]" strokeweight=".5pt">
                <v:textbox style="mso-next-textbox:#_x0000_s1318" inset="0,0,0,0">
                  <w:txbxContent>
                    <w:p w:rsidR="00C30982" w:rsidRPr="00A87B24" w:rsidRDefault="00C30982" w:rsidP="00C30982">
                      <w:pPr>
                        <w:spacing w:before="0"/>
                        <w:jc w:val="center"/>
                        <w:rPr>
                          <w:sz w:val="12"/>
                          <w:szCs w:val="12"/>
                          <w:lang w:eastAsia="zh-CN"/>
                        </w:rPr>
                      </w:pPr>
                      <w:proofErr w:type="spellStart"/>
                      <w:r>
                        <w:rPr>
                          <w:sz w:val="12"/>
                          <w:szCs w:val="12"/>
                          <w:lang w:eastAsia="zh-CN"/>
                        </w:rPr>
                        <w:t>Gestion</w:t>
                      </w:r>
                      <w:proofErr w:type="spellEnd"/>
                      <w:r>
                        <w:rPr>
                          <w:sz w:val="12"/>
                          <w:szCs w:val="12"/>
                          <w:lang w:eastAsia="zh-CN"/>
                        </w:rPr>
                        <w:t xml:space="preserve"> </w:t>
                      </w:r>
                      <w:proofErr w:type="spellStart"/>
                      <w:r>
                        <w:rPr>
                          <w:sz w:val="12"/>
                          <w:szCs w:val="12"/>
                          <w:lang w:eastAsia="zh-CN"/>
                        </w:rPr>
                        <w:t>transversale</w:t>
                      </w:r>
                      <w:proofErr w:type="spellEnd"/>
                      <w:r>
                        <w:rPr>
                          <w:sz w:val="12"/>
                          <w:szCs w:val="12"/>
                          <w:lang w:eastAsia="zh-CN"/>
                        </w:rPr>
                        <w:t xml:space="preserve"> client</w:t>
                      </w:r>
                    </w:p>
                  </w:txbxContent>
                </v:textbox>
              </v:shape>
              <v:shape id="_x0000_s1319" type="#_x0000_t202" style="position:absolute;left:5140;top:3716;width:1181;height:557;v-text-anchor:middle" fillcolor="#00e266" strokecolor="black [3213]" strokeweight=".5pt">
                <v:textbox style="mso-next-textbox:#_x0000_s1319" inset="0,0,0,0">
                  <w:txbxContent>
                    <w:p w:rsidR="00C30982" w:rsidRPr="00A87B24" w:rsidRDefault="00C30982" w:rsidP="00C30982">
                      <w:pPr>
                        <w:spacing w:before="0"/>
                        <w:jc w:val="center"/>
                        <w:rPr>
                          <w:sz w:val="12"/>
                          <w:szCs w:val="12"/>
                          <w:lang w:eastAsia="zh-CN"/>
                        </w:rPr>
                      </w:pPr>
                      <w:r>
                        <w:rPr>
                          <w:sz w:val="12"/>
                          <w:szCs w:val="12"/>
                          <w:lang w:eastAsia="zh-CN"/>
                        </w:rPr>
                        <w:t xml:space="preserve">Services </w:t>
                      </w:r>
                      <w:r>
                        <w:rPr>
                          <w:sz w:val="12"/>
                          <w:szCs w:val="12"/>
                          <w:lang w:eastAsia="zh-CN"/>
                        </w:rPr>
                        <w:br/>
                      </w:r>
                      <w:proofErr w:type="spellStart"/>
                      <w:r>
                        <w:rPr>
                          <w:sz w:val="12"/>
                          <w:szCs w:val="12"/>
                          <w:lang w:eastAsia="zh-CN"/>
                        </w:rPr>
                        <w:t>professionnels</w:t>
                      </w:r>
                      <w:proofErr w:type="spellEnd"/>
                    </w:p>
                  </w:txbxContent>
                </v:textbox>
              </v:shape>
              <v:shape id="_x0000_s1320" type="#_x0000_t202" style="position:absolute;left:6426;top:2055;width:1181;height:557;v-text-anchor:middle" fillcolor="#00e266" strokecolor="black [3213]" strokeweight=".5pt">
                <v:textbox style="mso-next-textbox:#_x0000_s1320" inset="0,0,0,0">
                  <w:txbxContent>
                    <w:p w:rsidR="00C30982" w:rsidRPr="002C372B" w:rsidRDefault="00C30982" w:rsidP="00C30982">
                      <w:pPr>
                        <w:spacing w:before="0"/>
                        <w:jc w:val="center"/>
                        <w:rPr>
                          <w:sz w:val="12"/>
                          <w:szCs w:val="12"/>
                          <w:lang w:eastAsia="zh-CN"/>
                        </w:rPr>
                      </w:pPr>
                      <w:proofErr w:type="spellStart"/>
                      <w:r>
                        <w:rPr>
                          <w:sz w:val="12"/>
                          <w:szCs w:val="12"/>
                          <w:lang w:eastAsia="zh-CN"/>
                        </w:rPr>
                        <w:t>Juridique</w:t>
                      </w:r>
                      <w:proofErr w:type="spellEnd"/>
                      <w:r>
                        <w:rPr>
                          <w:sz w:val="12"/>
                          <w:szCs w:val="12"/>
                          <w:lang w:eastAsia="zh-CN"/>
                        </w:rPr>
                        <w:t xml:space="preserve"> et </w:t>
                      </w:r>
                      <w:proofErr w:type="spellStart"/>
                      <w:r>
                        <w:rPr>
                          <w:sz w:val="12"/>
                          <w:szCs w:val="12"/>
                          <w:lang w:eastAsia="zh-CN"/>
                        </w:rPr>
                        <w:t>réglementation</w:t>
                      </w:r>
                      <w:proofErr w:type="spellEnd"/>
                    </w:p>
                  </w:txbxContent>
                </v:textbox>
              </v:shape>
              <v:shape id="_x0000_s1321" type="#_x0000_t202" style="position:absolute;left:6426;top:2602;width:1181;height:557;v-text-anchor:middle" fillcolor="#00e266" strokecolor="black [3213]" strokeweight=".5pt">
                <v:textbox style="mso-next-textbox:#_x0000_s1321" inset="0,0,0,0">
                  <w:txbxContent>
                    <w:p w:rsidR="00C30982" w:rsidRPr="002C372B" w:rsidRDefault="00C30982" w:rsidP="00C30982">
                      <w:pPr>
                        <w:spacing w:before="0"/>
                        <w:jc w:val="center"/>
                        <w:rPr>
                          <w:sz w:val="12"/>
                          <w:szCs w:val="12"/>
                          <w:lang w:eastAsia="zh-CN"/>
                        </w:rPr>
                      </w:pPr>
                      <w:proofErr w:type="spellStart"/>
                      <w:r>
                        <w:rPr>
                          <w:sz w:val="12"/>
                          <w:szCs w:val="12"/>
                          <w:lang w:eastAsia="zh-CN"/>
                        </w:rPr>
                        <w:t>Gestion</w:t>
                      </w:r>
                      <w:proofErr w:type="spellEnd"/>
                      <w:r>
                        <w:rPr>
                          <w:sz w:val="12"/>
                          <w:szCs w:val="12"/>
                          <w:lang w:eastAsia="zh-CN"/>
                        </w:rPr>
                        <w:t xml:space="preserve"> des </w:t>
                      </w:r>
                      <w:proofErr w:type="spellStart"/>
                      <w:r>
                        <w:rPr>
                          <w:sz w:val="12"/>
                          <w:szCs w:val="12"/>
                          <w:lang w:eastAsia="zh-CN"/>
                        </w:rPr>
                        <w:t>risques</w:t>
                      </w:r>
                      <w:proofErr w:type="spellEnd"/>
                    </w:p>
                  </w:txbxContent>
                </v:textbox>
              </v:shape>
              <v:shape id="_x0000_s1322" type="#_x0000_t202" style="position:absolute;left:6426;top:3716;width:1181;height:557;v-text-anchor:middle" fillcolor="#00e266" strokecolor="black [3213]" strokeweight=".5pt">
                <v:textbox style="mso-next-textbox:#_x0000_s1322" inset="0,0,0,0">
                  <w:txbxContent>
                    <w:p w:rsidR="00C30982" w:rsidRPr="002C372B" w:rsidRDefault="00C30982" w:rsidP="00C30982">
                      <w:pPr>
                        <w:spacing w:before="0"/>
                        <w:jc w:val="center"/>
                        <w:rPr>
                          <w:sz w:val="12"/>
                          <w:szCs w:val="12"/>
                          <w:lang w:eastAsia="zh-CN"/>
                        </w:rPr>
                      </w:pPr>
                      <w:proofErr w:type="spellStart"/>
                      <w:r w:rsidRPr="002C372B">
                        <w:rPr>
                          <w:sz w:val="12"/>
                          <w:szCs w:val="12"/>
                          <w:lang w:eastAsia="zh-CN"/>
                        </w:rPr>
                        <w:t>Achat</w:t>
                      </w:r>
                      <w:proofErr w:type="spellEnd"/>
                    </w:p>
                  </w:txbxContent>
                </v:textbox>
              </v:shape>
              <v:shape id="_x0000_s1323" type="#_x0000_t202" style="position:absolute;left:85;top:2045;width:1181;height:557;v-text-anchor:middle" fillcolor="#f7ea89" strokecolor="black [3213]" strokeweight=".5pt">
                <v:textbox style="mso-next-textbox:#_x0000_s1323" inset="0,0,0,0">
                  <w:txbxContent>
                    <w:p w:rsidR="00C30982" w:rsidRPr="00340717" w:rsidRDefault="00C30982" w:rsidP="00C30982">
                      <w:pPr>
                        <w:spacing w:before="0"/>
                        <w:jc w:val="center"/>
                        <w:rPr>
                          <w:sz w:val="12"/>
                          <w:szCs w:val="12"/>
                          <w:lang w:eastAsia="zh-CN"/>
                        </w:rPr>
                      </w:pPr>
                      <w:r>
                        <w:rPr>
                          <w:sz w:val="12"/>
                          <w:szCs w:val="12"/>
                          <w:lang w:eastAsia="zh-CN"/>
                        </w:rPr>
                        <w:t xml:space="preserve">Production, </w:t>
                      </w:r>
                      <w:r>
                        <w:rPr>
                          <w:sz w:val="12"/>
                          <w:szCs w:val="12"/>
                          <w:lang w:eastAsia="zh-CN"/>
                        </w:rPr>
                        <w:br/>
                        <w:t>exploitation du SI</w:t>
                      </w:r>
                    </w:p>
                  </w:txbxContent>
                </v:textbox>
              </v:shape>
              <v:shape id="_x0000_s1324" type="#_x0000_t202" style="position:absolute;left:85;top:2602;width:1181;height:557;v-text-anchor:middle" fillcolor="#f7ea89" strokecolor="black [3213]" strokeweight=".5pt">
                <v:textbox style="mso-next-textbox:#_x0000_s1324" inset="0,0,0,0">
                  <w:txbxContent>
                    <w:p w:rsidR="00C30982" w:rsidRPr="00340717" w:rsidRDefault="00C30982" w:rsidP="00C30982">
                      <w:pPr>
                        <w:spacing w:before="0"/>
                        <w:jc w:val="center"/>
                        <w:rPr>
                          <w:sz w:val="12"/>
                          <w:szCs w:val="12"/>
                          <w:lang w:eastAsia="zh-CN"/>
                        </w:rPr>
                      </w:pPr>
                      <w:r w:rsidRPr="00340717">
                        <w:rPr>
                          <w:sz w:val="12"/>
                          <w:szCs w:val="12"/>
                          <w:lang w:eastAsia="zh-CN"/>
                        </w:rPr>
                        <w:t xml:space="preserve">Support et assistance technique </w:t>
                      </w:r>
                      <w:proofErr w:type="spellStart"/>
                      <w:r w:rsidRPr="00340717">
                        <w:rPr>
                          <w:sz w:val="12"/>
                          <w:szCs w:val="12"/>
                          <w:lang w:eastAsia="zh-CN"/>
                        </w:rPr>
                        <w:t>utilisateurs</w:t>
                      </w:r>
                      <w:proofErr w:type="spellEnd"/>
                    </w:p>
                  </w:txbxContent>
                </v:textbox>
              </v:shape>
              <v:shape id="_x0000_s1325" type="#_x0000_t202" style="position:absolute;left:1345;top:433;width:1181;height:557;v-text-anchor:middle" fillcolor="#f7ea89" strokecolor="black [3213]" strokeweight=".5pt">
                <v:textbox style="mso-next-textbox:#_x0000_s1325" inset="0,0,0,0">
                  <w:txbxContent>
                    <w:p w:rsidR="00C30982" w:rsidRPr="006B0EAC" w:rsidRDefault="00C30982" w:rsidP="00C30982">
                      <w:pPr>
                        <w:spacing w:before="0"/>
                        <w:jc w:val="center"/>
                        <w:rPr>
                          <w:sz w:val="12"/>
                          <w:szCs w:val="12"/>
                          <w:lang w:eastAsia="zh-CN"/>
                        </w:rPr>
                      </w:pPr>
                      <w:r w:rsidRPr="006B0EAC">
                        <w:rPr>
                          <w:sz w:val="12"/>
                          <w:szCs w:val="12"/>
                          <w:lang w:eastAsia="zh-CN"/>
                        </w:rPr>
                        <w:t xml:space="preserve">Etudes, conception </w:t>
                      </w:r>
                      <w:proofErr w:type="spellStart"/>
                      <w:r w:rsidRPr="006B0EAC">
                        <w:rPr>
                          <w:sz w:val="12"/>
                          <w:szCs w:val="12"/>
                          <w:lang w:eastAsia="zh-CN"/>
                        </w:rPr>
                        <w:t>réseaux</w:t>
                      </w:r>
                      <w:proofErr w:type="spellEnd"/>
                    </w:p>
                  </w:txbxContent>
                </v:textbox>
              </v:shape>
              <v:shape id="_x0000_s1326" type="#_x0000_t202" style="position:absolute;left:1345;top:941;width:1181;height:557;v-text-anchor:middle" fillcolor="#f7ea89" strokecolor="black [3213]" strokeweight=".5pt">
                <v:textbox style="mso-next-textbox:#_x0000_s1326" inset="0,0,0,0">
                  <w:txbxContent>
                    <w:p w:rsidR="00C30982" w:rsidRPr="00694250" w:rsidRDefault="00C30982" w:rsidP="00C30982">
                      <w:pPr>
                        <w:spacing w:before="0"/>
                        <w:rPr>
                          <w:sz w:val="16"/>
                          <w:szCs w:val="16"/>
                          <w:lang w:eastAsia="zh-CN"/>
                        </w:rPr>
                      </w:pPr>
                      <w:r>
                        <w:rPr>
                          <w:sz w:val="12"/>
                          <w:szCs w:val="12"/>
                          <w:lang w:eastAsia="zh-CN"/>
                        </w:rPr>
                        <w:t>Construction</w:t>
                      </w:r>
                      <w:r w:rsidRPr="006B0EAC">
                        <w:rPr>
                          <w:sz w:val="12"/>
                          <w:szCs w:val="12"/>
                          <w:lang w:eastAsia="zh-CN"/>
                        </w:rPr>
                        <w:t xml:space="preserve">, </w:t>
                      </w:r>
                      <w:r>
                        <w:rPr>
                          <w:sz w:val="12"/>
                          <w:szCs w:val="12"/>
                          <w:lang w:eastAsia="zh-CN"/>
                        </w:rPr>
                        <w:t>produc</w:t>
                      </w:r>
                      <w:r w:rsidRPr="006B0EAC">
                        <w:rPr>
                          <w:sz w:val="12"/>
                          <w:szCs w:val="12"/>
                          <w:lang w:eastAsia="zh-CN"/>
                        </w:rPr>
                        <w:t xml:space="preserve">tion </w:t>
                      </w:r>
                      <w:proofErr w:type="spellStart"/>
                      <w:r w:rsidRPr="006B0EAC">
                        <w:rPr>
                          <w:sz w:val="12"/>
                          <w:szCs w:val="12"/>
                          <w:lang w:eastAsia="zh-CN"/>
                        </w:rPr>
                        <w:t>réseaux</w:t>
                      </w:r>
                      <w:proofErr w:type="spellEnd"/>
                    </w:p>
                  </w:txbxContent>
                </v:textbox>
              </v:shape>
              <v:shape id="_x0000_s1327" type="#_x0000_t202" style="position:absolute;left:1345;top:1488;width:1181;height:557;v-text-anchor:middle" fillcolor="#f7ea89" strokecolor="black [3213]" strokeweight=".5pt">
                <v:textbox style="mso-next-textbox:#_x0000_s1327" inset="0,0,0,0">
                  <w:txbxContent>
                    <w:p w:rsidR="00C30982" w:rsidRPr="006B0EAC" w:rsidRDefault="00C30982" w:rsidP="00C30982">
                      <w:pPr>
                        <w:spacing w:before="0"/>
                        <w:jc w:val="center"/>
                        <w:rPr>
                          <w:sz w:val="12"/>
                          <w:szCs w:val="12"/>
                          <w:lang w:val="fr-FR" w:eastAsia="zh-CN"/>
                        </w:rPr>
                      </w:pPr>
                      <w:r w:rsidRPr="006B0EAC">
                        <w:rPr>
                          <w:sz w:val="12"/>
                          <w:szCs w:val="12"/>
                          <w:lang w:val="fr-FR" w:eastAsia="zh-CN"/>
                        </w:rPr>
                        <w:t xml:space="preserve">Supervision et exploitation réseaux </w:t>
                      </w:r>
                      <w:r w:rsidRPr="006B0EAC">
                        <w:rPr>
                          <w:sz w:val="12"/>
                          <w:szCs w:val="12"/>
                          <w:lang w:val="fr-FR" w:eastAsia="zh-CN"/>
                        </w:rPr>
                        <w:br/>
                        <w:t>et SI</w:t>
                      </w:r>
                    </w:p>
                  </w:txbxContent>
                </v:textbox>
              </v:shape>
              <v:shape id="_x0000_s1328" type="#_x0000_t202" style="position:absolute;left:1345;top:2602;width:1181;height:557;v-text-anchor:middle" fillcolor="#f7ea89" strokecolor="black [3213]" strokeweight=".5pt">
                <v:textbox style="mso-next-textbox:#_x0000_s1328" inset="0,0,0,0">
                  <w:txbxContent>
                    <w:p w:rsidR="00C30982" w:rsidRPr="006E1179" w:rsidRDefault="00C30982" w:rsidP="00C30982">
                      <w:pPr>
                        <w:spacing w:before="0"/>
                        <w:jc w:val="center"/>
                        <w:rPr>
                          <w:sz w:val="12"/>
                          <w:szCs w:val="12"/>
                          <w:lang w:eastAsia="zh-CN"/>
                        </w:rPr>
                      </w:pPr>
                      <w:r>
                        <w:rPr>
                          <w:sz w:val="12"/>
                          <w:szCs w:val="12"/>
                          <w:lang w:eastAsia="zh-CN"/>
                        </w:rPr>
                        <w:t>Intervention clients</w:t>
                      </w:r>
                    </w:p>
                  </w:txbxContent>
                </v:textbox>
              </v:shape>
              <v:shape id="_x0000_s1329" type="#_x0000_t202" style="position:absolute;left:3880;top:990;width:1181;height:508;v-text-anchor:middle" fillcolor="#f7ea89" strokecolor="black [3213]" strokeweight=".5pt">
                <v:textbox style="mso-next-textbox:#_x0000_s1329" inset="0,0,0,0">
                  <w:txbxContent>
                    <w:p w:rsidR="00C30982" w:rsidRPr="00A80188" w:rsidRDefault="00C30982" w:rsidP="00C30982">
                      <w:pPr>
                        <w:spacing w:before="0"/>
                        <w:jc w:val="center"/>
                        <w:rPr>
                          <w:sz w:val="12"/>
                          <w:szCs w:val="12"/>
                          <w:lang w:eastAsia="zh-CN"/>
                        </w:rPr>
                      </w:pPr>
                      <w:r w:rsidRPr="00A80188">
                        <w:rPr>
                          <w:sz w:val="12"/>
                          <w:szCs w:val="12"/>
                          <w:lang w:eastAsia="zh-CN"/>
                        </w:rPr>
                        <w:t>Edition et animation</w:t>
                      </w:r>
                    </w:p>
                  </w:txbxContent>
                </v:textbox>
              </v:shape>
              <v:shape id="_x0000_s1330" type="#_x0000_t202" style="position:absolute;left:3880;top:1498;width:1181;height:558;v-text-anchor:middle" fillcolor="#f7ea89" strokecolor="black [3213]" strokeweight=".5pt">
                <v:textbox style="mso-next-textbox:#_x0000_s1330" inset="0,0,0,0">
                  <w:txbxContent>
                    <w:p w:rsidR="00C30982" w:rsidRPr="00A80188" w:rsidRDefault="00C30982" w:rsidP="00C30982">
                      <w:pPr>
                        <w:spacing w:before="0"/>
                        <w:jc w:val="center"/>
                        <w:rPr>
                          <w:sz w:val="12"/>
                          <w:szCs w:val="12"/>
                          <w:lang w:eastAsia="zh-CN"/>
                        </w:rPr>
                      </w:pPr>
                      <w:proofErr w:type="spellStart"/>
                      <w:r w:rsidRPr="00A80188">
                        <w:rPr>
                          <w:sz w:val="12"/>
                          <w:szCs w:val="12"/>
                          <w:lang w:eastAsia="zh-CN"/>
                        </w:rPr>
                        <w:t>Partenariat</w:t>
                      </w:r>
                      <w:proofErr w:type="spellEnd"/>
                      <w:r w:rsidRPr="00A80188">
                        <w:rPr>
                          <w:sz w:val="12"/>
                          <w:szCs w:val="12"/>
                          <w:lang w:eastAsia="zh-CN"/>
                        </w:rPr>
                        <w:t xml:space="preserve"> et </w:t>
                      </w:r>
                      <w:r>
                        <w:rPr>
                          <w:sz w:val="12"/>
                          <w:szCs w:val="12"/>
                          <w:lang w:eastAsia="zh-CN"/>
                        </w:rPr>
                        <w:br/>
                      </w:r>
                      <w:proofErr w:type="spellStart"/>
                      <w:r>
                        <w:rPr>
                          <w:sz w:val="12"/>
                          <w:szCs w:val="12"/>
                          <w:lang w:eastAsia="zh-CN"/>
                        </w:rPr>
                        <w:t>dé</w:t>
                      </w:r>
                      <w:r w:rsidRPr="00A80188">
                        <w:rPr>
                          <w:sz w:val="12"/>
                          <w:szCs w:val="12"/>
                          <w:lang w:eastAsia="zh-CN"/>
                        </w:rPr>
                        <w:t>finition</w:t>
                      </w:r>
                      <w:proofErr w:type="spellEnd"/>
                      <w:r w:rsidRPr="00A80188">
                        <w:rPr>
                          <w:sz w:val="12"/>
                          <w:szCs w:val="12"/>
                          <w:lang w:eastAsia="zh-CN"/>
                        </w:rPr>
                        <w:t xml:space="preserve"> de </w:t>
                      </w:r>
                      <w:proofErr w:type="spellStart"/>
                      <w:r w:rsidRPr="00A80188">
                        <w:rPr>
                          <w:sz w:val="12"/>
                          <w:szCs w:val="12"/>
                          <w:lang w:eastAsia="zh-CN"/>
                        </w:rPr>
                        <w:t>contenus</w:t>
                      </w:r>
                      <w:proofErr w:type="spellEnd"/>
                    </w:p>
                  </w:txbxContent>
                </v:textbox>
              </v:shape>
              <v:shape id="_x0000_s1331" type="#_x0000_t202" style="position:absolute;left:5140;top:931;width:1181;height:557;v-text-anchor:middle" fillcolor="#f7ea89" strokecolor="black [3213]" strokeweight=".5pt">
                <v:textbox style="mso-next-textbox:#_x0000_s1331" inset="0,0,0,0">
                  <w:txbxContent>
                    <w:p w:rsidR="00C30982" w:rsidRPr="00A87B24" w:rsidRDefault="00C30982" w:rsidP="00C30982">
                      <w:pPr>
                        <w:spacing w:before="0"/>
                        <w:jc w:val="center"/>
                        <w:rPr>
                          <w:sz w:val="12"/>
                          <w:szCs w:val="12"/>
                          <w:lang w:eastAsia="zh-CN"/>
                        </w:rPr>
                      </w:pPr>
                      <w:proofErr w:type="spellStart"/>
                      <w:r w:rsidRPr="00A87B24">
                        <w:rPr>
                          <w:sz w:val="12"/>
                          <w:szCs w:val="12"/>
                          <w:lang w:val="en-US" w:eastAsia="zh-CN"/>
                        </w:rPr>
                        <w:t>Appui</w:t>
                      </w:r>
                      <w:proofErr w:type="spellEnd"/>
                      <w:r w:rsidRPr="00A87B24">
                        <w:rPr>
                          <w:sz w:val="12"/>
                          <w:szCs w:val="12"/>
                          <w:lang w:val="en-US" w:eastAsia="zh-CN"/>
                        </w:rPr>
                        <w:t xml:space="preserve"> commercial</w:t>
                      </w:r>
                    </w:p>
                  </w:txbxContent>
                </v:textbox>
              </v:shape>
              <v:shape id="_x0000_s1332" type="#_x0000_t202" style="position:absolute;left:1401;top:132;width:1125;height:225" strokecolor="white">
                <v:textbox style="mso-next-textbox:#_x0000_s1332" inset=",0,,0">
                  <w:txbxContent>
                    <w:p w:rsidR="00C30982" w:rsidRPr="00B06427" w:rsidRDefault="00C30982" w:rsidP="00C30982">
                      <w:pPr>
                        <w:spacing w:before="0"/>
                        <w:rPr>
                          <w:rFonts w:asciiTheme="majorBidi" w:hAnsiTheme="majorBidi" w:cstheme="majorBidi"/>
                          <w:sz w:val="10"/>
                          <w:szCs w:val="10"/>
                          <w:lang w:eastAsia="zh-CN"/>
                        </w:rPr>
                      </w:pPr>
                      <w:proofErr w:type="spellStart"/>
                      <w:r w:rsidRPr="00B06427">
                        <w:rPr>
                          <w:rFonts w:asciiTheme="majorBidi" w:hAnsiTheme="majorBidi" w:cstheme="majorBidi"/>
                          <w:sz w:val="10"/>
                          <w:szCs w:val="10"/>
                          <w:lang w:eastAsia="zh-CN"/>
                        </w:rPr>
                        <w:t>Domaine</w:t>
                      </w:r>
                      <w:proofErr w:type="spellEnd"/>
                      <w:r w:rsidRPr="00B06427">
                        <w:rPr>
                          <w:rFonts w:asciiTheme="majorBidi" w:hAnsiTheme="majorBidi" w:cstheme="majorBidi"/>
                          <w:sz w:val="10"/>
                          <w:szCs w:val="10"/>
                          <w:lang w:eastAsia="zh-CN"/>
                        </w:rPr>
                        <w:t xml:space="preserve"> </w:t>
                      </w:r>
                      <w:proofErr w:type="spellStart"/>
                      <w:r w:rsidRPr="00B06427">
                        <w:rPr>
                          <w:rFonts w:asciiTheme="majorBidi" w:hAnsiTheme="majorBidi" w:cstheme="majorBidi"/>
                          <w:sz w:val="10"/>
                          <w:szCs w:val="10"/>
                          <w:lang w:eastAsia="zh-CN"/>
                        </w:rPr>
                        <w:t>réseaux</w:t>
                      </w:r>
                      <w:proofErr w:type="spellEnd"/>
                    </w:p>
                  </w:txbxContent>
                </v:textbox>
              </v:shape>
              <v:shape id="_x0000_s1333" type="#_x0000_t202" style="position:absolute;left:2676;top:132;width:1125;height:283" strokecolor="white">
                <v:textbox style="mso-next-textbox:#_x0000_s1333" inset=",0,,0">
                  <w:txbxContent>
                    <w:p w:rsidR="00C30982" w:rsidRPr="00E410BE" w:rsidRDefault="00C30982" w:rsidP="00C30982">
                      <w:pPr>
                        <w:spacing w:before="0"/>
                        <w:jc w:val="center"/>
                        <w:rPr>
                          <w:rFonts w:asciiTheme="majorBidi" w:hAnsiTheme="majorBidi" w:cstheme="majorBidi"/>
                          <w:sz w:val="10"/>
                          <w:szCs w:val="10"/>
                          <w:lang w:eastAsia="zh-CN"/>
                        </w:rPr>
                      </w:pPr>
                      <w:proofErr w:type="spellStart"/>
                      <w:r w:rsidRPr="00E410BE">
                        <w:rPr>
                          <w:rFonts w:asciiTheme="majorBidi" w:hAnsiTheme="majorBidi" w:cstheme="majorBidi"/>
                          <w:sz w:val="10"/>
                          <w:szCs w:val="10"/>
                          <w:lang w:eastAsia="zh-CN"/>
                        </w:rPr>
                        <w:t>Domaine</w:t>
                      </w:r>
                      <w:proofErr w:type="spellEnd"/>
                      <w:r w:rsidRPr="00E410BE">
                        <w:rPr>
                          <w:rFonts w:asciiTheme="majorBidi" w:hAnsiTheme="majorBidi" w:cstheme="majorBidi"/>
                          <w:sz w:val="10"/>
                          <w:szCs w:val="10"/>
                          <w:lang w:eastAsia="zh-CN"/>
                        </w:rPr>
                        <w:t xml:space="preserve"> innovation prospective</w:t>
                      </w:r>
                    </w:p>
                  </w:txbxContent>
                </v:textbox>
              </v:shape>
              <v:shape id="_x0000_s1334" type="#_x0000_t202" style="position:absolute;left:3936;top:132;width:1125;height:224" strokecolor="white">
                <v:textbox style="mso-next-textbox:#_x0000_s1334" inset="0,0,0,0">
                  <w:txbxContent>
                    <w:p w:rsidR="00C30982" w:rsidRPr="00B06427" w:rsidRDefault="00C30982" w:rsidP="00C30982">
                      <w:pPr>
                        <w:spacing w:before="0"/>
                        <w:jc w:val="center"/>
                        <w:rPr>
                          <w:sz w:val="10"/>
                          <w:szCs w:val="10"/>
                          <w:lang w:eastAsia="zh-CN"/>
                        </w:rPr>
                      </w:pPr>
                      <w:proofErr w:type="spellStart"/>
                      <w:r>
                        <w:rPr>
                          <w:sz w:val="10"/>
                          <w:szCs w:val="10"/>
                          <w:lang w:eastAsia="zh-CN"/>
                        </w:rPr>
                        <w:t>Domaine</w:t>
                      </w:r>
                      <w:proofErr w:type="spellEnd"/>
                      <w:r>
                        <w:rPr>
                          <w:sz w:val="10"/>
                          <w:szCs w:val="10"/>
                          <w:lang w:eastAsia="zh-CN"/>
                        </w:rPr>
                        <w:t xml:space="preserve"> production de </w:t>
                      </w:r>
                      <w:proofErr w:type="spellStart"/>
                      <w:r>
                        <w:rPr>
                          <w:sz w:val="10"/>
                          <w:szCs w:val="10"/>
                          <w:lang w:eastAsia="zh-CN"/>
                        </w:rPr>
                        <w:t>contenu</w:t>
                      </w:r>
                      <w:proofErr w:type="spellEnd"/>
                      <w:r>
                        <w:rPr>
                          <w:sz w:val="10"/>
                          <w:szCs w:val="10"/>
                          <w:lang w:eastAsia="zh-CN"/>
                        </w:rPr>
                        <w:t xml:space="preserve"> </w:t>
                      </w:r>
                      <w:proofErr w:type="spellStart"/>
                      <w:r>
                        <w:rPr>
                          <w:sz w:val="10"/>
                          <w:szCs w:val="10"/>
                          <w:lang w:eastAsia="zh-CN"/>
                        </w:rPr>
                        <w:t>multimédia</w:t>
                      </w:r>
                      <w:proofErr w:type="spellEnd"/>
                    </w:p>
                  </w:txbxContent>
                </v:textbox>
              </v:shape>
              <v:shape id="_x0000_s1335" type="#_x0000_t202" style="position:absolute;left:5196;top:132;width:1125;height:225" strokecolor="white">
                <v:textbox style="mso-next-textbox:#_x0000_s1335" inset=",0,,0">
                  <w:txbxContent>
                    <w:p w:rsidR="00C30982" w:rsidRPr="003D4905" w:rsidRDefault="00C30982" w:rsidP="00C30982">
                      <w:pPr>
                        <w:spacing w:before="0"/>
                        <w:jc w:val="center"/>
                        <w:rPr>
                          <w:sz w:val="10"/>
                          <w:szCs w:val="10"/>
                          <w:lang w:eastAsia="zh-CN"/>
                        </w:rPr>
                      </w:pPr>
                      <w:proofErr w:type="spellStart"/>
                      <w:r w:rsidRPr="003D4905">
                        <w:rPr>
                          <w:sz w:val="10"/>
                          <w:szCs w:val="10"/>
                          <w:lang w:eastAsia="zh-CN"/>
                        </w:rPr>
                        <w:t>Domaine</w:t>
                      </w:r>
                      <w:proofErr w:type="spellEnd"/>
                      <w:r w:rsidRPr="003D4905">
                        <w:rPr>
                          <w:sz w:val="10"/>
                          <w:szCs w:val="10"/>
                          <w:lang w:eastAsia="zh-CN"/>
                        </w:rPr>
                        <w:t xml:space="preserve"> client</w:t>
                      </w:r>
                    </w:p>
                  </w:txbxContent>
                </v:textbox>
              </v:shape>
              <v:shape id="_x0000_s1336" type="#_x0000_t202" style="position:absolute;left:6426;top:132;width:1125;height:283" strokecolor="white">
                <v:textbox style="mso-next-textbox:#_x0000_s1336" inset=",0,,0">
                  <w:txbxContent>
                    <w:p w:rsidR="00C30982" w:rsidRPr="003D4905" w:rsidRDefault="00C30982" w:rsidP="00C30982">
                      <w:pPr>
                        <w:spacing w:before="0"/>
                        <w:jc w:val="center"/>
                        <w:rPr>
                          <w:sz w:val="10"/>
                          <w:szCs w:val="10"/>
                          <w:lang w:eastAsia="zh-CN"/>
                        </w:rPr>
                      </w:pPr>
                      <w:proofErr w:type="spellStart"/>
                      <w:r w:rsidRPr="003D4905">
                        <w:rPr>
                          <w:sz w:val="10"/>
                          <w:szCs w:val="10"/>
                          <w:lang w:eastAsia="zh-CN"/>
                        </w:rPr>
                        <w:t>Domaine</w:t>
                      </w:r>
                      <w:proofErr w:type="spellEnd"/>
                      <w:r w:rsidRPr="003D4905">
                        <w:rPr>
                          <w:sz w:val="10"/>
                          <w:szCs w:val="10"/>
                          <w:lang w:eastAsia="zh-CN"/>
                        </w:rPr>
                        <w:t xml:space="preserve"> </w:t>
                      </w:r>
                      <w:proofErr w:type="spellStart"/>
                      <w:r w:rsidRPr="003D4905">
                        <w:rPr>
                          <w:sz w:val="10"/>
                          <w:szCs w:val="10"/>
                          <w:lang w:eastAsia="zh-CN"/>
                        </w:rPr>
                        <w:t>gestion</w:t>
                      </w:r>
                      <w:proofErr w:type="spellEnd"/>
                      <w:r w:rsidRPr="003D4905">
                        <w:rPr>
                          <w:sz w:val="10"/>
                          <w:szCs w:val="10"/>
                          <w:lang w:eastAsia="zh-CN"/>
                        </w:rPr>
                        <w:t xml:space="preserve"> support</w:t>
                      </w:r>
                    </w:p>
                  </w:txbxContent>
                </v:textbox>
              </v:shape>
              <v:shape id="_x0000_s1337" type="#_x0000_t202" style="position:absolute;left:6426;top:433;width:1181;height:508;v-text-anchor:middle" fillcolor="#f7ea89" strokecolor="black [3213]" strokeweight=".5pt">
                <v:textbox style="mso-next-textbox:#_x0000_s1337" inset="0,0,0,0">
                  <w:txbxContent>
                    <w:p w:rsidR="00C30982" w:rsidRPr="002C372B" w:rsidRDefault="00C30982" w:rsidP="00C30982">
                      <w:pPr>
                        <w:spacing w:before="0"/>
                        <w:jc w:val="center"/>
                        <w:rPr>
                          <w:sz w:val="12"/>
                          <w:szCs w:val="12"/>
                          <w:lang w:eastAsia="zh-CN"/>
                        </w:rPr>
                      </w:pPr>
                      <w:proofErr w:type="spellStart"/>
                      <w:r w:rsidRPr="002C372B">
                        <w:rPr>
                          <w:sz w:val="12"/>
                          <w:szCs w:val="12"/>
                          <w:lang w:eastAsia="zh-CN"/>
                        </w:rPr>
                        <w:t>Ressources</w:t>
                      </w:r>
                      <w:proofErr w:type="spellEnd"/>
                      <w:r w:rsidRPr="002C372B">
                        <w:rPr>
                          <w:sz w:val="12"/>
                          <w:szCs w:val="12"/>
                          <w:lang w:eastAsia="zh-CN"/>
                        </w:rPr>
                        <w:t xml:space="preserve"> </w:t>
                      </w:r>
                      <w:proofErr w:type="spellStart"/>
                      <w:r w:rsidRPr="002C372B">
                        <w:rPr>
                          <w:sz w:val="12"/>
                          <w:szCs w:val="12"/>
                          <w:lang w:eastAsia="zh-CN"/>
                        </w:rPr>
                        <w:t>humaines</w:t>
                      </w:r>
                      <w:proofErr w:type="spellEnd"/>
                    </w:p>
                  </w:txbxContent>
                </v:textbox>
              </v:shape>
              <v:shape id="_x0000_s1338" type="#_x0000_t202" style="position:absolute;left:6426;top:1499;width:1181;height:557;v-text-anchor:middle" fillcolor="#f7ea89" strokecolor="black [3213]" strokeweight=".5pt">
                <v:textbox style="mso-next-textbox:#_x0000_s1338" inset="0,0,0,0">
                  <w:txbxContent>
                    <w:p w:rsidR="00C30982" w:rsidRPr="002C372B" w:rsidRDefault="00C30982" w:rsidP="00C30982">
                      <w:pPr>
                        <w:spacing w:before="0"/>
                        <w:jc w:val="center"/>
                        <w:rPr>
                          <w:sz w:val="12"/>
                          <w:szCs w:val="12"/>
                          <w:lang w:eastAsia="zh-CN"/>
                        </w:rPr>
                      </w:pPr>
                      <w:r w:rsidRPr="002C372B">
                        <w:rPr>
                          <w:sz w:val="12"/>
                          <w:szCs w:val="12"/>
                          <w:lang w:val="en-US" w:eastAsia="zh-CN"/>
                        </w:rPr>
                        <w:t>Finance</w:t>
                      </w:r>
                    </w:p>
                  </w:txbxContent>
                </v:textbox>
              </v:shape>
              <v:shape id="_x0000_s1339" type="#_x0000_t202" style="position:absolute;left:6426;top:3170;width:1181;height:557;v-text-anchor:middle" fillcolor="#f7ea89" strokecolor="black [3213]" strokeweight=".5pt">
                <v:textbox style="mso-next-textbox:#_x0000_s1339" inset="0,0,0,0">
                  <w:txbxContent>
                    <w:p w:rsidR="00C30982" w:rsidRPr="002C372B" w:rsidRDefault="00C30982" w:rsidP="00C30982">
                      <w:pPr>
                        <w:spacing w:before="0"/>
                        <w:jc w:val="center"/>
                        <w:rPr>
                          <w:sz w:val="12"/>
                          <w:szCs w:val="12"/>
                          <w:lang w:eastAsia="zh-CN"/>
                        </w:rPr>
                      </w:pPr>
                      <w:proofErr w:type="spellStart"/>
                      <w:r>
                        <w:rPr>
                          <w:sz w:val="12"/>
                          <w:szCs w:val="12"/>
                          <w:lang w:eastAsia="zh-CN"/>
                        </w:rPr>
                        <w:t>Gestion</w:t>
                      </w:r>
                      <w:proofErr w:type="spellEnd"/>
                      <w:r>
                        <w:rPr>
                          <w:sz w:val="12"/>
                          <w:szCs w:val="12"/>
                          <w:lang w:eastAsia="zh-CN"/>
                        </w:rPr>
                        <w:t xml:space="preserve"> des </w:t>
                      </w:r>
                      <w:proofErr w:type="spellStart"/>
                      <w:r>
                        <w:rPr>
                          <w:sz w:val="12"/>
                          <w:szCs w:val="12"/>
                          <w:lang w:eastAsia="zh-CN"/>
                        </w:rPr>
                        <w:t>biens</w:t>
                      </w:r>
                      <w:proofErr w:type="spellEnd"/>
                      <w:r>
                        <w:rPr>
                          <w:sz w:val="12"/>
                          <w:szCs w:val="12"/>
                          <w:lang w:eastAsia="zh-CN"/>
                        </w:rPr>
                        <w:t xml:space="preserve"> </w:t>
                      </w:r>
                      <w:r>
                        <w:rPr>
                          <w:sz w:val="12"/>
                          <w:szCs w:val="12"/>
                          <w:lang w:eastAsia="zh-CN"/>
                        </w:rPr>
                        <w:br/>
                        <w:t>et installations</w:t>
                      </w:r>
                    </w:p>
                  </w:txbxContent>
                </v:textbox>
              </v:shape>
              <v:shape id="_x0000_s1340" type="#_x0000_t202" style="position:absolute;left:6426;top:4273;width:1181;height:547;v-text-anchor:middle" fillcolor="#f7ea89" strokecolor="black [3213]" strokeweight=".5pt">
                <v:textbox style="mso-next-textbox:#_x0000_s1340" inset="0,0,0,0">
                  <w:txbxContent>
                    <w:p w:rsidR="00C30982" w:rsidRPr="005709AB" w:rsidRDefault="00C30982" w:rsidP="00C30982">
                      <w:pPr>
                        <w:spacing w:before="0"/>
                        <w:jc w:val="center"/>
                        <w:rPr>
                          <w:sz w:val="12"/>
                          <w:szCs w:val="12"/>
                          <w:lang w:eastAsia="zh-CN"/>
                        </w:rPr>
                      </w:pPr>
                      <w:proofErr w:type="spellStart"/>
                      <w:r>
                        <w:rPr>
                          <w:sz w:val="12"/>
                          <w:szCs w:val="12"/>
                          <w:lang w:eastAsia="zh-CN"/>
                        </w:rPr>
                        <w:t>Chaîne</w:t>
                      </w:r>
                      <w:proofErr w:type="spellEnd"/>
                      <w:r>
                        <w:rPr>
                          <w:sz w:val="12"/>
                          <w:szCs w:val="12"/>
                          <w:lang w:eastAsia="zh-CN"/>
                        </w:rPr>
                        <w:t xml:space="preserve"> de </w:t>
                      </w:r>
                      <w:proofErr w:type="spellStart"/>
                      <w:r>
                        <w:rPr>
                          <w:sz w:val="12"/>
                          <w:szCs w:val="12"/>
                          <w:lang w:eastAsia="zh-CN"/>
                        </w:rPr>
                        <w:t>l’offre</w:t>
                      </w:r>
                      <w:proofErr w:type="spellEnd"/>
                    </w:p>
                  </w:txbxContent>
                </v:textbox>
              </v:shape>
              <v:shape id="_x0000_s1341" type="#_x0000_t202" style="position:absolute;left:6426;top:4809;width:1181;height:557;v-text-anchor:middle" fillcolor="#f7ea89" strokecolor="black [3213]" strokeweight=".5pt">
                <v:textbox style="mso-next-textbox:#_x0000_s1341" inset="0,0,0,0">
                  <w:txbxContent>
                    <w:p w:rsidR="00C30982" w:rsidRPr="005709AB" w:rsidRDefault="00C30982" w:rsidP="00C30982">
                      <w:pPr>
                        <w:spacing w:before="0"/>
                        <w:jc w:val="center"/>
                        <w:rPr>
                          <w:sz w:val="12"/>
                          <w:szCs w:val="12"/>
                          <w:lang w:eastAsia="zh-CN"/>
                        </w:rPr>
                      </w:pPr>
                      <w:r>
                        <w:rPr>
                          <w:sz w:val="12"/>
                          <w:szCs w:val="12"/>
                          <w:lang w:eastAsia="zh-CN"/>
                        </w:rPr>
                        <w:t xml:space="preserve">Assistance de </w:t>
                      </w:r>
                      <w:r>
                        <w:rPr>
                          <w:sz w:val="12"/>
                          <w:szCs w:val="12"/>
                          <w:lang w:eastAsia="zh-CN"/>
                        </w:rPr>
                        <w:br/>
                      </w:r>
                      <w:proofErr w:type="spellStart"/>
                      <w:r>
                        <w:rPr>
                          <w:sz w:val="12"/>
                          <w:szCs w:val="12"/>
                          <w:lang w:eastAsia="zh-CN"/>
                        </w:rPr>
                        <w:t>secrétariat</w:t>
                      </w:r>
                      <w:proofErr w:type="spellEnd"/>
                    </w:p>
                  </w:txbxContent>
                </v:textbox>
              </v:shape>
            </v:group>
            <v:shape id="_x0000_s1342" type="#_x0000_t202" style="position:absolute;top:4320;width:3042;height:317" strokecolor="white">
              <v:textbox style="mso-next-textbox:#_x0000_s1342" inset=",0,,0">
                <w:txbxContent>
                  <w:p w:rsidR="00C30982" w:rsidRPr="00131CDC" w:rsidRDefault="00C30982" w:rsidP="00C30982">
                    <w:pPr>
                      <w:spacing w:before="0"/>
                      <w:jc w:val="right"/>
                      <w:rPr>
                        <w:sz w:val="16"/>
                        <w:szCs w:val="16"/>
                        <w:lang w:eastAsia="zh-CN"/>
                      </w:rPr>
                    </w:pPr>
                    <w:proofErr w:type="spellStart"/>
                    <w:r w:rsidRPr="00131CDC">
                      <w:rPr>
                        <w:sz w:val="16"/>
                        <w:szCs w:val="16"/>
                        <w:lang w:eastAsia="zh-CN"/>
                      </w:rPr>
                      <w:t>Potentiel</w:t>
                    </w:r>
                    <w:proofErr w:type="spellEnd"/>
                    <w:r w:rsidRPr="00131CDC">
                      <w:rPr>
                        <w:sz w:val="16"/>
                        <w:szCs w:val="16"/>
                        <w:lang w:eastAsia="zh-CN"/>
                      </w:rPr>
                      <w:t xml:space="preserve"> </w:t>
                    </w:r>
                    <w:proofErr w:type="spellStart"/>
                    <w:r w:rsidRPr="00131CDC">
                      <w:rPr>
                        <w:sz w:val="16"/>
                        <w:szCs w:val="16"/>
                        <w:lang w:eastAsia="zh-CN"/>
                      </w:rPr>
                      <w:t>d’évolution</w:t>
                    </w:r>
                    <w:proofErr w:type="spellEnd"/>
                    <w:r w:rsidRPr="00131CDC">
                      <w:rPr>
                        <w:sz w:val="16"/>
                        <w:szCs w:val="16"/>
                        <w:lang w:eastAsia="zh-CN"/>
                      </w:rPr>
                      <w:t xml:space="preserve"> des </w:t>
                    </w:r>
                    <w:proofErr w:type="spellStart"/>
                    <w:r w:rsidRPr="00131CDC">
                      <w:rPr>
                        <w:sz w:val="16"/>
                        <w:szCs w:val="16"/>
                        <w:lang w:eastAsia="zh-CN"/>
                      </w:rPr>
                      <w:t>métiers</w:t>
                    </w:r>
                    <w:proofErr w:type="spellEnd"/>
                  </w:p>
                </w:txbxContent>
              </v:textbox>
            </v:shape>
            <v:shape id="_x0000_s1343" type="#_x0000_t202" style="position:absolute;left:3801;top:3716;width:1125;height:317" strokecolor="white">
              <v:textbox style="mso-next-textbox:#_x0000_s1343" inset="0,0,0,0">
                <w:txbxContent>
                  <w:p w:rsidR="00C30982" w:rsidRPr="00131CDC" w:rsidRDefault="00C30982" w:rsidP="00C30982">
                    <w:pPr>
                      <w:spacing w:before="0"/>
                      <w:rPr>
                        <w:sz w:val="16"/>
                        <w:szCs w:val="16"/>
                        <w:lang w:eastAsia="zh-CN"/>
                      </w:rPr>
                    </w:pPr>
                    <w:r w:rsidRPr="00131CDC">
                      <w:rPr>
                        <w:sz w:val="16"/>
                        <w:szCs w:val="16"/>
                        <w:lang w:val="en-US" w:eastAsia="zh-CN"/>
                      </w:rPr>
                      <w:t xml:space="preserve">En </w:t>
                    </w:r>
                    <w:proofErr w:type="spellStart"/>
                    <w:r w:rsidRPr="00131CDC">
                      <w:rPr>
                        <w:sz w:val="16"/>
                        <w:szCs w:val="16"/>
                        <w:lang w:val="en-US" w:eastAsia="zh-CN"/>
                      </w:rPr>
                      <w:t>croissance</w:t>
                    </w:r>
                    <w:proofErr w:type="spellEnd"/>
                  </w:p>
                </w:txbxContent>
              </v:textbox>
            </v:shape>
            <v:shape id="_x0000_s1344" type="#_x0000_t202" style="position:absolute;left:3880;top:4320;width:1125;height:317" strokecolor="white">
              <v:textbox style="mso-next-textbox:#_x0000_s1344" inset="0,0,0,0">
                <w:txbxContent>
                  <w:p w:rsidR="00C30982" w:rsidRPr="00131CDC" w:rsidRDefault="00C30982" w:rsidP="00C30982">
                    <w:pPr>
                      <w:spacing w:before="0"/>
                      <w:rPr>
                        <w:sz w:val="16"/>
                        <w:szCs w:val="16"/>
                        <w:lang w:eastAsia="zh-CN"/>
                      </w:rPr>
                    </w:pPr>
                    <w:r w:rsidRPr="00131CDC">
                      <w:rPr>
                        <w:sz w:val="16"/>
                        <w:szCs w:val="16"/>
                        <w:lang w:eastAsia="zh-CN"/>
                      </w:rPr>
                      <w:t>Stable</w:t>
                    </w:r>
                  </w:p>
                </w:txbxContent>
              </v:textbox>
            </v:shape>
            <v:shape id="_x0000_s1345" type="#_x0000_t202" style="position:absolute;left:3880;top:4954;width:1125;height:317" strokecolor="white">
              <v:textbox style="mso-next-textbox:#_x0000_s1345" inset="0,0,0,0">
                <w:txbxContent>
                  <w:p w:rsidR="00C30982" w:rsidRPr="00131CDC" w:rsidRDefault="00C30982" w:rsidP="00C30982">
                    <w:pPr>
                      <w:spacing w:before="0"/>
                      <w:rPr>
                        <w:sz w:val="16"/>
                        <w:szCs w:val="16"/>
                        <w:lang w:eastAsia="zh-CN"/>
                      </w:rPr>
                    </w:pPr>
                    <w:r w:rsidRPr="00131CDC">
                      <w:rPr>
                        <w:sz w:val="16"/>
                        <w:szCs w:val="16"/>
                        <w:lang w:val="en-US" w:eastAsia="zh-CN"/>
                      </w:rPr>
                      <w:t xml:space="preserve">En </w:t>
                    </w:r>
                    <w:proofErr w:type="spellStart"/>
                    <w:r w:rsidRPr="00131CDC">
                      <w:rPr>
                        <w:sz w:val="16"/>
                        <w:szCs w:val="16"/>
                        <w:lang w:val="en-US" w:eastAsia="zh-CN"/>
                      </w:rPr>
                      <w:t>décroissance</w:t>
                    </w:r>
                    <w:proofErr w:type="spellEnd"/>
                  </w:p>
                </w:txbxContent>
              </v:textbox>
            </v:shape>
            <v:shape id="_x0000_s1346" type="#_x0000_t202" style="position:absolute;left:240;top:4954;width:2938;height:317" strokecolor="white">
              <v:textbox style="mso-next-textbox:#_x0000_s1346" inset=",0,,0">
                <w:txbxContent>
                  <w:p w:rsidR="00C30982" w:rsidRPr="00131CDC" w:rsidRDefault="00C30982" w:rsidP="00C30982">
                    <w:pPr>
                      <w:spacing w:before="0"/>
                      <w:rPr>
                        <w:i/>
                        <w:iCs/>
                        <w:sz w:val="16"/>
                        <w:szCs w:val="16"/>
                        <w:lang w:val="fr-FR" w:eastAsia="zh-CN"/>
                      </w:rPr>
                    </w:pPr>
                    <w:r w:rsidRPr="00131CDC">
                      <w:rPr>
                        <w:i/>
                        <w:iCs/>
                        <w:sz w:val="16"/>
                        <w:szCs w:val="16"/>
                        <w:lang w:val="fr-FR" w:eastAsia="zh-CN"/>
                      </w:rPr>
                      <w:t xml:space="preserve">Le Caire, mars 2009 </w:t>
                    </w:r>
                    <w:r w:rsidRPr="00131CDC">
                      <w:rPr>
                        <w:rFonts w:hint="eastAsia"/>
                        <w:i/>
                        <w:iCs/>
                        <w:sz w:val="16"/>
                        <w:szCs w:val="16"/>
                        <w:lang w:val="fr-FR" w:eastAsia="zh-CN"/>
                      </w:rPr>
                      <w:t xml:space="preserve">Laurent </w:t>
                    </w:r>
                    <w:proofErr w:type="spellStart"/>
                    <w:r w:rsidRPr="00131CDC">
                      <w:rPr>
                        <w:rFonts w:hint="eastAsia"/>
                        <w:i/>
                        <w:iCs/>
                        <w:sz w:val="16"/>
                        <w:szCs w:val="16"/>
                        <w:lang w:val="fr-FR" w:eastAsia="zh-CN"/>
                      </w:rPr>
                      <w:t>Zyberberg</w:t>
                    </w:r>
                    <w:proofErr w:type="spellEnd"/>
                  </w:p>
                </w:txbxContent>
              </v:textbox>
            </v:shape>
            <w10:wrap type="none"/>
            <w10:anchorlock/>
          </v:group>
        </w:pict>
      </w:r>
    </w:p>
    <w:p w:rsidR="00C82AF3" w:rsidRDefault="00C82AF3" w:rsidP="00A67CC2">
      <w:pPr>
        <w:pStyle w:val="FigureSource"/>
        <w:rPr>
          <w:lang w:val="fr-FR"/>
        </w:rPr>
      </w:pPr>
    </w:p>
    <w:p w:rsidR="00983FCB" w:rsidRDefault="00983FCB">
      <w:pPr>
        <w:tabs>
          <w:tab w:val="clear" w:pos="794"/>
          <w:tab w:val="clear" w:pos="1191"/>
          <w:tab w:val="clear" w:pos="1588"/>
          <w:tab w:val="clear" w:pos="1985"/>
        </w:tabs>
        <w:overflowPunct/>
        <w:autoSpaceDE/>
        <w:autoSpaceDN/>
        <w:adjustRightInd/>
        <w:spacing w:before="0"/>
        <w:jc w:val="left"/>
        <w:textAlignment w:val="auto"/>
        <w:rPr>
          <w:lang w:val="fr-FR"/>
        </w:rPr>
      </w:pPr>
      <w:r>
        <w:rPr>
          <w:lang w:val="fr-FR"/>
        </w:rPr>
        <w:br w:type="page"/>
      </w:r>
    </w:p>
    <w:p w:rsidR="0027480F" w:rsidRPr="0027480F" w:rsidRDefault="0027480F" w:rsidP="0027480F">
      <w:pPr>
        <w:pStyle w:val="Normalaftertitle"/>
        <w:rPr>
          <w:lang w:val="fr-FR"/>
        </w:rPr>
      </w:pPr>
      <w:r w:rsidRPr="0027480F">
        <w:rPr>
          <w:lang w:val="fr-FR"/>
        </w:rPr>
        <w:lastRenderedPageBreak/>
        <w:t xml:space="preserve">Pour tirer parti de ces prévisions, des stratégies de création d'emplois, de mobilité interne et de renforcement des capacités ont été jugées indispensables. La politique a dès lors consisté à donner à chaque employé les moyens de construire un projet professionnel allant dans le sens de la stratégie du Groupe et d'associer l'ensemble des cadres au processus de transformation du Groupe. Il a été reconnu que les TIC constituaient un instrument important pour faire évoluer la carrière des employés et, dans le même temps, pour permettre aux employeurs de faire connaître les offres d'emplois et les compétences nécessaires. </w:t>
      </w:r>
    </w:p>
    <w:p w:rsidR="0027480F" w:rsidRPr="0027480F" w:rsidRDefault="0027480F" w:rsidP="0027480F">
      <w:pPr>
        <w:rPr>
          <w:rFonts w:asciiTheme="majorBidi" w:hAnsiTheme="majorBidi" w:cstheme="majorBidi"/>
          <w:lang w:val="fr-FR"/>
        </w:rPr>
      </w:pPr>
      <w:r w:rsidRPr="0027480F">
        <w:rPr>
          <w:rFonts w:asciiTheme="majorBidi" w:hAnsiTheme="majorBidi" w:cstheme="majorBidi"/>
          <w:lang w:val="fr-FR" w:eastAsia="fr-FR"/>
        </w:rPr>
        <w:t xml:space="preserve">On peut également citer l'exemple de </w:t>
      </w:r>
      <w:r w:rsidRPr="0027480F">
        <w:rPr>
          <w:rFonts w:asciiTheme="majorBidi" w:hAnsiTheme="majorBidi" w:cstheme="majorBidi"/>
          <w:lang w:val="fr-FR"/>
        </w:rPr>
        <w:t xml:space="preserve">British Telecom. En 2000, BT et le syndicat CWU (Communication </w:t>
      </w:r>
      <w:proofErr w:type="spellStart"/>
      <w:r w:rsidRPr="0027480F">
        <w:rPr>
          <w:rFonts w:asciiTheme="majorBidi" w:hAnsiTheme="majorBidi" w:cstheme="majorBidi"/>
          <w:lang w:val="fr-FR"/>
        </w:rPr>
        <w:t>Workers</w:t>
      </w:r>
      <w:proofErr w:type="spellEnd"/>
      <w:r w:rsidRPr="0027480F">
        <w:rPr>
          <w:rFonts w:asciiTheme="majorBidi" w:hAnsiTheme="majorBidi" w:cstheme="majorBidi"/>
          <w:lang w:val="fr-FR"/>
        </w:rPr>
        <w:t xml:space="preserve"> Union) ont adopté une déclaration officielle intitulée "</w:t>
      </w:r>
      <w:r w:rsidRPr="0027480F">
        <w:rPr>
          <w:rFonts w:asciiTheme="majorBidi" w:hAnsiTheme="majorBidi" w:cstheme="majorBidi"/>
          <w:i/>
          <w:iCs/>
          <w:lang w:val="fr-FR"/>
        </w:rPr>
        <w:t xml:space="preserve">Learning and </w:t>
      </w:r>
      <w:proofErr w:type="spellStart"/>
      <w:r w:rsidRPr="0027480F">
        <w:rPr>
          <w:rFonts w:asciiTheme="majorBidi" w:hAnsiTheme="majorBidi" w:cstheme="majorBidi"/>
          <w:i/>
          <w:iCs/>
          <w:lang w:val="fr-FR"/>
        </w:rPr>
        <w:t>Development</w:t>
      </w:r>
      <w:proofErr w:type="spellEnd"/>
      <w:r w:rsidRPr="0027480F">
        <w:rPr>
          <w:rFonts w:asciiTheme="majorBidi" w:hAnsiTheme="majorBidi" w:cstheme="majorBidi"/>
          <w:lang w:val="fr-FR"/>
        </w:rPr>
        <w:t xml:space="preserve">" (Apprentissage et développement) par laquelle la société est tenue d'encourager la formation continue et le perfectionnement de son personnel, notamment en proposant une remise à niveau de qualité et une assistance en matière de recyclage. La plupart des employés de BT ont accès à l'Intranet (le "système nerveux central" de l'organisation, selon le </w:t>
      </w:r>
      <w:r w:rsidRPr="0027480F">
        <w:rPr>
          <w:rFonts w:asciiTheme="majorBidi" w:hAnsiTheme="majorBidi" w:cstheme="majorBidi"/>
          <w:szCs w:val="24"/>
          <w:lang w:val="fr-FR"/>
        </w:rPr>
        <w:t>Directeur</w:t>
      </w:r>
      <w:r w:rsidRPr="0027480F">
        <w:rPr>
          <w:rFonts w:asciiTheme="majorBidi" w:hAnsiTheme="majorBidi" w:cstheme="majorBidi"/>
          <w:lang w:val="fr-FR"/>
        </w:rPr>
        <w:t xml:space="preserve"> des </w:t>
      </w:r>
      <w:r w:rsidRPr="0027480F">
        <w:rPr>
          <w:rFonts w:asciiTheme="majorBidi" w:hAnsiTheme="majorBidi" w:cstheme="majorBidi"/>
          <w:szCs w:val="24"/>
          <w:lang w:val="fr-FR"/>
        </w:rPr>
        <w:t>ressources humaines</w:t>
      </w:r>
      <w:r w:rsidRPr="0027480F">
        <w:rPr>
          <w:rFonts w:asciiTheme="majorBidi" w:hAnsiTheme="majorBidi" w:cstheme="majorBidi"/>
          <w:lang w:val="fr-FR"/>
        </w:rPr>
        <w:t xml:space="preserve"> de la société) et peuvent ainsi déterminer les ressources et possibilités de formation qui leur conviennent le mieux, sans nécessairement passer par leur responsable hiérarchique. La "BT </w:t>
      </w:r>
      <w:proofErr w:type="spellStart"/>
      <w:r w:rsidRPr="0027480F">
        <w:rPr>
          <w:rFonts w:asciiTheme="majorBidi" w:hAnsiTheme="majorBidi" w:cstheme="majorBidi"/>
          <w:lang w:val="fr-FR"/>
        </w:rPr>
        <w:t>Academy</w:t>
      </w:r>
      <w:proofErr w:type="spellEnd"/>
      <w:r w:rsidRPr="0027480F">
        <w:rPr>
          <w:rFonts w:asciiTheme="majorBidi" w:hAnsiTheme="majorBidi" w:cstheme="majorBidi"/>
          <w:lang w:val="fr-FR"/>
        </w:rPr>
        <w:t xml:space="preserve">" établit une distinction entre le </w:t>
      </w:r>
      <w:proofErr w:type="spellStart"/>
      <w:r w:rsidRPr="0027480F">
        <w:rPr>
          <w:rFonts w:asciiTheme="majorBidi" w:hAnsiTheme="majorBidi" w:cstheme="majorBidi"/>
          <w:lang w:val="fr-FR"/>
        </w:rPr>
        <w:t>cyberapprentissage</w:t>
      </w:r>
      <w:proofErr w:type="spellEnd"/>
      <w:r w:rsidRPr="0027480F">
        <w:rPr>
          <w:rFonts w:asciiTheme="majorBidi" w:hAnsiTheme="majorBidi" w:cstheme="majorBidi"/>
          <w:lang w:val="fr-FR"/>
        </w:rPr>
        <w:t xml:space="preserve"> à des fins professionnelles et l'apprentissage aux fins du perfectionnement personnel.</w:t>
      </w:r>
    </w:p>
    <w:p w:rsidR="0027480F" w:rsidRPr="0027480F" w:rsidRDefault="0027480F" w:rsidP="0027480F">
      <w:pPr>
        <w:rPr>
          <w:rFonts w:asciiTheme="majorBidi" w:hAnsiTheme="majorBidi" w:cstheme="majorBidi"/>
          <w:lang w:val="fr-FR"/>
        </w:rPr>
      </w:pPr>
      <w:r w:rsidRPr="0027480F">
        <w:rPr>
          <w:rFonts w:asciiTheme="majorBidi" w:hAnsiTheme="majorBidi" w:cstheme="majorBidi"/>
          <w:lang w:val="fr-FR"/>
        </w:rPr>
        <w:t xml:space="preserve">En Turquie, le portail de formation de Türk Telekom </w:t>
      </w:r>
      <w:proofErr w:type="spellStart"/>
      <w:r w:rsidRPr="0027480F">
        <w:rPr>
          <w:rFonts w:asciiTheme="majorBidi" w:hAnsiTheme="majorBidi" w:cstheme="majorBidi"/>
          <w:lang w:val="fr-FR"/>
        </w:rPr>
        <w:t>Academy</w:t>
      </w:r>
      <w:proofErr w:type="spellEnd"/>
      <w:r w:rsidRPr="0027480F">
        <w:rPr>
          <w:rFonts w:asciiTheme="majorBidi" w:hAnsiTheme="majorBidi" w:cstheme="majorBidi"/>
          <w:lang w:val="fr-FR"/>
        </w:rPr>
        <w:t xml:space="preserve"> contribue grandement à la formation des ressources humaines. Dans un premier temps, 15 000 employés de Türk Telekom et 15 000 employés d'entreprises et de distributeurs associés ont pu accéder à des formations axées sur le </w:t>
      </w:r>
      <w:proofErr w:type="spellStart"/>
      <w:r w:rsidRPr="0027480F">
        <w:rPr>
          <w:rFonts w:asciiTheme="majorBidi" w:hAnsiTheme="majorBidi" w:cstheme="majorBidi"/>
          <w:lang w:val="fr-FR"/>
        </w:rPr>
        <w:t>cyberapprentissage</w:t>
      </w:r>
      <w:proofErr w:type="spellEnd"/>
      <w:r w:rsidRPr="0027480F">
        <w:rPr>
          <w:rFonts w:asciiTheme="majorBidi" w:hAnsiTheme="majorBidi" w:cstheme="majorBidi"/>
          <w:lang w:val="fr-FR"/>
        </w:rPr>
        <w:t xml:space="preserve">. </w:t>
      </w:r>
    </w:p>
    <w:p w:rsidR="0027480F" w:rsidRPr="00B56515" w:rsidRDefault="0027480F" w:rsidP="0027480F">
      <w:pPr>
        <w:rPr>
          <w:rFonts w:asciiTheme="majorBidi" w:hAnsiTheme="majorBidi" w:cstheme="majorBidi"/>
          <w:lang w:val="fr-CH" w:eastAsia="fr-FR"/>
        </w:rPr>
      </w:pPr>
      <w:r w:rsidRPr="0027480F">
        <w:rPr>
          <w:rFonts w:asciiTheme="majorBidi" w:hAnsiTheme="majorBidi" w:cstheme="majorBidi"/>
          <w:lang w:val="fr-FR"/>
        </w:rPr>
        <w:t>En résumé, l'innovation, la libéralisation, la privatisation et la concurrence mondiale ont entraîné une hausse de la demande d'employés très qualifiés (par exemple, informaticiens et ingénieurs). Etant donné que le secteur obéit à présent aux forces du marché, les emplois dans les domaines de la vente, du marketing et de la gestion ont connu une progression vertigineuse. Les politiques ou les stratégies en matière de ressources humaines prennent une importance capitale pour les employeurs, les employés et leurs représentants. En effet, les pays et les entreprises doivent s'adapter aux nouvelles techniques et aux nouvelles demandes, dans un environnement en mutation rapide, grâce à une formation permanente et à une remise à niveau des compétences. Il faut que les stratégies soient mises directement en relation avec les besoins de compétences actuels et prévus des entreprises de télécommunication, qui devraient élaborer des plans précis pour faciliter la mobilité interne. Chaque employé devrait être informé des perspectives d'emploi, des compétences requises et des besoins en la matière. Les possibilités de formation continue sont des outils essentiels qui peuvent être utilisé à cette fin.</w:t>
      </w:r>
    </w:p>
    <w:p w:rsidR="0027480F" w:rsidRPr="00DC14FC" w:rsidRDefault="0027480F" w:rsidP="0027480F">
      <w:pPr>
        <w:pStyle w:val="Heading1"/>
        <w:rPr>
          <w:szCs w:val="24"/>
          <w:lang w:val="fr-FR"/>
        </w:rPr>
      </w:pPr>
      <w:r w:rsidRPr="00DC14FC">
        <w:rPr>
          <w:rStyle w:val="Hyperlink"/>
          <w:rFonts w:asciiTheme="majorBidi" w:hAnsiTheme="majorBidi" w:cstheme="majorBidi"/>
          <w:noProof/>
          <w:color w:val="auto"/>
          <w:sz w:val="24"/>
          <w:szCs w:val="24"/>
          <w:u w:val="none"/>
          <w:lang w:val="fr-FR"/>
        </w:rPr>
        <w:t>5</w:t>
      </w:r>
      <w:r w:rsidRPr="00DC14FC">
        <w:rPr>
          <w:rStyle w:val="Hyperlink"/>
          <w:rFonts w:asciiTheme="majorBidi" w:hAnsiTheme="majorBidi" w:cstheme="majorBidi"/>
          <w:noProof/>
          <w:color w:val="auto"/>
          <w:sz w:val="24"/>
          <w:szCs w:val="24"/>
          <w:u w:val="none"/>
          <w:lang w:val="fr-FR"/>
        </w:rPr>
        <w:tab/>
        <w:t xml:space="preserve">Evolution des emplois indirects ou induits et des emplois sur le "marché gris" </w:t>
      </w:r>
    </w:p>
    <w:p w:rsidR="0027480F" w:rsidRPr="0027480F" w:rsidRDefault="0027480F" w:rsidP="0027480F">
      <w:pPr>
        <w:rPr>
          <w:rFonts w:asciiTheme="majorBidi" w:hAnsiTheme="majorBidi" w:cstheme="majorBidi"/>
          <w:lang w:val="fr-FR"/>
        </w:rPr>
      </w:pPr>
      <w:r w:rsidRPr="0027480F">
        <w:rPr>
          <w:rFonts w:asciiTheme="majorBidi" w:hAnsiTheme="majorBidi" w:cstheme="majorBidi"/>
          <w:lang w:val="fr-FR"/>
        </w:rPr>
        <w:t xml:space="preserve">Les emplois indirects sont ceux créés à la suite d'acquisitions. Au Gabon, Gabon Telecom et </w:t>
      </w:r>
      <w:proofErr w:type="spellStart"/>
      <w:r w:rsidRPr="0027480F">
        <w:rPr>
          <w:rFonts w:asciiTheme="majorBidi" w:hAnsiTheme="majorBidi" w:cstheme="majorBidi"/>
          <w:lang w:val="fr-FR"/>
        </w:rPr>
        <w:t>Libertis</w:t>
      </w:r>
      <w:proofErr w:type="spellEnd"/>
      <w:r w:rsidRPr="0027480F">
        <w:rPr>
          <w:rFonts w:asciiTheme="majorBidi" w:hAnsiTheme="majorBidi" w:cstheme="majorBidi"/>
          <w:lang w:val="fr-FR"/>
        </w:rPr>
        <w:t xml:space="preserve"> réalisent, respectivement, 70% et 60% de leurs acquisitions auprès de fournisseurs locaux. Au Burkina Faso, </w:t>
      </w:r>
      <w:proofErr w:type="spellStart"/>
      <w:r w:rsidRPr="0027480F">
        <w:rPr>
          <w:rFonts w:asciiTheme="majorBidi" w:hAnsiTheme="majorBidi" w:cstheme="majorBidi"/>
          <w:lang w:val="fr-FR"/>
        </w:rPr>
        <w:t>Onatel</w:t>
      </w:r>
      <w:proofErr w:type="spellEnd"/>
      <w:r w:rsidRPr="0027480F">
        <w:rPr>
          <w:rFonts w:asciiTheme="majorBidi" w:hAnsiTheme="majorBidi" w:cstheme="majorBidi"/>
          <w:lang w:val="fr-FR"/>
        </w:rPr>
        <w:t xml:space="preserve"> effectue 55% de ses achats auprès de fournisseurs locaux, tandis que </w:t>
      </w:r>
      <w:proofErr w:type="spellStart"/>
      <w:r w:rsidRPr="0027480F">
        <w:rPr>
          <w:rFonts w:asciiTheme="majorBidi" w:hAnsiTheme="majorBidi" w:cstheme="majorBidi"/>
          <w:lang w:val="fr-FR"/>
        </w:rPr>
        <w:t>Mauritel</w:t>
      </w:r>
      <w:proofErr w:type="spellEnd"/>
      <w:r w:rsidRPr="0027480F">
        <w:rPr>
          <w:rFonts w:asciiTheme="majorBidi" w:hAnsiTheme="majorBidi" w:cstheme="majorBidi"/>
          <w:lang w:val="fr-FR"/>
        </w:rPr>
        <w:t xml:space="preserve"> réalise 35% de ses achats auprès de ces fournisseurs. En général, les entreprises de </w:t>
      </w:r>
      <w:r w:rsidRPr="0027480F">
        <w:rPr>
          <w:rFonts w:asciiTheme="majorBidi" w:hAnsiTheme="majorBidi" w:cstheme="majorBidi"/>
          <w:szCs w:val="24"/>
          <w:lang w:val="fr-FR"/>
        </w:rPr>
        <w:t>télécommunication ont recours à des sous-traitants d'installations</w:t>
      </w:r>
      <w:r w:rsidRPr="0027480F">
        <w:rPr>
          <w:rFonts w:asciiTheme="majorBidi" w:hAnsiTheme="majorBidi" w:cstheme="majorBidi"/>
          <w:lang w:val="fr-FR"/>
        </w:rPr>
        <w:t xml:space="preserve"> extérieures appartenant à des tiers pour l'installation physique de leurs réseaux. Bon nombre de ces sous-traitants sont des petites ou moyennes entreprises spécialisées dans l'installation d'infrastructures physiques, par exemple les travaux de construction routière nécessaires à l'installation de conduits et de câbles à fibres optiques. Ces entreprises emploient essentiellement des ingénieurs et des techniciens du génie civil, des spécialistes de la planification et de la conception de réseaux et des techniciens de maintenance, etc.</w:t>
      </w:r>
    </w:p>
    <w:p w:rsidR="0027480F" w:rsidRPr="0027480F" w:rsidRDefault="0027480F" w:rsidP="0027480F">
      <w:pPr>
        <w:rPr>
          <w:rFonts w:asciiTheme="majorBidi" w:hAnsiTheme="majorBidi" w:cstheme="majorBidi"/>
          <w:lang w:val="fr-FR"/>
        </w:rPr>
      </w:pPr>
      <w:r w:rsidRPr="0027480F">
        <w:rPr>
          <w:rFonts w:asciiTheme="majorBidi" w:hAnsiTheme="majorBidi" w:cstheme="majorBidi"/>
          <w:lang w:val="fr-FR"/>
        </w:rPr>
        <w:t xml:space="preserve">Pour que l'aperçu de l'emploi indirect soit exhaustif, il faut également tenir compte du fait que les emplois qui dépendent directement ou indirectement du secteur des </w:t>
      </w:r>
      <w:r w:rsidRPr="0027480F">
        <w:rPr>
          <w:rFonts w:asciiTheme="majorBidi" w:hAnsiTheme="majorBidi" w:cstheme="majorBidi"/>
          <w:szCs w:val="24"/>
          <w:lang w:val="fr-FR"/>
        </w:rPr>
        <w:t>télécommunications</w:t>
      </w:r>
      <w:r w:rsidRPr="0027480F">
        <w:rPr>
          <w:rFonts w:asciiTheme="majorBidi" w:hAnsiTheme="majorBidi" w:cstheme="majorBidi"/>
          <w:lang w:val="fr-FR"/>
        </w:rPr>
        <w:t xml:space="preserve"> génèrent des dépenses dans l'économie, qui, à leur tour, stimulent l'emploi. Par exemple, les employés des opérateurs dépensent de l'argent pour aller au restaurant, partir en vacances ou encore acheter de la nourriture, ce qui génère de nouveaux emplois dans les restaurants et les commerces de détail. Il existe diverses estimations de cet effet multiplicateur qui est source de nouveaux emplois. Par exemple, aux Etats-Unis, après avoir examiné la documentation existante sur la question, l'</w:t>
      </w:r>
      <w:proofErr w:type="spellStart"/>
      <w:r w:rsidRPr="0027480F">
        <w:rPr>
          <w:rFonts w:asciiTheme="majorBidi" w:hAnsiTheme="majorBidi" w:cstheme="majorBidi"/>
          <w:lang w:val="fr-FR"/>
        </w:rPr>
        <w:t>Employment</w:t>
      </w:r>
      <w:proofErr w:type="spellEnd"/>
      <w:r w:rsidRPr="0027480F">
        <w:rPr>
          <w:rFonts w:asciiTheme="majorBidi" w:hAnsiTheme="majorBidi" w:cstheme="majorBidi"/>
          <w:lang w:val="fr-FR"/>
        </w:rPr>
        <w:t xml:space="preserve"> Policy Institute a utilisé un multiplicateur de 1,5 pour </w:t>
      </w:r>
      <w:r w:rsidRPr="0027480F">
        <w:rPr>
          <w:rFonts w:asciiTheme="majorBidi" w:hAnsiTheme="majorBidi" w:cstheme="majorBidi"/>
          <w:lang w:val="fr-FR"/>
        </w:rPr>
        <w:lastRenderedPageBreak/>
        <w:t>estimer ces retombées</w:t>
      </w:r>
      <w:r w:rsidRPr="00B56515">
        <w:rPr>
          <w:rStyle w:val="FootnoteReference"/>
          <w:rFonts w:asciiTheme="majorBidi" w:hAnsiTheme="majorBidi" w:cstheme="majorBidi"/>
          <w:szCs w:val="16"/>
        </w:rPr>
        <w:footnoteReference w:id="26"/>
      </w:r>
      <w:r w:rsidRPr="0027480F">
        <w:rPr>
          <w:rFonts w:asciiTheme="majorBidi" w:hAnsiTheme="majorBidi" w:cstheme="majorBidi"/>
          <w:lang w:val="fr-FR"/>
        </w:rPr>
        <w:t>. La Brookings Institution confirme la présence de l'effet multiplicateur du réseau pour le développement du large bande. Cette institution a constaté que pour toute augmentation de un point de pourcentage dans la pénétration du large bande, l'emploi en général augmentait de 0,2 à 0,3%</w:t>
      </w:r>
      <w:r w:rsidRPr="00B56515">
        <w:rPr>
          <w:rStyle w:val="FootnoteReference"/>
          <w:rFonts w:asciiTheme="majorBidi" w:hAnsiTheme="majorBidi" w:cstheme="majorBidi"/>
          <w:szCs w:val="16"/>
        </w:rPr>
        <w:footnoteReference w:id="27"/>
      </w:r>
      <w:r w:rsidRPr="0027480F">
        <w:rPr>
          <w:rFonts w:asciiTheme="majorBidi" w:hAnsiTheme="majorBidi" w:cstheme="majorBidi"/>
          <w:lang w:val="fr-FR"/>
        </w:rPr>
        <w:t>.</w:t>
      </w:r>
    </w:p>
    <w:p w:rsidR="0027480F" w:rsidRPr="00754E78" w:rsidRDefault="0027480F" w:rsidP="0027480F">
      <w:pPr>
        <w:rPr>
          <w:rFonts w:asciiTheme="majorBidi" w:hAnsiTheme="majorBidi" w:cstheme="majorBidi"/>
          <w:lang w:val="fr-FR"/>
        </w:rPr>
      </w:pPr>
      <w:r w:rsidRPr="0027480F">
        <w:rPr>
          <w:rFonts w:asciiTheme="majorBidi" w:hAnsiTheme="majorBidi" w:cstheme="majorBidi"/>
          <w:lang w:val="fr-FR"/>
        </w:rPr>
        <w:t xml:space="preserve">Dans les pays les moins avancés, la création d'emplois dans le secteur informel est considérable. En Afrique, nombreux sont ceux qui travaillent aujourd'hui dans la vente et la réparation de matériel informatique, d'appareils GSM et d'accessoires connexes, tandis que d'autres ont mis sur pied des centres d'appels téléphoniques qui constituent leur principale source de revenus. Au Nigéria, le marché </w:t>
      </w:r>
      <w:proofErr w:type="spellStart"/>
      <w:r w:rsidRPr="0027480F">
        <w:rPr>
          <w:rFonts w:asciiTheme="majorBidi" w:hAnsiTheme="majorBidi" w:cstheme="majorBidi"/>
          <w:lang w:val="fr-FR"/>
        </w:rPr>
        <w:t>Otigba</w:t>
      </w:r>
      <w:proofErr w:type="spellEnd"/>
      <w:r w:rsidRPr="0027480F">
        <w:rPr>
          <w:rFonts w:asciiTheme="majorBidi" w:hAnsiTheme="majorBidi" w:cstheme="majorBidi"/>
          <w:lang w:val="fr-FR"/>
        </w:rPr>
        <w:t xml:space="preserve"> de Lagos est par exemple considéré comme le plus grand marché informel des TIC d'Afrique subsaharienne. </w:t>
      </w:r>
      <w:r w:rsidRPr="00754E78">
        <w:rPr>
          <w:rFonts w:asciiTheme="majorBidi" w:hAnsiTheme="majorBidi" w:cstheme="majorBidi"/>
          <w:lang w:val="fr-FR"/>
        </w:rPr>
        <w:t xml:space="preserve">Plusieurs autres marchés de ce type sont répartis dans tout le pays. Par ailleurs, le développement des </w:t>
      </w:r>
      <w:r w:rsidRPr="00754E78">
        <w:rPr>
          <w:rFonts w:asciiTheme="majorBidi" w:hAnsiTheme="majorBidi" w:cstheme="majorBidi"/>
          <w:szCs w:val="24"/>
          <w:lang w:val="fr-FR"/>
        </w:rPr>
        <w:t>télécommunications</w:t>
      </w:r>
      <w:r w:rsidRPr="00754E78">
        <w:rPr>
          <w:rFonts w:asciiTheme="majorBidi" w:hAnsiTheme="majorBidi" w:cstheme="majorBidi"/>
          <w:lang w:val="fr-FR"/>
        </w:rPr>
        <w:t xml:space="preserve"> devrait avoir pour conséquence une augmentation des revenus pour les travailleurs non salariés de l'économie informelle, notamment en ce sens qu'elle constitue une source d'informations améliorée sur les marchés nationaux et mondiaux.</w:t>
      </w:r>
    </w:p>
    <w:p w:rsidR="0027480F" w:rsidRPr="00754E78" w:rsidRDefault="0027480F" w:rsidP="0027480F">
      <w:pPr>
        <w:rPr>
          <w:rFonts w:asciiTheme="majorBidi" w:hAnsiTheme="majorBidi" w:cstheme="majorBidi"/>
          <w:lang w:val="fr-FR"/>
        </w:rPr>
      </w:pPr>
      <w:r w:rsidRPr="00754E78">
        <w:rPr>
          <w:rFonts w:asciiTheme="majorBidi" w:hAnsiTheme="majorBidi" w:cstheme="majorBidi"/>
          <w:lang w:val="fr-FR"/>
        </w:rPr>
        <w:t xml:space="preserve">Le développement rapide de l'infrastructure des </w:t>
      </w:r>
      <w:r w:rsidRPr="00754E78">
        <w:rPr>
          <w:rFonts w:asciiTheme="majorBidi" w:hAnsiTheme="majorBidi" w:cstheme="majorBidi"/>
          <w:szCs w:val="24"/>
          <w:lang w:val="fr-FR"/>
        </w:rPr>
        <w:t>télécommunications</w:t>
      </w:r>
      <w:r w:rsidRPr="00754E78">
        <w:rPr>
          <w:rFonts w:asciiTheme="majorBidi" w:hAnsiTheme="majorBidi" w:cstheme="majorBidi"/>
          <w:lang w:val="fr-FR"/>
        </w:rPr>
        <w:t xml:space="preserve"> à travers le monde a également favorisé la création d'emplois. En effet, dans le domaine de la sous-traitance par exemple, de nombreux changements sont intervenus. </w:t>
      </w:r>
      <w:r w:rsidRPr="00754E78">
        <w:rPr>
          <w:rFonts w:asciiTheme="majorBidi" w:hAnsiTheme="majorBidi" w:cstheme="majorBidi"/>
          <w:szCs w:val="24"/>
          <w:lang w:val="fr-FR"/>
        </w:rPr>
        <w:t xml:space="preserve">Ainsi, une étude mondiale réalisée en </w:t>
      </w:r>
      <w:r w:rsidRPr="00754E78">
        <w:rPr>
          <w:rFonts w:asciiTheme="majorBidi" w:hAnsiTheme="majorBidi" w:cstheme="majorBidi"/>
          <w:lang w:val="fr-FR"/>
        </w:rPr>
        <w:t>2002</w:t>
      </w:r>
      <w:r w:rsidRPr="00B56515">
        <w:rPr>
          <w:rStyle w:val="FootnoteReference"/>
          <w:rFonts w:asciiTheme="majorBidi" w:hAnsiTheme="majorBidi" w:cstheme="majorBidi"/>
          <w:szCs w:val="16"/>
        </w:rPr>
        <w:footnoteReference w:id="28"/>
      </w:r>
      <w:r w:rsidRPr="00754E78">
        <w:rPr>
          <w:rFonts w:asciiTheme="majorBidi" w:hAnsiTheme="majorBidi" w:cstheme="majorBidi"/>
          <w:lang w:val="fr-FR"/>
        </w:rPr>
        <w:t xml:space="preserve"> a conclu que le secteur des télécommunications était l'un des plus volatiles. L'évolution de la demande du côté des clients, l'évolution constante des normes industrielles, l'incapacité des anciens </w:t>
      </w:r>
      <w:r w:rsidRPr="00754E78">
        <w:rPr>
          <w:rFonts w:asciiTheme="majorBidi" w:hAnsiTheme="majorBidi" w:cstheme="majorBidi"/>
          <w:iCs/>
          <w:lang w:val="fr-FR"/>
        </w:rPr>
        <w:t>système</w:t>
      </w:r>
      <w:r w:rsidRPr="00754E78">
        <w:rPr>
          <w:rFonts w:asciiTheme="majorBidi" w:hAnsiTheme="majorBidi" w:cstheme="majorBidi"/>
          <w:lang w:val="fr-FR"/>
        </w:rPr>
        <w:t xml:space="preserve">s à prendre en charge les volumes croissants et les problèmes que pose l'interfonctionnement entre différents nœuds ont été cités comme figurant au nombre des obstacles que rencontrait le secteur des télécommunications. Ces problèmes permanents, imprévisibles et souvent impossibles à résoudre rendent l'environnement des télécommunications dans son ensemble volatile et font de </w:t>
      </w:r>
      <w:r w:rsidRPr="00D154A4">
        <w:rPr>
          <w:rFonts w:asciiTheme="majorBidi" w:hAnsiTheme="majorBidi" w:cstheme="majorBidi"/>
          <w:szCs w:val="22"/>
          <w:lang w:val="fr-FR"/>
        </w:rPr>
        <w:t xml:space="preserve">la capacité d'adaptation une priorité. L'externalisation, qui consiste à faire appel à une organisation extérieure pour l'accomplissement de certaines fonctions commerciales dans un pays autre que celui où les </w:t>
      </w:r>
      <w:r w:rsidRPr="00D154A4">
        <w:rPr>
          <w:rStyle w:val="Hyperlink"/>
          <w:rFonts w:asciiTheme="majorBidi" w:hAnsiTheme="majorBidi" w:cstheme="majorBidi"/>
          <w:szCs w:val="22"/>
          <w:lang w:val="fr-FR"/>
        </w:rPr>
        <w:t xml:space="preserve">produits </w:t>
      </w:r>
      <w:r w:rsidRPr="00D154A4">
        <w:rPr>
          <w:rFonts w:asciiTheme="majorBidi" w:hAnsiTheme="majorBidi" w:cstheme="majorBidi"/>
          <w:szCs w:val="22"/>
          <w:lang w:val="fr-FR"/>
        </w:rPr>
        <w:t xml:space="preserve">ou </w:t>
      </w:r>
      <w:r w:rsidRPr="00D154A4">
        <w:rPr>
          <w:rStyle w:val="Hyperlink"/>
          <w:rFonts w:asciiTheme="majorBidi" w:hAnsiTheme="majorBidi" w:cstheme="majorBidi"/>
          <w:szCs w:val="22"/>
          <w:lang w:val="fr-FR"/>
        </w:rPr>
        <w:t>services</w:t>
      </w:r>
      <w:r w:rsidRPr="00D154A4">
        <w:rPr>
          <w:rFonts w:asciiTheme="majorBidi" w:hAnsiTheme="majorBidi" w:cstheme="majorBidi"/>
          <w:szCs w:val="22"/>
          <w:lang w:val="fr-FR"/>
        </w:rPr>
        <w:t xml:space="preserve"> sont</w:t>
      </w:r>
      <w:r w:rsidRPr="00754E78">
        <w:rPr>
          <w:rFonts w:asciiTheme="majorBidi" w:hAnsiTheme="majorBidi" w:cstheme="majorBidi"/>
          <w:lang w:val="fr-FR"/>
        </w:rPr>
        <w:t xml:space="preserve"> effectivement conçus ou fabriqués, peut permettre de surmonter les contraintes de coût, de réduire les coûts d'exploitation, d'avoir accès à des ressources spécialisées, d'optimiser les investissements existants et de mettre en place une stratégie efficace et souple. Le marché dans ce domaine est généralement divisé en quatre grandes catégories</w:t>
      </w:r>
      <w:r w:rsidRPr="00B56515">
        <w:rPr>
          <w:rStyle w:val="FootnoteReference"/>
          <w:rFonts w:asciiTheme="majorBidi" w:hAnsiTheme="majorBidi" w:cstheme="majorBidi"/>
          <w:szCs w:val="16"/>
        </w:rPr>
        <w:footnoteReference w:id="29"/>
      </w:r>
      <w:r w:rsidRPr="00754E78">
        <w:rPr>
          <w:rFonts w:asciiTheme="majorBidi" w:hAnsiTheme="majorBidi" w:cstheme="majorBidi"/>
          <w:lang w:val="fr-FR"/>
        </w:rPr>
        <w:t>:</w:t>
      </w:r>
    </w:p>
    <w:p w:rsidR="0027480F" w:rsidRPr="00754E78" w:rsidRDefault="0027480F" w:rsidP="0027480F">
      <w:pPr>
        <w:pStyle w:val="enumlev1"/>
        <w:rPr>
          <w:rFonts w:asciiTheme="majorBidi" w:eastAsia="SimHei" w:hAnsiTheme="majorBidi" w:cstheme="majorBidi"/>
          <w:bCs/>
          <w:szCs w:val="24"/>
          <w:lang w:val="fr-FR" w:eastAsia="zh-CN"/>
        </w:rPr>
      </w:pPr>
      <w:r w:rsidRPr="00754E78">
        <w:rPr>
          <w:rFonts w:asciiTheme="majorBidi" w:eastAsia="SimHei" w:hAnsiTheme="majorBidi" w:cstheme="majorBidi"/>
          <w:bCs/>
          <w:szCs w:val="24"/>
          <w:lang w:val="fr-FR" w:eastAsia="zh-CN"/>
        </w:rPr>
        <w:t>•</w:t>
      </w:r>
      <w:r w:rsidRPr="00754E78">
        <w:rPr>
          <w:rFonts w:asciiTheme="majorBidi" w:eastAsia="SimHei" w:hAnsiTheme="majorBidi" w:cstheme="majorBidi"/>
          <w:bCs/>
          <w:szCs w:val="24"/>
          <w:lang w:val="fr-FR" w:eastAsia="zh-CN"/>
        </w:rPr>
        <w:tab/>
        <w:t xml:space="preserve">recherche-développement (R-D): conception de circuits intégrés, étude de produits, services de développement et de conception des produits, services de gestion du cycle de vie des produits; </w:t>
      </w:r>
    </w:p>
    <w:p w:rsidR="0027480F" w:rsidRPr="00754E78" w:rsidRDefault="0027480F" w:rsidP="0027480F">
      <w:pPr>
        <w:pStyle w:val="enumlev1"/>
        <w:rPr>
          <w:rFonts w:asciiTheme="majorBidi" w:eastAsia="SimHei" w:hAnsiTheme="majorBidi" w:cstheme="majorBidi"/>
          <w:bCs/>
          <w:szCs w:val="24"/>
          <w:lang w:val="fr-FR" w:eastAsia="zh-CN"/>
        </w:rPr>
      </w:pPr>
      <w:r w:rsidRPr="00754E78">
        <w:rPr>
          <w:rFonts w:asciiTheme="majorBidi" w:eastAsia="SimHei" w:hAnsiTheme="majorBidi" w:cstheme="majorBidi"/>
          <w:bCs/>
          <w:szCs w:val="24"/>
          <w:lang w:val="fr-FR" w:eastAsia="zh-CN"/>
        </w:rPr>
        <w:t>•</w:t>
      </w:r>
      <w:r w:rsidRPr="00754E78">
        <w:rPr>
          <w:rFonts w:asciiTheme="majorBidi" w:eastAsia="SimHei" w:hAnsiTheme="majorBidi" w:cstheme="majorBidi"/>
          <w:bCs/>
          <w:szCs w:val="24"/>
          <w:lang w:val="fr-FR" w:eastAsia="zh-CN"/>
        </w:rPr>
        <w:tab/>
        <w:t>services informatiques: développement et modification des applications, maintenance des applications, services d'infrastructure, services d'applications clés en main, intégration des systèmes, services qualité;</w:t>
      </w:r>
    </w:p>
    <w:p w:rsidR="0027480F" w:rsidRPr="00754E78" w:rsidRDefault="0027480F" w:rsidP="0027480F">
      <w:pPr>
        <w:pStyle w:val="enumlev1"/>
        <w:rPr>
          <w:rFonts w:asciiTheme="majorBidi" w:eastAsia="SimHei" w:hAnsiTheme="majorBidi" w:cstheme="majorBidi"/>
          <w:bCs/>
          <w:szCs w:val="24"/>
          <w:lang w:val="fr-FR" w:eastAsia="zh-CN"/>
        </w:rPr>
      </w:pPr>
      <w:r w:rsidRPr="00754E78">
        <w:rPr>
          <w:rFonts w:asciiTheme="majorBidi" w:eastAsia="SimHei" w:hAnsiTheme="majorBidi" w:cstheme="majorBidi"/>
          <w:bCs/>
          <w:szCs w:val="24"/>
          <w:lang w:val="fr-FR" w:eastAsia="zh-CN"/>
        </w:rPr>
        <w:t>•</w:t>
      </w:r>
      <w:r w:rsidRPr="00754E78">
        <w:rPr>
          <w:rFonts w:asciiTheme="majorBidi" w:eastAsia="SimHei" w:hAnsiTheme="majorBidi" w:cstheme="majorBidi"/>
          <w:bCs/>
          <w:szCs w:val="24"/>
          <w:lang w:val="fr-FR" w:eastAsia="zh-CN"/>
        </w:rPr>
        <w:tab/>
        <w:t xml:space="preserve">services d'externalisation des processus métier: finance et comptabilité, ressources humaines, communication d'informations, gestion des commandes, achats, services demandés (services clients), services proposés (vente et marketing); </w:t>
      </w:r>
    </w:p>
    <w:p w:rsidR="0027480F" w:rsidRPr="00754E78" w:rsidRDefault="0027480F" w:rsidP="0027480F">
      <w:pPr>
        <w:pStyle w:val="enumlev1"/>
        <w:rPr>
          <w:rFonts w:asciiTheme="majorBidi" w:eastAsia="SimHei" w:hAnsiTheme="majorBidi" w:cstheme="majorBidi"/>
          <w:bCs/>
          <w:szCs w:val="24"/>
          <w:lang w:val="fr-FR" w:eastAsia="zh-CN"/>
        </w:rPr>
      </w:pPr>
      <w:r w:rsidRPr="00754E78">
        <w:rPr>
          <w:rFonts w:asciiTheme="majorBidi" w:eastAsia="SimHei" w:hAnsiTheme="majorBidi" w:cstheme="majorBidi"/>
          <w:bCs/>
          <w:szCs w:val="24"/>
          <w:lang w:val="fr-FR" w:eastAsia="zh-CN"/>
        </w:rPr>
        <w:t>•</w:t>
      </w:r>
      <w:r w:rsidRPr="00754E78">
        <w:rPr>
          <w:rFonts w:asciiTheme="majorBidi" w:eastAsia="SimHei" w:hAnsiTheme="majorBidi" w:cstheme="majorBidi"/>
          <w:bCs/>
          <w:szCs w:val="24"/>
          <w:lang w:val="fr-FR" w:eastAsia="zh-CN"/>
        </w:rPr>
        <w:tab/>
        <w:t>services de consultants.</w:t>
      </w:r>
    </w:p>
    <w:p w:rsidR="009361D1" w:rsidRDefault="0027480F" w:rsidP="0027480F">
      <w:pPr>
        <w:rPr>
          <w:rFonts w:asciiTheme="majorBidi" w:hAnsiTheme="majorBidi" w:cstheme="majorBidi"/>
          <w:lang w:val="fr-FR" w:eastAsia="fr-FR"/>
        </w:rPr>
      </w:pPr>
      <w:r w:rsidRPr="00754E78">
        <w:rPr>
          <w:rFonts w:asciiTheme="majorBidi" w:hAnsiTheme="majorBidi" w:cstheme="majorBidi"/>
          <w:lang w:val="fr-FR" w:eastAsia="fr-FR"/>
        </w:rPr>
        <w:t xml:space="preserve">Bon nombre d'entreprises sont spécialisées dans l'une de ces quatre sous-catégories. On peut associer l'externalisation à </w:t>
      </w:r>
      <w:r w:rsidRPr="00D154A4">
        <w:rPr>
          <w:rFonts w:asciiTheme="majorBidi" w:hAnsiTheme="majorBidi" w:cstheme="majorBidi"/>
          <w:szCs w:val="22"/>
          <w:lang w:val="fr-FR" w:eastAsia="fr-FR"/>
        </w:rPr>
        <w:t xml:space="preserve">la </w:t>
      </w:r>
      <w:r w:rsidRPr="009361D1">
        <w:rPr>
          <w:rStyle w:val="Hyperlink"/>
          <w:rFonts w:asciiTheme="majorBidi" w:hAnsiTheme="majorBidi" w:cstheme="majorBidi"/>
          <w:bCs/>
          <w:szCs w:val="22"/>
          <w:lang w:val="fr-FR"/>
        </w:rPr>
        <w:t>délocalisation</w:t>
      </w:r>
      <w:r w:rsidRPr="009361D1">
        <w:rPr>
          <w:rFonts w:asciiTheme="majorBidi" w:hAnsiTheme="majorBidi" w:cstheme="majorBidi"/>
          <w:szCs w:val="22"/>
          <w:lang w:val="fr-FR" w:eastAsia="fr-FR"/>
        </w:rPr>
        <w:t>,</w:t>
      </w:r>
      <w:r w:rsidRPr="00D154A4">
        <w:rPr>
          <w:rFonts w:asciiTheme="majorBidi" w:hAnsiTheme="majorBidi" w:cstheme="majorBidi"/>
          <w:szCs w:val="22"/>
          <w:lang w:val="fr-FR" w:eastAsia="fr-FR"/>
        </w:rPr>
        <w:t xml:space="preserve"> processus</w:t>
      </w:r>
      <w:r w:rsidRPr="00754E78">
        <w:rPr>
          <w:rFonts w:asciiTheme="majorBidi" w:hAnsiTheme="majorBidi" w:cstheme="majorBidi"/>
          <w:lang w:val="fr-FR" w:eastAsia="fr-FR"/>
        </w:rPr>
        <w:t xml:space="preserve"> par lequel les fonctions sont assurées dans un pays étranger par une filiale étrangère. En Inde, par exemple, la mise en </w:t>
      </w:r>
      <w:proofErr w:type="spellStart"/>
      <w:r w:rsidRPr="00754E78">
        <w:rPr>
          <w:rFonts w:asciiTheme="majorBidi" w:hAnsiTheme="majorBidi" w:cstheme="majorBidi"/>
          <w:lang w:val="fr-FR" w:eastAsia="fr-FR"/>
        </w:rPr>
        <w:t>oeuvre</w:t>
      </w:r>
      <w:proofErr w:type="spellEnd"/>
      <w:r w:rsidRPr="00754E78">
        <w:rPr>
          <w:rFonts w:asciiTheme="majorBidi" w:hAnsiTheme="majorBidi" w:cstheme="majorBidi"/>
          <w:lang w:val="fr-FR" w:eastAsia="fr-FR"/>
        </w:rPr>
        <w:t xml:space="preserve"> de politiques stables favorables aux technologies de l'information, </w:t>
      </w:r>
      <w:r w:rsidRPr="00B56515">
        <w:rPr>
          <w:rFonts w:asciiTheme="majorBidi" w:hAnsiTheme="majorBidi" w:cstheme="majorBidi"/>
          <w:lang w:val="fr-CH" w:eastAsia="fr-FR"/>
        </w:rPr>
        <w:t xml:space="preserve">assorties </w:t>
      </w:r>
      <w:r w:rsidRPr="00754E78">
        <w:rPr>
          <w:rFonts w:asciiTheme="majorBidi" w:hAnsiTheme="majorBidi" w:cstheme="majorBidi"/>
          <w:lang w:val="fr-FR" w:eastAsia="fr-FR"/>
        </w:rPr>
        <w:t xml:space="preserve">de mesures d'incitation spéciales relatives à la création de parcs industriels et de zones spéciales a grandement contribué à améliorer les infrastructures ainsi que les moyens de communication. Les pouvoirs publics ont apporté un appui sans faille aux sociétés de services-conseils en informatique en mettant à leur disposition toutes les installations essentielles dont avaient besoin les sociétés de sous-traitance pour se développer, ce qui a favorisé le succès et l'essor de l'externalisation des services informatiques en Inde. </w:t>
      </w:r>
    </w:p>
    <w:p w:rsidR="0027480F" w:rsidRPr="00754E78" w:rsidRDefault="0027480F" w:rsidP="0027480F">
      <w:pPr>
        <w:rPr>
          <w:rFonts w:asciiTheme="majorBidi" w:hAnsiTheme="majorBidi" w:cstheme="majorBidi"/>
          <w:lang w:val="fr-FR" w:eastAsia="fr-FR"/>
        </w:rPr>
      </w:pPr>
      <w:r w:rsidRPr="00754E78">
        <w:rPr>
          <w:rFonts w:asciiTheme="majorBidi" w:hAnsiTheme="majorBidi" w:cstheme="majorBidi"/>
          <w:lang w:val="fr-FR" w:eastAsia="fr-FR"/>
        </w:rPr>
        <w:lastRenderedPageBreak/>
        <w:t>Parmi les mesures prises par le gouvernement indien, figurent:</w:t>
      </w:r>
    </w:p>
    <w:p w:rsidR="0027480F" w:rsidRPr="00754E78" w:rsidRDefault="0027480F" w:rsidP="007950D0">
      <w:pPr>
        <w:pStyle w:val="enumlev1"/>
        <w:rPr>
          <w:rFonts w:asciiTheme="majorBidi" w:eastAsia="SimHei" w:hAnsiTheme="majorBidi" w:cstheme="majorBidi"/>
          <w:bCs/>
          <w:szCs w:val="24"/>
          <w:lang w:val="fr-FR" w:eastAsia="fr-FR"/>
        </w:rPr>
      </w:pPr>
      <w:r w:rsidRPr="00754E78">
        <w:rPr>
          <w:rFonts w:asciiTheme="majorBidi" w:eastAsia="SimHei" w:hAnsiTheme="majorBidi" w:cstheme="majorBidi"/>
          <w:bCs/>
          <w:szCs w:val="24"/>
          <w:lang w:val="fr-FR" w:eastAsia="fr-FR"/>
        </w:rPr>
        <w:t>•</w:t>
      </w:r>
      <w:r w:rsidRPr="00754E78">
        <w:rPr>
          <w:rFonts w:asciiTheme="majorBidi" w:eastAsia="SimHei" w:hAnsiTheme="majorBidi" w:cstheme="majorBidi"/>
          <w:bCs/>
          <w:szCs w:val="24"/>
          <w:lang w:val="fr-FR" w:eastAsia="fr-FR"/>
        </w:rPr>
        <w:tab/>
        <w:t>les avantages fiscaux concernant les infrastructures: une exonération fiscale temporaire de dix ans est accordée aux entreprises spécialisées dans la conception ou la maintenance et l'exploitation d'une infrastructure;</w:t>
      </w:r>
    </w:p>
    <w:p w:rsidR="0027480F" w:rsidRPr="00754E78" w:rsidRDefault="0027480F" w:rsidP="007950D0">
      <w:pPr>
        <w:pStyle w:val="enumlev1"/>
        <w:rPr>
          <w:rFonts w:asciiTheme="majorBidi" w:eastAsia="SimHei" w:hAnsiTheme="majorBidi" w:cstheme="majorBidi"/>
          <w:bCs/>
          <w:szCs w:val="24"/>
          <w:lang w:val="fr-FR" w:eastAsia="fr-FR"/>
        </w:rPr>
      </w:pPr>
      <w:r w:rsidRPr="00754E78">
        <w:rPr>
          <w:rFonts w:asciiTheme="majorBidi" w:eastAsia="SimHei" w:hAnsiTheme="majorBidi" w:cstheme="majorBidi"/>
          <w:bCs/>
          <w:szCs w:val="24"/>
          <w:lang w:val="fr-FR" w:eastAsia="fr-FR"/>
        </w:rPr>
        <w:t>•</w:t>
      </w:r>
      <w:r w:rsidRPr="00754E78">
        <w:rPr>
          <w:rFonts w:asciiTheme="majorBidi" w:eastAsia="SimHei" w:hAnsiTheme="majorBidi" w:cstheme="majorBidi"/>
          <w:bCs/>
          <w:szCs w:val="24"/>
          <w:lang w:val="fr-FR" w:eastAsia="fr-FR"/>
        </w:rPr>
        <w:tab/>
        <w:t>les avantages fiscaux sur l'énergie: une exonération fiscale temporaire de dix ans est accordée aux entreprises générant ou distribuant de l'énergie;</w:t>
      </w:r>
    </w:p>
    <w:p w:rsidR="0027480F" w:rsidRPr="00754E78" w:rsidRDefault="0027480F" w:rsidP="007950D0">
      <w:pPr>
        <w:pStyle w:val="enumlev1"/>
        <w:rPr>
          <w:rFonts w:asciiTheme="majorBidi" w:eastAsia="SimHei" w:hAnsiTheme="majorBidi" w:cstheme="majorBidi"/>
          <w:bCs/>
          <w:szCs w:val="24"/>
          <w:lang w:val="fr-FR" w:eastAsia="fr-FR"/>
        </w:rPr>
      </w:pPr>
      <w:r w:rsidRPr="00754E78">
        <w:rPr>
          <w:rFonts w:asciiTheme="majorBidi" w:eastAsia="SimHei" w:hAnsiTheme="majorBidi" w:cstheme="majorBidi"/>
          <w:bCs/>
          <w:szCs w:val="24"/>
          <w:lang w:val="fr-FR" w:eastAsia="fr-FR"/>
        </w:rPr>
        <w:t>•</w:t>
      </w:r>
      <w:r w:rsidRPr="00754E78">
        <w:rPr>
          <w:rFonts w:asciiTheme="majorBidi" w:eastAsia="SimHei" w:hAnsiTheme="majorBidi" w:cstheme="majorBidi"/>
          <w:bCs/>
          <w:szCs w:val="24"/>
          <w:lang w:val="fr-FR" w:eastAsia="fr-FR"/>
        </w:rPr>
        <w:tab/>
        <w:t>les avantages fiscaux sur les télécommunications: une exonération fiscale temporaire de cinq ans est accordée aux entreprises fournissant des services de télécommunication, notamment des services Internet et large bande. Par ailleurs, une déduction de 30% des bénéfices réalisés est également octroyée pour les cinq prochaines années sur toute période de dix années consécutives pendant les dix premières années;</w:t>
      </w:r>
    </w:p>
    <w:p w:rsidR="0027480F" w:rsidRPr="00754E78" w:rsidRDefault="0027480F" w:rsidP="007950D0">
      <w:pPr>
        <w:pStyle w:val="enumlev1"/>
        <w:rPr>
          <w:rFonts w:asciiTheme="majorBidi" w:eastAsia="SimHei" w:hAnsiTheme="majorBidi" w:cstheme="majorBidi"/>
          <w:bCs/>
          <w:szCs w:val="24"/>
          <w:lang w:val="fr-FR" w:eastAsia="fr-FR"/>
        </w:rPr>
      </w:pPr>
      <w:r w:rsidRPr="00754E78">
        <w:rPr>
          <w:rFonts w:asciiTheme="majorBidi" w:eastAsia="SimHei" w:hAnsiTheme="majorBidi" w:cstheme="majorBidi"/>
          <w:bCs/>
          <w:szCs w:val="24"/>
          <w:lang w:val="fr-FR" w:eastAsia="fr-FR"/>
        </w:rPr>
        <w:t>•</w:t>
      </w:r>
      <w:r w:rsidRPr="00754E78">
        <w:rPr>
          <w:rFonts w:asciiTheme="majorBidi" w:eastAsia="SimHei" w:hAnsiTheme="majorBidi" w:cstheme="majorBidi"/>
          <w:bCs/>
          <w:szCs w:val="24"/>
          <w:lang w:val="fr-FR" w:eastAsia="fr-FR"/>
        </w:rPr>
        <w:tab/>
        <w:t>les avantages fiscaux sur les parcs industriels et les zones économiques spéciales: une exonération fiscale temporaire de dix ans est accordée aux entreprises qui mettent au point ou exercent leurs activités ou qui assurent la maintenance d'installations dans les parcs informatiques notifiés ou dans des zones économiques spéciales;</w:t>
      </w:r>
    </w:p>
    <w:p w:rsidR="0027480F" w:rsidRPr="00754E78" w:rsidRDefault="0027480F" w:rsidP="007950D0">
      <w:pPr>
        <w:pStyle w:val="enumlev1"/>
        <w:rPr>
          <w:rFonts w:asciiTheme="majorBidi" w:eastAsia="SimHei" w:hAnsiTheme="majorBidi" w:cstheme="majorBidi"/>
          <w:bCs/>
          <w:szCs w:val="24"/>
          <w:lang w:val="fr-FR" w:eastAsia="fr-FR"/>
        </w:rPr>
      </w:pPr>
      <w:r w:rsidRPr="00754E78">
        <w:rPr>
          <w:rFonts w:asciiTheme="majorBidi" w:eastAsia="SimHei" w:hAnsiTheme="majorBidi" w:cstheme="majorBidi"/>
          <w:bCs/>
          <w:szCs w:val="24"/>
          <w:lang w:val="fr-FR" w:eastAsia="fr-FR"/>
        </w:rPr>
        <w:t>•</w:t>
      </w:r>
      <w:r w:rsidRPr="00754E78">
        <w:rPr>
          <w:rFonts w:asciiTheme="majorBidi" w:eastAsia="SimHei" w:hAnsiTheme="majorBidi" w:cstheme="majorBidi"/>
          <w:bCs/>
          <w:szCs w:val="24"/>
          <w:lang w:val="fr-FR" w:eastAsia="fr-FR"/>
        </w:rPr>
        <w:tab/>
        <w:t>les avantages fiscaux sur les exportations: déduction d'impôts sur les bénéfices réalisés par les exportateurs;</w:t>
      </w:r>
    </w:p>
    <w:p w:rsidR="0027480F" w:rsidRPr="00754E78" w:rsidRDefault="0027480F" w:rsidP="007950D0">
      <w:pPr>
        <w:pStyle w:val="enumlev1"/>
        <w:rPr>
          <w:rFonts w:asciiTheme="majorBidi" w:eastAsia="SimHei" w:hAnsiTheme="majorBidi" w:cstheme="majorBidi"/>
          <w:bCs/>
          <w:szCs w:val="24"/>
          <w:lang w:val="fr-FR" w:eastAsia="fr-FR"/>
        </w:rPr>
      </w:pPr>
      <w:r w:rsidRPr="00754E78">
        <w:rPr>
          <w:rFonts w:asciiTheme="majorBidi" w:eastAsia="SimHei" w:hAnsiTheme="majorBidi" w:cstheme="majorBidi"/>
          <w:bCs/>
          <w:szCs w:val="24"/>
          <w:lang w:val="fr-FR" w:eastAsia="fr-FR"/>
        </w:rPr>
        <w:t>•</w:t>
      </w:r>
      <w:r w:rsidRPr="00754E78">
        <w:rPr>
          <w:rFonts w:asciiTheme="majorBidi" w:eastAsia="SimHei" w:hAnsiTheme="majorBidi" w:cstheme="majorBidi"/>
          <w:bCs/>
          <w:szCs w:val="24"/>
          <w:lang w:val="fr-FR" w:eastAsia="fr-FR"/>
        </w:rPr>
        <w:tab/>
        <w:t>d'autres incitations: des allègements fiscaux sont accordés et une déduction pondérée de 150% a été offerte au titre des dépenses de recherche-développement à caractère scientifique. Un allègement fiscal de dix ans est accordé aux sociétés spécialisées dans la R</w:t>
      </w:r>
      <w:r w:rsidRPr="00754E78">
        <w:rPr>
          <w:rFonts w:asciiTheme="majorBidi" w:eastAsia="SimHei" w:hAnsiTheme="majorBidi" w:cstheme="majorBidi"/>
          <w:bCs/>
          <w:szCs w:val="24"/>
          <w:lang w:val="fr-FR" w:eastAsia="fr-FR"/>
        </w:rPr>
        <w:noBreakHyphen/>
        <w:t>D et dans la recherche scientifique ou industrielle.</w:t>
      </w:r>
    </w:p>
    <w:p w:rsidR="0027480F" w:rsidRPr="00754E78" w:rsidRDefault="0027480F" w:rsidP="00FC2F6F">
      <w:pPr>
        <w:rPr>
          <w:rFonts w:asciiTheme="majorBidi" w:hAnsiTheme="majorBidi" w:cstheme="majorBidi"/>
          <w:lang w:val="fr-FR"/>
        </w:rPr>
      </w:pPr>
      <w:r w:rsidRPr="00754E78">
        <w:rPr>
          <w:rFonts w:asciiTheme="majorBidi" w:hAnsiTheme="majorBidi" w:cstheme="majorBidi"/>
          <w:lang w:val="fr-FR"/>
        </w:rPr>
        <w:t>Les centres d'appel sont l'une des activités de délocalisation ayant connu l'essor le plus rapide. En effet, les centres d'appel internationaux constituent aujourd'hui une proportion importante des emplois créés. Les pays africains ont commencé à se positionner pour tirer parti de ce marché colossal. Les possibilités offertes par la délocalisation reposent généralement sur différents paramètres: bas salaires, multilinguisme, décalage horaire peu important, grand nombre de diplômés et infrastructures TIC améliorées, notamment. Ainsi, le Sénégal</w:t>
      </w:r>
      <w:r w:rsidRPr="00B56515">
        <w:rPr>
          <w:rStyle w:val="FootnoteReference"/>
          <w:rFonts w:asciiTheme="majorBidi" w:hAnsiTheme="majorBidi" w:cstheme="majorBidi"/>
        </w:rPr>
        <w:footnoteReference w:id="30"/>
      </w:r>
      <w:r w:rsidRPr="00754E78">
        <w:rPr>
          <w:rFonts w:asciiTheme="majorBidi" w:hAnsiTheme="majorBidi" w:cstheme="majorBidi"/>
          <w:lang w:val="fr-FR"/>
        </w:rPr>
        <w:t xml:space="preserve"> compte actuellement 12 opérateurs de centres d'appel et commercialise des </w:t>
      </w:r>
      <w:proofErr w:type="spellStart"/>
      <w:r w:rsidRPr="00754E78">
        <w:rPr>
          <w:rFonts w:asciiTheme="majorBidi" w:hAnsiTheme="majorBidi" w:cstheme="majorBidi"/>
          <w:lang w:val="fr-FR"/>
        </w:rPr>
        <w:t>téléservices</w:t>
      </w:r>
      <w:proofErr w:type="spellEnd"/>
      <w:r w:rsidRPr="00754E78">
        <w:rPr>
          <w:rFonts w:asciiTheme="majorBidi" w:hAnsiTheme="majorBidi" w:cstheme="majorBidi"/>
          <w:lang w:val="fr-FR"/>
        </w:rPr>
        <w:t>. Ces sociétés représentent 1245 postes de travail occupés par près de 2200 employés. La plus connue d'entre elles, la société PCCI, a tout d'un géant, puisqu'elle compte 800 postes déclarés pour 1200 employés, soit un chiffre record, même par rapport au marché des pays développés. En 2008, Maroc Telecom</w:t>
      </w:r>
      <w:r w:rsidRPr="00B56515">
        <w:rPr>
          <w:rStyle w:val="FootnoteReference"/>
          <w:rFonts w:asciiTheme="majorBidi" w:hAnsiTheme="majorBidi" w:cstheme="majorBidi"/>
          <w:szCs w:val="16"/>
        </w:rPr>
        <w:footnoteReference w:id="31"/>
      </w:r>
      <w:r w:rsidRPr="00754E78">
        <w:rPr>
          <w:rFonts w:asciiTheme="majorBidi" w:hAnsiTheme="majorBidi" w:cstheme="majorBidi"/>
          <w:lang w:val="fr-FR"/>
        </w:rPr>
        <w:t xml:space="preserve"> a annoncé que dans sa filiale du Burkina Faso, près de 27 000 emplois indirects étaient associés aux 13 647 </w:t>
      </w:r>
      <w:proofErr w:type="spellStart"/>
      <w:r w:rsidRPr="00754E78">
        <w:rPr>
          <w:rFonts w:asciiTheme="majorBidi" w:hAnsiTheme="majorBidi" w:cstheme="majorBidi"/>
          <w:lang w:val="fr-FR"/>
        </w:rPr>
        <w:t>télécentres</w:t>
      </w:r>
      <w:proofErr w:type="spellEnd"/>
      <w:r w:rsidRPr="00754E78">
        <w:rPr>
          <w:rFonts w:asciiTheme="majorBidi" w:hAnsiTheme="majorBidi" w:cstheme="majorBidi"/>
          <w:lang w:val="fr-FR"/>
        </w:rPr>
        <w:t xml:space="preserve"> créés (600 dans les 150 cybercafés existants et 700 auprès de 120 distributeurs et revendeurs en gros). De même, l'Egypte mise sur les caractéristiques </w:t>
      </w:r>
      <w:proofErr w:type="spellStart"/>
      <w:r w:rsidRPr="00754E78">
        <w:rPr>
          <w:rFonts w:asciiTheme="majorBidi" w:hAnsiTheme="majorBidi" w:cstheme="majorBidi"/>
          <w:lang w:val="fr-FR"/>
        </w:rPr>
        <w:t>macro</w:t>
      </w:r>
      <w:r w:rsidRPr="00754E78">
        <w:rPr>
          <w:rFonts w:asciiTheme="majorBidi" w:hAnsiTheme="majorBidi" w:cstheme="majorBidi"/>
          <w:lang w:val="fr-FR"/>
        </w:rPr>
        <w:noBreakHyphen/>
        <w:t>économiques</w:t>
      </w:r>
      <w:proofErr w:type="spellEnd"/>
      <w:r w:rsidRPr="00754E78">
        <w:rPr>
          <w:rFonts w:asciiTheme="majorBidi" w:hAnsiTheme="majorBidi" w:cstheme="majorBidi"/>
          <w:lang w:val="fr-FR"/>
        </w:rPr>
        <w:t xml:space="preserve"> de sa </w:t>
      </w:r>
      <w:proofErr w:type="spellStart"/>
      <w:r w:rsidRPr="00754E78">
        <w:rPr>
          <w:rFonts w:asciiTheme="majorBidi" w:hAnsiTheme="majorBidi" w:cstheme="majorBidi"/>
          <w:lang w:val="fr-FR"/>
        </w:rPr>
        <w:t>main-d'oeuvre</w:t>
      </w:r>
      <w:proofErr w:type="spellEnd"/>
      <w:r w:rsidRPr="00754E78">
        <w:rPr>
          <w:rFonts w:asciiTheme="majorBidi" w:hAnsiTheme="majorBidi" w:cstheme="majorBidi"/>
          <w:lang w:val="fr-FR"/>
        </w:rPr>
        <w:t xml:space="preserve">, à savoir un vaste vivier de collaborateurs qualifiés et multilingues puisqu'elle forme chaque année plus de 300 000 diplômés et propose des salaires inférieurs à ceux pratiqués aux </w:t>
      </w:r>
      <w:proofErr w:type="spellStart"/>
      <w:r w:rsidRPr="00754E78">
        <w:rPr>
          <w:rFonts w:asciiTheme="majorBidi" w:hAnsiTheme="majorBidi" w:cstheme="majorBidi"/>
          <w:lang w:val="fr-FR"/>
        </w:rPr>
        <w:t>Etats</w:t>
      </w:r>
      <w:r w:rsidRPr="00754E78">
        <w:rPr>
          <w:rFonts w:asciiTheme="majorBidi" w:hAnsiTheme="majorBidi" w:cstheme="majorBidi"/>
          <w:lang w:val="fr-FR"/>
        </w:rPr>
        <w:noBreakHyphen/>
        <w:t>Unis</w:t>
      </w:r>
      <w:proofErr w:type="spellEnd"/>
      <w:r w:rsidRPr="00754E78">
        <w:rPr>
          <w:rFonts w:asciiTheme="majorBidi" w:hAnsiTheme="majorBidi" w:cstheme="majorBidi"/>
          <w:lang w:val="fr-FR"/>
        </w:rPr>
        <w:t xml:space="preserve"> ou en Europe. En outre, l'Egypte occupe une position centrale entre les </w:t>
      </w:r>
      <w:proofErr w:type="spellStart"/>
      <w:r w:rsidRPr="00754E78">
        <w:rPr>
          <w:rFonts w:asciiTheme="majorBidi" w:hAnsiTheme="majorBidi" w:cstheme="majorBidi"/>
          <w:lang w:val="fr-FR"/>
        </w:rPr>
        <w:t>Etats</w:t>
      </w:r>
      <w:r w:rsidRPr="00754E78">
        <w:rPr>
          <w:rFonts w:asciiTheme="majorBidi" w:hAnsiTheme="majorBidi" w:cstheme="majorBidi"/>
          <w:lang w:val="fr-FR"/>
        </w:rPr>
        <w:noBreakHyphen/>
        <w:t>Unis</w:t>
      </w:r>
      <w:proofErr w:type="spellEnd"/>
      <w:r w:rsidRPr="00754E78">
        <w:rPr>
          <w:rFonts w:asciiTheme="majorBidi" w:hAnsiTheme="majorBidi" w:cstheme="majorBidi"/>
          <w:lang w:val="fr-FR"/>
        </w:rPr>
        <w:t>, l'Europe et l'Asie et plusieurs câbles transatlantiques transitent par ce pays. Par ailleurs, des tarifs spéciaux sont appliqués dans les centres d'appel pour les télécommunications internationales de manière à promouvoir le secteur.</w:t>
      </w:r>
    </w:p>
    <w:p w:rsidR="0027480F" w:rsidRPr="00754E78" w:rsidRDefault="0027480F" w:rsidP="0027480F">
      <w:pPr>
        <w:rPr>
          <w:rFonts w:asciiTheme="majorBidi" w:hAnsiTheme="majorBidi" w:cstheme="majorBidi"/>
          <w:lang w:val="fr-FR"/>
        </w:rPr>
      </w:pPr>
      <w:r w:rsidRPr="00754E78">
        <w:rPr>
          <w:rFonts w:asciiTheme="majorBidi" w:hAnsiTheme="majorBidi" w:cstheme="majorBidi"/>
          <w:lang w:val="fr-FR"/>
        </w:rPr>
        <w:t>D'une manière générale, les centres d'appel apportent un appui aux clients dans tous les secteurs de l'industrie, en offrant une gamme de services aussi divers que l'assistance pour l'utilisation de produits, l'activation de cartes de crédit et les informations d'ordre médical. Ces centres regroupent des employés qui exercent des fonctions spécialisées et travaillent à distance (à l'intérieur de pays ou entre ces pays), en établissant une liaison de télécommunication avec les clients. La concurrence qui s'exerce pour attirer des centres d'appel internationaux (dont la clientèle s'étend au-delà des frontières nationales) est très vive</w:t>
      </w:r>
      <w:r w:rsidRPr="00B56515">
        <w:rPr>
          <w:rStyle w:val="FootnoteReference"/>
          <w:rFonts w:asciiTheme="majorBidi" w:hAnsiTheme="majorBidi" w:cstheme="majorBidi"/>
          <w:szCs w:val="16"/>
        </w:rPr>
        <w:footnoteReference w:id="32"/>
      </w:r>
      <w:r w:rsidRPr="00754E78">
        <w:rPr>
          <w:rFonts w:asciiTheme="majorBidi" w:hAnsiTheme="majorBidi" w:cstheme="majorBidi"/>
          <w:lang w:val="fr-FR"/>
        </w:rPr>
        <w:t xml:space="preserve">. Outre des facteurs tels que l'infrastructure des télécommunications et les coûts de la </w:t>
      </w:r>
      <w:proofErr w:type="spellStart"/>
      <w:r w:rsidRPr="00754E78">
        <w:rPr>
          <w:rFonts w:asciiTheme="majorBidi" w:hAnsiTheme="majorBidi" w:cstheme="majorBidi"/>
          <w:lang w:val="fr-FR"/>
        </w:rPr>
        <w:t>main</w:t>
      </w:r>
      <w:r w:rsidRPr="00754E78">
        <w:rPr>
          <w:rFonts w:asciiTheme="majorBidi" w:hAnsiTheme="majorBidi" w:cstheme="majorBidi"/>
          <w:lang w:val="fr-FR"/>
        </w:rPr>
        <w:noBreakHyphen/>
        <w:t>d'oeuvre</w:t>
      </w:r>
      <w:proofErr w:type="spellEnd"/>
      <w:r w:rsidRPr="00754E78">
        <w:rPr>
          <w:rFonts w:asciiTheme="majorBidi" w:hAnsiTheme="majorBidi" w:cstheme="majorBidi"/>
          <w:lang w:val="fr-FR"/>
        </w:rPr>
        <w:t xml:space="preserve">, le décalage horaire et les compétences linguistiques du personnel jouent un rôle important. L'essor de </w:t>
      </w:r>
      <w:r w:rsidRPr="00754E78">
        <w:rPr>
          <w:rFonts w:asciiTheme="majorBidi" w:hAnsiTheme="majorBidi" w:cstheme="majorBidi"/>
          <w:lang w:val="fr-FR" w:eastAsia="fr-FR"/>
        </w:rPr>
        <w:lastRenderedPageBreak/>
        <w:t xml:space="preserve">l'externalisation </w:t>
      </w:r>
      <w:r w:rsidRPr="00754E78">
        <w:rPr>
          <w:rFonts w:asciiTheme="majorBidi" w:hAnsiTheme="majorBidi" w:cstheme="majorBidi"/>
          <w:lang w:val="fr-FR"/>
        </w:rPr>
        <w:t>et la création de centres d'appel virtuels viennent encore compliquer le paysage géographique.</w:t>
      </w:r>
    </w:p>
    <w:p w:rsidR="0027480F" w:rsidRPr="00754E78" w:rsidRDefault="0027480F" w:rsidP="0027480F">
      <w:pPr>
        <w:pStyle w:val="Heading1"/>
        <w:ind w:left="0" w:firstLine="0"/>
        <w:rPr>
          <w:lang w:val="fr-FR"/>
        </w:rPr>
      </w:pPr>
      <w:r w:rsidRPr="00754E78">
        <w:rPr>
          <w:lang w:val="fr-FR"/>
        </w:rPr>
        <w:t>6</w:t>
      </w:r>
      <w:r w:rsidRPr="00754E78">
        <w:rPr>
          <w:lang w:val="fr-FR"/>
        </w:rPr>
        <w:tab/>
        <w:t>Conclusion</w:t>
      </w:r>
    </w:p>
    <w:p w:rsidR="0027480F" w:rsidRPr="00754E78" w:rsidRDefault="0027480F" w:rsidP="0027480F">
      <w:pPr>
        <w:rPr>
          <w:lang w:val="fr-FR" w:eastAsia="fr-FR"/>
        </w:rPr>
      </w:pPr>
      <w:r w:rsidRPr="00754E78">
        <w:rPr>
          <w:lang w:val="fr-FR" w:eastAsia="fr-FR"/>
        </w:rPr>
        <w:t xml:space="preserve">Le développement des télécommunications va de pair avec l'apparition de nouvelles modalités de création et de disparition d'emplois. </w:t>
      </w:r>
    </w:p>
    <w:p w:rsidR="0027480F" w:rsidRPr="00754E78" w:rsidRDefault="0027480F" w:rsidP="0027480F">
      <w:pPr>
        <w:rPr>
          <w:rFonts w:asciiTheme="majorBidi" w:hAnsiTheme="majorBidi" w:cstheme="majorBidi"/>
          <w:lang w:val="fr-FR" w:eastAsia="fr-FR"/>
        </w:rPr>
      </w:pPr>
      <w:r w:rsidRPr="00754E78">
        <w:rPr>
          <w:rFonts w:asciiTheme="majorBidi" w:hAnsiTheme="majorBidi" w:cstheme="majorBidi"/>
          <w:lang w:val="fr-FR" w:eastAsia="fr-FR"/>
        </w:rPr>
        <w:t>En ce qui concerne l'emploi direct dans le secteur, les aptitudes traditionnelles (construction, installation, réparation et maintenance des équipements des centres de commutation et pose de câbles et de lignes) perdent de l'importance au profit de nouvelles compétences (notamment des compétences "hybrides") services (informatiques, de réseautage et de traitement des données) et de fonctions comme la gestion, le marketing et la vente. S'agissant de l'Internet, les emplois les plus répandus concernent le traitement de données, l'hébergement et les services connexes. Ainsi, les entreprises spécialisées dans l'installation d'infrastructures physiques emploient essentiellement des ingénieurs et techniciens du génie civil, des spécialistes de la planification et de la conception de réseaux et des techniciens de maintenance. La revente est devenue par ailleurs une possibilité d'emploi viable pour des services comme la téléphonie mobile.</w:t>
      </w:r>
    </w:p>
    <w:p w:rsidR="0027480F" w:rsidRPr="0027480F" w:rsidRDefault="0027480F" w:rsidP="0027480F">
      <w:pPr>
        <w:rPr>
          <w:rFonts w:asciiTheme="majorBidi" w:hAnsiTheme="majorBidi" w:cstheme="majorBidi"/>
          <w:lang w:val="fr-FR" w:eastAsia="fr-FR"/>
        </w:rPr>
      </w:pPr>
      <w:r w:rsidRPr="0027480F">
        <w:rPr>
          <w:rFonts w:asciiTheme="majorBidi" w:hAnsiTheme="majorBidi" w:cstheme="majorBidi"/>
          <w:lang w:val="fr-FR" w:eastAsia="fr-FR"/>
        </w:rPr>
        <w:t>Pour que les pays en développement opèrent une transition sans heurts à la lumière de ces nouvelles tendances en matière d'emploi, certaines conditions préalables doivent être respectées. Il faut notamment établir des prévisions fiables en ce qui concerne la demande de compétences, et opter pour des approches précises dans le domaine du renforcement des capacités humaines. Pour ce f</w:t>
      </w:r>
      <w:r w:rsidRPr="00B56515">
        <w:rPr>
          <w:rFonts w:asciiTheme="majorBidi" w:hAnsiTheme="majorBidi" w:cstheme="majorBidi"/>
          <w:lang w:val="fr-CH" w:eastAsia="fr-FR"/>
        </w:rPr>
        <w:t xml:space="preserve">aire, il faut </w:t>
      </w:r>
      <w:r w:rsidRPr="0027480F">
        <w:rPr>
          <w:rFonts w:asciiTheme="majorBidi" w:hAnsiTheme="majorBidi" w:cstheme="majorBidi"/>
          <w:lang w:val="fr-FR" w:eastAsia="fr-FR"/>
        </w:rPr>
        <w:t xml:space="preserve">adapter la formation dans le sens de la professionnalisation du personnel dans les nouveaux secteurs d'activité demandés. Des initiatives visant à encourager la mobilité interne, la mobilité transfrontalière et intersectorielle des "travailleurs de la connaissance", etc. sont absolument nécessaires pour remédier aux insuffisances de demain. La formation continue est elle aussi décisive pour répondre aux aspirations des utilisateurs, adapter les aptitudes aux besoins futurs des organisations, améliorer la satisfaction individuelle au travail, réaffecter le personnel, améliorer les perspectives de carrière et d'emploi et tirer parti des avancées technologiques. Les pouvoirs publics et les entreprises devraient adopter des stratégies appropriées en matière d'emploi pour faire en sorte que les employés suivent une formation continue appropriée et puissent par exemple bénéficier d'une assistance par le biais des nouvelles technologies d'apprentissage fondées sur les TIC. </w:t>
      </w:r>
    </w:p>
    <w:p w:rsidR="00C82AF3" w:rsidRPr="0027480F" w:rsidRDefault="0027480F" w:rsidP="0027480F">
      <w:pPr>
        <w:rPr>
          <w:lang w:val="fr-FR"/>
        </w:rPr>
      </w:pPr>
      <w:r w:rsidRPr="0027480F">
        <w:rPr>
          <w:rFonts w:asciiTheme="majorBidi" w:hAnsiTheme="majorBidi" w:cstheme="majorBidi"/>
          <w:lang w:val="fr-FR" w:eastAsia="fr-FR"/>
        </w:rPr>
        <w:t xml:space="preserve">Pour ce qui est des emplois indirects et des emplois induits, le marché de l'externalisation a connu une forte expansion. La délocalisation des processus métier (Business </w:t>
      </w:r>
      <w:proofErr w:type="spellStart"/>
      <w:r w:rsidRPr="0027480F">
        <w:rPr>
          <w:rFonts w:asciiTheme="majorBidi" w:hAnsiTheme="majorBidi" w:cstheme="majorBidi"/>
          <w:lang w:val="fr-FR" w:eastAsia="fr-FR"/>
        </w:rPr>
        <w:t>Process</w:t>
      </w:r>
      <w:proofErr w:type="spellEnd"/>
      <w:r w:rsidRPr="0027480F">
        <w:rPr>
          <w:rFonts w:asciiTheme="majorBidi" w:hAnsiTheme="majorBidi" w:cstheme="majorBidi"/>
          <w:lang w:val="fr-FR" w:eastAsia="fr-FR"/>
        </w:rPr>
        <w:t xml:space="preserve"> Outsourcing</w:t>
      </w:r>
      <w:r w:rsidR="00E63ADD">
        <w:rPr>
          <w:rFonts w:asciiTheme="majorBidi" w:hAnsiTheme="majorBidi" w:cstheme="majorBidi"/>
          <w:lang w:val="fr-FR" w:eastAsia="fr-FR"/>
        </w:rPr>
        <w:t xml:space="preserve"> – </w:t>
      </w:r>
      <w:r w:rsidRPr="0027480F">
        <w:rPr>
          <w:rFonts w:asciiTheme="majorBidi" w:hAnsiTheme="majorBidi" w:cstheme="majorBidi"/>
          <w:lang w:val="fr-FR" w:eastAsia="fr-FR"/>
        </w:rPr>
        <w:t>BPO) constitue un moyen novateur et inédit de stimuler l'économie et de créer des emplois qui s'est révélé particulièrement utile pour un grand nombre de pays en développement. Le marché de la délocalisation offre un potentiel de création d'emplois considérable dans les pays en développement ou les pays à faible revenu. Comme l'a montré l'exemple de l'Inde, l'appui sans faille apporté aux sociétés de conseils et de services en informatique sous la forme d'avantages fiscaux et de la mise à disposition de toutes les installations de base nécessaires joue un rôle essentiel en contribuant au développement de la sous-traitance des technologies de l'information. D'autres paramètres (bas salaires, multilinguisme, décalage horaire peu important, grand nombre de diplômés, infrastructures TIC améliorées) peuvent également favoriser la mise en place de bases solides pour le marché de la sous-traitance en général. A cet égard, le Sénégal est l'un des pays les plus intéressants sur le marché des centres d'appel.</w:t>
      </w:r>
    </w:p>
    <w:p w:rsidR="00C82AF3" w:rsidRDefault="00C82AF3" w:rsidP="00B40DE5">
      <w:pPr>
        <w:pStyle w:val="Heading1"/>
        <w:jc w:val="center"/>
      </w:pPr>
      <w:r w:rsidRPr="00C30982">
        <w:rPr>
          <w:lang w:val="en-US"/>
        </w:rPr>
        <w:br w:type="page"/>
      </w:r>
      <w:bookmarkStart w:id="18" w:name="_Toc258938511"/>
      <w:proofErr w:type="spellStart"/>
      <w:r w:rsidRPr="006A2316">
        <w:lastRenderedPageBreak/>
        <w:t>B</w:t>
      </w:r>
      <w:r w:rsidR="00A67CC2" w:rsidRPr="006A2316">
        <w:t>ibliograph</w:t>
      </w:r>
      <w:bookmarkEnd w:id="18"/>
      <w:r w:rsidR="00754E78">
        <w:t>ie</w:t>
      </w:r>
      <w:proofErr w:type="spellEnd"/>
    </w:p>
    <w:p w:rsidR="00B40DE5" w:rsidRPr="00B40DE5" w:rsidRDefault="00B40DE5" w:rsidP="00B40DE5"/>
    <w:p w:rsidR="00297D79" w:rsidRPr="00C7785D" w:rsidRDefault="00297D79" w:rsidP="00297D79">
      <w:pPr>
        <w:rPr>
          <w:bCs/>
          <w:lang w:val="en-US"/>
        </w:rPr>
      </w:pPr>
      <w:proofErr w:type="spellStart"/>
      <w:r w:rsidRPr="00C7785D">
        <w:rPr>
          <w:bCs/>
          <w:lang w:val="en-US"/>
        </w:rPr>
        <w:t>Aricent</w:t>
      </w:r>
      <w:proofErr w:type="spellEnd"/>
      <w:r w:rsidRPr="00C7785D">
        <w:rPr>
          <w:bCs/>
          <w:lang w:val="en-US"/>
        </w:rPr>
        <w:t xml:space="preserve">, </w:t>
      </w:r>
      <w:r w:rsidRPr="007950D0">
        <w:rPr>
          <w:bCs/>
          <w:i/>
          <w:iCs/>
          <w:lang w:val="en-US"/>
        </w:rPr>
        <w:t>Outsourcing: A Must for the Telecom Industry (White paper)</w:t>
      </w:r>
      <w:r w:rsidRPr="00C7785D">
        <w:rPr>
          <w:bCs/>
          <w:lang w:val="en-US"/>
        </w:rPr>
        <w:t xml:space="preserve">, 2006, </w:t>
      </w:r>
      <w:r w:rsidRPr="00C7785D">
        <w:rPr>
          <w:lang w:val="en-US"/>
        </w:rPr>
        <w:t>www.aricent.com/index.aspx</w:t>
      </w:r>
    </w:p>
    <w:p w:rsidR="00297D79" w:rsidRPr="00C7785D" w:rsidRDefault="00297D79" w:rsidP="00297D79">
      <w:pPr>
        <w:rPr>
          <w:lang w:val="en-US"/>
        </w:rPr>
      </w:pPr>
      <w:proofErr w:type="spellStart"/>
      <w:r w:rsidRPr="00C7785D">
        <w:rPr>
          <w:bCs/>
          <w:lang w:val="en-US"/>
        </w:rPr>
        <w:t>Bevens</w:t>
      </w:r>
      <w:proofErr w:type="spellEnd"/>
      <w:r w:rsidRPr="00C7785D">
        <w:rPr>
          <w:bCs/>
          <w:lang w:val="en-US"/>
        </w:rPr>
        <w:t xml:space="preserve">, J., </w:t>
      </w:r>
      <w:r w:rsidRPr="007950D0">
        <w:rPr>
          <w:bCs/>
          <w:i/>
          <w:iCs/>
          <w:lang w:val="en-US"/>
        </w:rPr>
        <w:t>Working paper on updated employment multipliers for the US economy</w:t>
      </w:r>
      <w:r w:rsidRPr="00C7785D">
        <w:rPr>
          <w:bCs/>
          <w:lang w:val="en-US"/>
        </w:rPr>
        <w:t xml:space="preserve">, </w:t>
      </w:r>
      <w:proofErr w:type="spellStart"/>
      <w:r w:rsidRPr="00C7785D">
        <w:rPr>
          <w:bCs/>
          <w:lang w:val="en-US"/>
        </w:rPr>
        <w:t>août</w:t>
      </w:r>
      <w:proofErr w:type="spellEnd"/>
      <w:r w:rsidRPr="00C7785D">
        <w:rPr>
          <w:bCs/>
          <w:lang w:val="en-US"/>
        </w:rPr>
        <w:t xml:space="preserve"> 2003.</w:t>
      </w:r>
    </w:p>
    <w:p w:rsidR="00297D79" w:rsidRPr="00C7785D" w:rsidRDefault="00297D79" w:rsidP="00297D79">
      <w:pPr>
        <w:rPr>
          <w:lang w:val="fr-CH"/>
        </w:rPr>
      </w:pPr>
      <w:r w:rsidRPr="00C7785D">
        <w:rPr>
          <w:lang w:val="fr-CH"/>
        </w:rPr>
        <w:t>Cameroun, contribution présentée à la réunion de la Commission d'études 1, Genève, 7</w:t>
      </w:r>
      <w:r w:rsidRPr="00C7785D">
        <w:rPr>
          <w:lang w:val="fr-CH"/>
        </w:rPr>
        <w:noBreakHyphen/>
        <w:t xml:space="preserve">11 septembre 2009, Document 1/237, </w:t>
      </w:r>
      <w:r w:rsidRPr="007950D0">
        <w:rPr>
          <w:lang w:val="fr-CH"/>
        </w:rPr>
        <w:t>Cas du Cameroun,</w:t>
      </w:r>
      <w:r w:rsidRPr="00C7785D">
        <w:rPr>
          <w:lang w:val="fr-CH"/>
        </w:rPr>
        <w:t xml:space="preserve"> </w:t>
      </w:r>
      <w:r w:rsidRPr="00C7785D">
        <w:rPr>
          <w:lang w:val="fr-FR"/>
        </w:rPr>
        <w:t>www.itu.int/md/D06-SG01-C-0237/fr</w:t>
      </w:r>
    </w:p>
    <w:p w:rsidR="00297D79" w:rsidRPr="00C30982" w:rsidRDefault="00297D79" w:rsidP="007950D0">
      <w:pPr>
        <w:rPr>
          <w:lang w:val="fr-FR"/>
        </w:rPr>
      </w:pPr>
      <w:r w:rsidRPr="00C7785D">
        <w:rPr>
          <w:lang w:val="fr-CH"/>
        </w:rPr>
        <w:t>Chine, c</w:t>
      </w:r>
      <w:proofErr w:type="spellStart"/>
      <w:r w:rsidRPr="00C7785D">
        <w:rPr>
          <w:lang w:val="fr-FR"/>
        </w:rPr>
        <w:t>ontribution</w:t>
      </w:r>
      <w:proofErr w:type="spellEnd"/>
      <w:r w:rsidRPr="00C7785D">
        <w:rPr>
          <w:lang w:val="fr-FR"/>
        </w:rPr>
        <w:t xml:space="preserve"> présentée à la réunion de la Commission d'études 1, Genève, 7</w:t>
      </w:r>
      <w:r w:rsidRPr="00C7785D">
        <w:rPr>
          <w:lang w:val="fr-FR"/>
        </w:rPr>
        <w:noBreakHyphen/>
        <w:t xml:space="preserve">11 septembre 2009, Document 1/278, </w:t>
      </w:r>
      <w:r w:rsidRPr="00C7785D">
        <w:rPr>
          <w:i/>
          <w:iCs/>
          <w:lang w:val="fr-FR"/>
        </w:rPr>
        <w:t xml:space="preserve">ICT </w:t>
      </w:r>
      <w:proofErr w:type="spellStart"/>
      <w:r w:rsidRPr="00C7785D">
        <w:rPr>
          <w:i/>
          <w:iCs/>
          <w:lang w:val="fr-FR"/>
        </w:rPr>
        <w:t>industry</w:t>
      </w:r>
      <w:proofErr w:type="spellEnd"/>
      <w:r w:rsidRPr="00C7785D">
        <w:rPr>
          <w:i/>
          <w:iCs/>
          <w:lang w:val="fr-FR"/>
        </w:rPr>
        <w:t xml:space="preserve"> </w:t>
      </w:r>
      <w:proofErr w:type="spellStart"/>
      <w:r w:rsidR="007950D0">
        <w:rPr>
          <w:i/>
          <w:iCs/>
          <w:lang w:val="fr-FR"/>
        </w:rPr>
        <w:t>d</w:t>
      </w:r>
      <w:r w:rsidRPr="00C7785D">
        <w:rPr>
          <w:i/>
          <w:iCs/>
          <w:lang w:val="fr-FR"/>
        </w:rPr>
        <w:t>evelopment</w:t>
      </w:r>
      <w:proofErr w:type="spellEnd"/>
      <w:r w:rsidRPr="00C7785D">
        <w:rPr>
          <w:i/>
          <w:iCs/>
          <w:lang w:val="fr-FR"/>
        </w:rPr>
        <w:t xml:space="preserve"> </w:t>
      </w:r>
      <w:proofErr w:type="spellStart"/>
      <w:r w:rsidRPr="00C7785D">
        <w:rPr>
          <w:i/>
          <w:iCs/>
          <w:lang w:val="fr-FR"/>
        </w:rPr>
        <w:t>accelerates</w:t>
      </w:r>
      <w:proofErr w:type="spellEnd"/>
      <w:r w:rsidRPr="00C7785D">
        <w:rPr>
          <w:i/>
          <w:iCs/>
          <w:lang w:val="fr-FR"/>
        </w:rPr>
        <w:t xml:space="preserve"> transformation of social </w:t>
      </w:r>
      <w:proofErr w:type="spellStart"/>
      <w:r w:rsidRPr="00C7785D">
        <w:rPr>
          <w:i/>
          <w:iCs/>
          <w:lang w:val="fr-FR"/>
        </w:rPr>
        <w:t>employment</w:t>
      </w:r>
      <w:proofErr w:type="spellEnd"/>
      <w:r w:rsidRPr="00C7785D">
        <w:rPr>
          <w:i/>
          <w:iCs/>
          <w:lang w:val="fr-FR"/>
        </w:rPr>
        <w:t xml:space="preserve"> in China</w:t>
      </w:r>
      <w:r w:rsidRPr="00C7785D">
        <w:rPr>
          <w:lang w:val="fr-FR"/>
        </w:rPr>
        <w:t xml:space="preserve">, </w:t>
      </w:r>
      <w:hyperlink r:id="rId25" w:history="1">
        <w:r w:rsidRPr="00C7785D">
          <w:rPr>
            <w:rStyle w:val="Hyperlink"/>
            <w:u w:val="none"/>
            <w:lang w:val="fr-CH"/>
          </w:rPr>
          <w:t>www.itu.int/md/D06-SG01-C-0278/en</w:t>
        </w:r>
      </w:hyperlink>
    </w:p>
    <w:p w:rsidR="00297D79" w:rsidRPr="00C7785D" w:rsidRDefault="00297D79" w:rsidP="00297D79">
      <w:pPr>
        <w:rPr>
          <w:lang w:val="fr-FR"/>
        </w:rPr>
      </w:pPr>
      <w:r w:rsidRPr="00C7785D">
        <w:rPr>
          <w:lang w:val="fr-FR"/>
        </w:rPr>
        <w:t xml:space="preserve">Commission européenne, </w:t>
      </w:r>
      <w:r w:rsidRPr="007950D0">
        <w:rPr>
          <w:lang w:val="fr-FR"/>
        </w:rPr>
        <w:t>Des compétences nouvelles pour des emplois nouveaux</w:t>
      </w:r>
      <w:r w:rsidR="00E63ADD" w:rsidRPr="007950D0">
        <w:rPr>
          <w:lang w:val="fr-FR"/>
        </w:rPr>
        <w:t xml:space="preserve"> – </w:t>
      </w:r>
      <w:r w:rsidRPr="007950D0">
        <w:rPr>
          <w:lang w:val="fr-FR"/>
        </w:rPr>
        <w:t>Anticiper et faire coïncider les compétences requises et les besoins du marché du travail</w:t>
      </w:r>
      <w:r w:rsidRPr="00C7785D">
        <w:rPr>
          <w:lang w:val="fr-FR"/>
        </w:rPr>
        <w:t xml:space="preserve">, décembre 2008, </w:t>
      </w:r>
      <w:r w:rsidR="005E0020" w:rsidRPr="00C7785D">
        <w:rPr>
          <w:lang w:val="fr-FR"/>
        </w:rPr>
        <w:t>www.</w:t>
      </w:r>
      <w:hyperlink r:id="rId26" w:history="1">
        <w:r w:rsidRPr="00C7785D">
          <w:rPr>
            <w:rStyle w:val="Hyperlink"/>
            <w:u w:val="none"/>
            <w:lang w:val="fr-CH"/>
          </w:rPr>
          <w:t>eurlex.europa.eu/LexUriServ/LexUriServ.do?uri=COM:2008:0868:FIN:FR:PDF</w:t>
        </w:r>
      </w:hyperlink>
    </w:p>
    <w:p w:rsidR="00297D79" w:rsidRPr="00C7785D" w:rsidRDefault="00297D79" w:rsidP="005E0020">
      <w:pPr>
        <w:rPr>
          <w:lang w:val="fr-FR"/>
        </w:rPr>
      </w:pPr>
      <w:r w:rsidRPr="00C7785D">
        <w:rPr>
          <w:lang w:val="fr-FR"/>
        </w:rPr>
        <w:t xml:space="preserve">Commission européenne, Plan d'action européenne pour la mobilité de l'emploi (2007-2010), disponible à l'adresse: </w:t>
      </w:r>
      <w:r w:rsidR="005E0020" w:rsidRPr="00C7785D">
        <w:rPr>
          <w:lang w:val="fr-FR"/>
        </w:rPr>
        <w:t>www.</w:t>
      </w:r>
      <w:r w:rsidRPr="00C7785D">
        <w:rPr>
          <w:lang w:val="fr-FR"/>
        </w:rPr>
        <w:t>ec.europa.eu/socia</w:t>
      </w:r>
      <w:r w:rsidR="007950D0">
        <w:rPr>
          <w:lang w:val="fr-FR"/>
        </w:rPr>
        <w:t>l/main.jsp?catId=540&amp;langId=fr</w:t>
      </w:r>
    </w:p>
    <w:p w:rsidR="00297D79" w:rsidRPr="00C7785D" w:rsidRDefault="00297D79" w:rsidP="005E0020">
      <w:pPr>
        <w:rPr>
          <w:lang w:val="fr-FR"/>
        </w:rPr>
      </w:pPr>
      <w:r w:rsidRPr="00C7785D">
        <w:rPr>
          <w:lang w:val="fr-FR"/>
        </w:rPr>
        <w:t xml:space="preserve">Commission européenne, Cadre stratégique pour la coopération européenne dans le domaine de l'éducation et de la formation ("Education et formation 2020"), mai 2009, adopté par le Conseil, disponible à l'adresse: </w:t>
      </w:r>
      <w:r w:rsidR="005E0020" w:rsidRPr="00C7785D">
        <w:rPr>
          <w:lang w:val="fr-FR"/>
        </w:rPr>
        <w:t>www.</w:t>
      </w:r>
      <w:r w:rsidRPr="00C7785D">
        <w:rPr>
          <w:lang w:val="fr-FR"/>
        </w:rPr>
        <w:t>ec.europa.eu/education/lifelong-learning-policy/doc28_fr</w:t>
      </w:r>
      <w:r w:rsidR="007950D0">
        <w:rPr>
          <w:lang w:val="fr-FR"/>
        </w:rPr>
        <w:t>.htm</w:t>
      </w:r>
    </w:p>
    <w:p w:rsidR="00297D79" w:rsidRPr="00C7785D" w:rsidRDefault="00297D79" w:rsidP="00297D79">
      <w:pPr>
        <w:rPr>
          <w:lang w:val="fr-FR"/>
        </w:rPr>
      </w:pPr>
      <w:r w:rsidRPr="00C7785D">
        <w:rPr>
          <w:lang w:val="fr-FR"/>
        </w:rPr>
        <w:t xml:space="preserve">France Telecom, contribution présentée par à la Réunion du Groupe du Rapporteur pour la Question 21, Le Caire, mars 2009, Document WTI09-07/021, </w:t>
      </w:r>
      <w:r w:rsidRPr="007950D0">
        <w:rPr>
          <w:lang w:val="fr-FR"/>
        </w:rPr>
        <w:t>Les NTIC, outils de création, de destruction ou de transformation de l'emploi chez les opérateurs de télécoms</w:t>
      </w:r>
      <w:r w:rsidRPr="00C7785D">
        <w:rPr>
          <w:lang w:val="fr-FR"/>
        </w:rPr>
        <w:t>, www.itu.i</w:t>
      </w:r>
      <w:r w:rsidR="007950D0">
        <w:rPr>
          <w:lang w:val="fr-FR"/>
        </w:rPr>
        <w:t>nt/md/D06</w:t>
      </w:r>
      <w:r w:rsidR="007950D0">
        <w:rPr>
          <w:lang w:val="fr-FR"/>
        </w:rPr>
        <w:noBreakHyphen/>
        <w:t>DAP2B.1.3.7-C-0021/fr</w:t>
      </w:r>
    </w:p>
    <w:p w:rsidR="00297D79" w:rsidRPr="00C7785D" w:rsidRDefault="00297D79" w:rsidP="00297D79">
      <w:pPr>
        <w:rPr>
          <w:lang w:val="fr-CH"/>
        </w:rPr>
      </w:pPr>
      <w:r w:rsidRPr="00C7785D">
        <w:rPr>
          <w:lang w:val="fr-FR"/>
        </w:rPr>
        <w:t>Gabon, contribution présentée à la réunion de la Commission d'études 1, Genève, 7</w:t>
      </w:r>
      <w:r w:rsidRPr="00C7785D">
        <w:rPr>
          <w:lang w:val="fr-FR"/>
        </w:rPr>
        <w:noBreakHyphen/>
        <w:t>11 septembre 2009, Document 1/262, ww</w:t>
      </w:r>
      <w:r w:rsidR="007950D0">
        <w:rPr>
          <w:lang w:val="fr-FR"/>
        </w:rPr>
        <w:t>w.itu.int/md/D06-SG01-C-0262/fr</w:t>
      </w:r>
    </w:p>
    <w:p w:rsidR="00297D79" w:rsidRPr="00C7785D" w:rsidRDefault="00297D79" w:rsidP="00297D79">
      <w:pPr>
        <w:rPr>
          <w:bCs/>
          <w:lang w:val="en-US"/>
        </w:rPr>
      </w:pPr>
      <w:proofErr w:type="spellStart"/>
      <w:r w:rsidRPr="00C7785D">
        <w:rPr>
          <w:bCs/>
          <w:lang w:val="en-US"/>
        </w:rPr>
        <w:t>Huws</w:t>
      </w:r>
      <w:proofErr w:type="spellEnd"/>
      <w:r w:rsidRPr="00C7785D">
        <w:rPr>
          <w:bCs/>
          <w:lang w:val="en-US"/>
        </w:rPr>
        <w:t xml:space="preserve">, U., </w:t>
      </w:r>
      <w:proofErr w:type="spellStart"/>
      <w:r w:rsidRPr="00C7785D">
        <w:rPr>
          <w:bCs/>
          <w:lang w:val="en-US"/>
        </w:rPr>
        <w:t>Jagger</w:t>
      </w:r>
      <w:proofErr w:type="spellEnd"/>
      <w:r w:rsidRPr="00C7785D">
        <w:rPr>
          <w:bCs/>
          <w:lang w:val="en-US"/>
        </w:rPr>
        <w:t xml:space="preserve">, N., </w:t>
      </w:r>
      <w:proofErr w:type="spellStart"/>
      <w:r w:rsidRPr="00C7785D">
        <w:rPr>
          <w:bCs/>
          <w:lang w:val="en-US"/>
        </w:rPr>
        <w:t>O'Regan</w:t>
      </w:r>
      <w:proofErr w:type="spellEnd"/>
      <w:r w:rsidRPr="00C7785D">
        <w:rPr>
          <w:bCs/>
          <w:lang w:val="en-US"/>
        </w:rPr>
        <w:t xml:space="preserve">, S., </w:t>
      </w:r>
      <w:proofErr w:type="spellStart"/>
      <w:r w:rsidRPr="007950D0">
        <w:rPr>
          <w:bCs/>
          <w:i/>
          <w:iCs/>
          <w:lang w:val="en-US"/>
        </w:rPr>
        <w:t>Teleworking</w:t>
      </w:r>
      <w:proofErr w:type="spellEnd"/>
      <w:r w:rsidRPr="007950D0">
        <w:rPr>
          <w:bCs/>
          <w:i/>
          <w:iCs/>
          <w:lang w:val="en-US"/>
        </w:rPr>
        <w:t xml:space="preserve"> and </w:t>
      </w:r>
      <w:proofErr w:type="spellStart"/>
      <w:r w:rsidRPr="007950D0">
        <w:rPr>
          <w:bCs/>
          <w:i/>
          <w:iCs/>
          <w:lang w:val="en-US"/>
        </w:rPr>
        <w:t>globalisation</w:t>
      </w:r>
      <w:proofErr w:type="spellEnd"/>
      <w:r w:rsidRPr="00C7785D">
        <w:rPr>
          <w:bCs/>
          <w:lang w:val="en-US"/>
        </w:rPr>
        <w:t xml:space="preserve">, 358, Institute for Employment Studies, </w:t>
      </w:r>
      <w:proofErr w:type="spellStart"/>
      <w:r w:rsidRPr="00C7785D">
        <w:rPr>
          <w:bCs/>
          <w:lang w:val="en-US"/>
        </w:rPr>
        <w:t>juillet</w:t>
      </w:r>
      <w:proofErr w:type="spellEnd"/>
      <w:r w:rsidRPr="00C7785D">
        <w:rPr>
          <w:bCs/>
          <w:lang w:val="en-US"/>
        </w:rPr>
        <w:t xml:space="preserve"> 1999.</w:t>
      </w:r>
    </w:p>
    <w:p w:rsidR="00297D79" w:rsidRPr="00C7785D" w:rsidRDefault="00297D79" w:rsidP="00297D79">
      <w:pPr>
        <w:rPr>
          <w:lang w:val="fr-CH"/>
        </w:rPr>
      </w:pPr>
      <w:r w:rsidRPr="00C7785D">
        <w:rPr>
          <w:lang w:val="fr-CH"/>
        </w:rPr>
        <w:t>Bureau international du travail, Rapport soumis à la réunion tripartite sur l'emploi, l'employabilité et l'égalité des chances dans les services des postes et télécommunications, Genève, 13</w:t>
      </w:r>
      <w:r w:rsidRPr="00C7785D">
        <w:rPr>
          <w:lang w:val="fr-CH"/>
        </w:rPr>
        <w:noBreakHyphen/>
        <w:t>17 mai 2002.</w:t>
      </w:r>
    </w:p>
    <w:p w:rsidR="00297D79" w:rsidRPr="00C7785D" w:rsidRDefault="00297D79" w:rsidP="00297D79">
      <w:pPr>
        <w:rPr>
          <w:lang w:val="fr-FR"/>
        </w:rPr>
      </w:pPr>
      <w:r w:rsidRPr="00C7785D">
        <w:rPr>
          <w:lang w:val="fr-FR"/>
        </w:rPr>
        <w:t xml:space="preserve">Bureau international du travail, </w:t>
      </w:r>
      <w:proofErr w:type="spellStart"/>
      <w:r w:rsidRPr="00FC2F6F">
        <w:rPr>
          <w:i/>
          <w:iCs/>
          <w:lang w:val="fr-FR"/>
        </w:rPr>
        <w:t>Confronting</w:t>
      </w:r>
      <w:proofErr w:type="spellEnd"/>
      <w:r w:rsidRPr="00FC2F6F">
        <w:rPr>
          <w:i/>
          <w:iCs/>
          <w:lang w:val="fr-FR"/>
        </w:rPr>
        <w:t xml:space="preserve"> the Social and Labour Challenges of Privatisation in Argentina: Multinational </w:t>
      </w:r>
      <w:proofErr w:type="spellStart"/>
      <w:r w:rsidRPr="00FC2F6F">
        <w:rPr>
          <w:i/>
          <w:iCs/>
          <w:lang w:val="fr-FR"/>
        </w:rPr>
        <w:t>Enterprises</w:t>
      </w:r>
      <w:proofErr w:type="spellEnd"/>
      <w:r w:rsidRPr="00FC2F6F">
        <w:rPr>
          <w:i/>
          <w:iCs/>
          <w:lang w:val="fr-FR"/>
        </w:rPr>
        <w:t xml:space="preserve"> in </w:t>
      </w:r>
      <w:proofErr w:type="spellStart"/>
      <w:r w:rsidRPr="00FC2F6F">
        <w:rPr>
          <w:i/>
          <w:iCs/>
          <w:lang w:val="fr-FR"/>
        </w:rPr>
        <w:t>Telecommunications</w:t>
      </w:r>
      <w:proofErr w:type="spellEnd"/>
      <w:r w:rsidRPr="00FC2F6F">
        <w:rPr>
          <w:i/>
          <w:iCs/>
          <w:lang w:val="fr-FR"/>
        </w:rPr>
        <w:t xml:space="preserve"> in the 1990s</w:t>
      </w:r>
      <w:r w:rsidRPr="00C7785D">
        <w:rPr>
          <w:lang w:val="fr-FR"/>
        </w:rPr>
        <w:t>, Document de travail N° 90, Genève.</w:t>
      </w:r>
    </w:p>
    <w:p w:rsidR="00297D79" w:rsidRPr="00C7785D" w:rsidRDefault="00297D79" w:rsidP="007950D0">
      <w:pPr>
        <w:rPr>
          <w:lang w:val="fr-CH"/>
        </w:rPr>
      </w:pPr>
      <w:r w:rsidRPr="00C7785D">
        <w:rPr>
          <w:lang w:val="fr-CH"/>
        </w:rPr>
        <w:t xml:space="preserve">Publications de l'UIT, </w:t>
      </w:r>
      <w:r w:rsidR="007950D0" w:rsidRPr="00FC2F6F">
        <w:rPr>
          <w:i/>
          <w:iCs/>
          <w:lang w:val="fr-CH"/>
        </w:rPr>
        <w:t xml:space="preserve">World </w:t>
      </w:r>
      <w:proofErr w:type="spellStart"/>
      <w:r w:rsidR="007950D0" w:rsidRPr="00FC2F6F">
        <w:rPr>
          <w:i/>
          <w:iCs/>
          <w:lang w:val="fr-CH"/>
        </w:rPr>
        <w:t>Telecommunication</w:t>
      </w:r>
      <w:proofErr w:type="spellEnd"/>
      <w:r w:rsidR="007950D0" w:rsidRPr="00FC2F6F">
        <w:rPr>
          <w:i/>
          <w:iCs/>
          <w:lang w:val="fr-CH"/>
        </w:rPr>
        <w:t xml:space="preserve">/ICT </w:t>
      </w:r>
      <w:proofErr w:type="spellStart"/>
      <w:r w:rsidR="007950D0" w:rsidRPr="00FC2F6F">
        <w:rPr>
          <w:i/>
          <w:iCs/>
          <w:lang w:val="fr-CH"/>
        </w:rPr>
        <w:t>Indicators</w:t>
      </w:r>
      <w:proofErr w:type="spellEnd"/>
      <w:r w:rsidR="007950D0" w:rsidRPr="00FC2F6F">
        <w:rPr>
          <w:i/>
          <w:iCs/>
          <w:lang w:val="fr-CH"/>
        </w:rPr>
        <w:t xml:space="preserve"> </w:t>
      </w:r>
      <w:proofErr w:type="spellStart"/>
      <w:r w:rsidR="007950D0" w:rsidRPr="00FC2F6F">
        <w:rPr>
          <w:i/>
          <w:iCs/>
          <w:lang w:val="fr-CH"/>
        </w:rPr>
        <w:t>Database</w:t>
      </w:r>
      <w:proofErr w:type="spellEnd"/>
      <w:r w:rsidR="007950D0" w:rsidRPr="00FC2F6F">
        <w:rPr>
          <w:i/>
          <w:iCs/>
          <w:lang w:val="fr-CH"/>
        </w:rPr>
        <w:t xml:space="preserve"> </w:t>
      </w:r>
      <w:r w:rsidRPr="00FC2F6F">
        <w:rPr>
          <w:i/>
          <w:iCs/>
          <w:lang w:val="fr-CH"/>
        </w:rPr>
        <w:t>(2009)</w:t>
      </w:r>
      <w:r w:rsidR="007950D0">
        <w:rPr>
          <w:lang w:val="fr-CH"/>
        </w:rPr>
        <w:t>,</w:t>
      </w:r>
      <w:r w:rsidRPr="00C7785D">
        <w:rPr>
          <w:lang w:val="fr-CH"/>
        </w:rPr>
        <w:t xml:space="preserve"> (13</w:t>
      </w:r>
      <w:r w:rsidRPr="007950D0">
        <w:rPr>
          <w:position w:val="6"/>
          <w:lang w:val="fr-CH"/>
        </w:rPr>
        <w:t>e</w:t>
      </w:r>
      <w:r w:rsidRPr="00C7785D">
        <w:rPr>
          <w:lang w:val="fr-CH"/>
        </w:rPr>
        <w:t xml:space="preserve"> édition) </w:t>
      </w:r>
      <w:r w:rsidRPr="00C7785D">
        <w:rPr>
          <w:lang w:val="fr-FR"/>
        </w:rPr>
        <w:t>www.itu.int/ITU-D/ict/publications/world/world.html</w:t>
      </w:r>
    </w:p>
    <w:p w:rsidR="00297D79" w:rsidRPr="00C7785D" w:rsidRDefault="00297D79" w:rsidP="00297D79">
      <w:pPr>
        <w:rPr>
          <w:lang w:val="fr-CH"/>
        </w:rPr>
      </w:pPr>
      <w:r w:rsidRPr="00C7785D">
        <w:rPr>
          <w:lang w:val="fr-CH"/>
        </w:rPr>
        <w:t>Publications de l'UIT</w:t>
      </w:r>
      <w:r w:rsidRPr="007950D0">
        <w:rPr>
          <w:lang w:val="fr-CH"/>
        </w:rPr>
        <w:t>, Tendances des réformes dans les télécommunications 2003: promouvoir l'accès universel aux TIC</w:t>
      </w:r>
      <w:r w:rsidR="00E63ADD" w:rsidRPr="007950D0">
        <w:rPr>
          <w:lang w:val="fr-CH"/>
        </w:rPr>
        <w:t xml:space="preserve"> – </w:t>
      </w:r>
      <w:r w:rsidRPr="007950D0">
        <w:rPr>
          <w:lang w:val="fr-CH"/>
        </w:rPr>
        <w:t>Outils pratiques pour les régulateurs, chapitre</w:t>
      </w:r>
      <w:r w:rsidRPr="00C7785D">
        <w:rPr>
          <w:lang w:val="fr-CH"/>
        </w:rPr>
        <w:t xml:space="preserve"> 3, p. 60, 2003.</w:t>
      </w:r>
    </w:p>
    <w:p w:rsidR="00297D79" w:rsidRPr="00C7785D" w:rsidRDefault="00297D79" w:rsidP="00297D79">
      <w:pPr>
        <w:rPr>
          <w:bCs/>
          <w:lang w:val="fr-FR"/>
        </w:rPr>
      </w:pPr>
      <w:r w:rsidRPr="00C7785D">
        <w:rPr>
          <w:bCs/>
          <w:lang w:val="fr-FR"/>
        </w:rPr>
        <w:t xml:space="preserve">UIT, présentation du Bureau régional pour l'Afrique à la réunion de la Commission d'études 1, Genève, 7-11 </w:t>
      </w:r>
      <w:r w:rsidRPr="007950D0">
        <w:rPr>
          <w:bCs/>
          <w:lang w:val="fr-FR"/>
        </w:rPr>
        <w:t>septembre 2009, Document 1/290, Aperçu sur le projet pilote e-emploi au Congo Brazzaville,</w:t>
      </w:r>
      <w:r w:rsidRPr="00C7785D">
        <w:rPr>
          <w:bCs/>
          <w:lang w:val="fr-FR"/>
        </w:rPr>
        <w:t xml:space="preserve"> </w:t>
      </w:r>
      <w:r w:rsidRPr="00C7785D">
        <w:rPr>
          <w:lang w:val="fr-FR"/>
        </w:rPr>
        <w:t>www.itu.int/md/D06-SG01-C-0290/fr</w:t>
      </w:r>
    </w:p>
    <w:p w:rsidR="00297D79" w:rsidRPr="00C7785D" w:rsidRDefault="00297D79" w:rsidP="00297D79">
      <w:pPr>
        <w:rPr>
          <w:lang w:val="en-US"/>
        </w:rPr>
      </w:pPr>
      <w:proofErr w:type="spellStart"/>
      <w:r w:rsidRPr="00C7785D">
        <w:rPr>
          <w:bCs/>
          <w:lang w:val="en-US"/>
        </w:rPr>
        <w:t>Latniak</w:t>
      </w:r>
      <w:proofErr w:type="spellEnd"/>
      <w:r w:rsidRPr="00C7785D">
        <w:rPr>
          <w:bCs/>
          <w:lang w:val="en-US"/>
        </w:rPr>
        <w:t xml:space="preserve">, Erich, et Schmidt </w:t>
      </w:r>
      <w:proofErr w:type="spellStart"/>
      <w:r w:rsidRPr="00C7785D">
        <w:rPr>
          <w:bCs/>
          <w:lang w:val="en-US"/>
        </w:rPr>
        <w:t>Dilcher</w:t>
      </w:r>
      <w:proofErr w:type="spellEnd"/>
      <w:r w:rsidRPr="00C7785D">
        <w:rPr>
          <w:bCs/>
          <w:lang w:val="en-US"/>
        </w:rPr>
        <w:t xml:space="preserve">, </w:t>
      </w:r>
      <w:proofErr w:type="spellStart"/>
      <w:r w:rsidRPr="00C7785D">
        <w:rPr>
          <w:bCs/>
          <w:lang w:val="en-US"/>
        </w:rPr>
        <w:t>Jürgen</w:t>
      </w:r>
      <w:proofErr w:type="spellEnd"/>
      <w:r w:rsidRPr="00C7785D">
        <w:rPr>
          <w:bCs/>
          <w:lang w:val="en-US"/>
        </w:rPr>
        <w:t xml:space="preserve">, </w:t>
      </w:r>
      <w:r w:rsidRPr="007950D0">
        <w:rPr>
          <w:bCs/>
          <w:i/>
          <w:iCs/>
          <w:lang w:val="en-US"/>
        </w:rPr>
        <w:t>Employment and skills in growing business areas of the telecommunication service sector</w:t>
      </w:r>
      <w:r w:rsidRPr="00C7785D">
        <w:rPr>
          <w:bCs/>
          <w:lang w:val="en-US"/>
        </w:rPr>
        <w:t xml:space="preserve">, 2000, </w:t>
      </w:r>
      <w:proofErr w:type="spellStart"/>
      <w:r w:rsidR="007950D0">
        <w:rPr>
          <w:bCs/>
          <w:lang w:val="en-US"/>
        </w:rPr>
        <w:t>disponible</w:t>
      </w:r>
      <w:proofErr w:type="spellEnd"/>
      <w:r w:rsidR="007950D0">
        <w:rPr>
          <w:bCs/>
          <w:lang w:val="en-US"/>
        </w:rPr>
        <w:t xml:space="preserve"> </w:t>
      </w:r>
      <w:proofErr w:type="spellStart"/>
      <w:r w:rsidR="007950D0">
        <w:rPr>
          <w:bCs/>
          <w:lang w:val="en-US"/>
        </w:rPr>
        <w:t>sur</w:t>
      </w:r>
      <w:proofErr w:type="spellEnd"/>
      <w:r w:rsidR="007950D0">
        <w:rPr>
          <w:bCs/>
          <w:lang w:val="en-US"/>
        </w:rPr>
        <w:t xml:space="preserve"> </w:t>
      </w:r>
      <w:hyperlink r:id="rId27" w:history="1">
        <w:r w:rsidRPr="00C7785D">
          <w:rPr>
            <w:rStyle w:val="Hyperlink"/>
            <w:u w:val="none"/>
            <w:lang w:val="en-US"/>
          </w:rPr>
          <w:t>www.unionnetwork.org/unitelecom.nsf/</w:t>
        </w:r>
        <w:r w:rsidRPr="00C7785D">
          <w:rPr>
            <w:rStyle w:val="Hyperlink"/>
            <w:u w:val="none"/>
            <w:lang w:val="en-US"/>
          </w:rPr>
          <w:br/>
          <w:t>7bc3a7f8037b9be5c12568f90032d10f/a7bcfdb71bf0bc29c125692100536529?OpenDocument</w:t>
        </w:r>
      </w:hyperlink>
    </w:p>
    <w:p w:rsidR="00297D79" w:rsidRPr="0082335F" w:rsidRDefault="00297D79" w:rsidP="007950D0">
      <w:pPr>
        <w:rPr>
          <w:lang w:val="fr-CH"/>
        </w:rPr>
      </w:pPr>
      <w:r w:rsidRPr="00C7785D">
        <w:rPr>
          <w:lang w:val="fr-CH"/>
        </w:rPr>
        <w:t xml:space="preserve">Lewin David et </w:t>
      </w:r>
      <w:proofErr w:type="spellStart"/>
      <w:r w:rsidRPr="00C7785D">
        <w:rPr>
          <w:lang w:val="fr-CH"/>
        </w:rPr>
        <w:t>Sweet</w:t>
      </w:r>
      <w:proofErr w:type="spellEnd"/>
      <w:r w:rsidRPr="00C7785D">
        <w:rPr>
          <w:lang w:val="fr-CH"/>
        </w:rPr>
        <w:t xml:space="preserve"> Susan, </w:t>
      </w:r>
      <w:r w:rsidRPr="007950D0">
        <w:rPr>
          <w:i/>
          <w:iCs/>
          <w:lang w:val="fr-CH"/>
        </w:rPr>
        <w:t xml:space="preserve">The </w:t>
      </w:r>
      <w:proofErr w:type="spellStart"/>
      <w:r w:rsidRPr="007950D0">
        <w:rPr>
          <w:i/>
          <w:iCs/>
          <w:lang w:val="fr-CH"/>
        </w:rPr>
        <w:t>economic</w:t>
      </w:r>
      <w:proofErr w:type="spellEnd"/>
      <w:r w:rsidRPr="007950D0">
        <w:rPr>
          <w:i/>
          <w:iCs/>
          <w:lang w:val="fr-CH"/>
        </w:rPr>
        <w:t xml:space="preserve"> impact of mobile services in Latin </w:t>
      </w:r>
      <w:proofErr w:type="spellStart"/>
      <w:r w:rsidRPr="007950D0">
        <w:rPr>
          <w:i/>
          <w:iCs/>
          <w:lang w:val="fr-CH"/>
        </w:rPr>
        <w:t>America</w:t>
      </w:r>
      <w:proofErr w:type="spellEnd"/>
      <w:r w:rsidRPr="00C7785D">
        <w:rPr>
          <w:lang w:val="fr-CH"/>
        </w:rPr>
        <w:t xml:space="preserve">, </w:t>
      </w:r>
      <w:r w:rsidRPr="00C7785D">
        <w:rPr>
          <w:bCs/>
          <w:lang w:val="fr-FR"/>
        </w:rPr>
        <w:t xml:space="preserve">Rapport à l'intention de la GSMA, de GSM Latin </w:t>
      </w:r>
      <w:proofErr w:type="spellStart"/>
      <w:r w:rsidRPr="00C7785D">
        <w:rPr>
          <w:bCs/>
          <w:lang w:val="fr-FR"/>
        </w:rPr>
        <w:t>America</w:t>
      </w:r>
      <w:proofErr w:type="spellEnd"/>
      <w:r w:rsidRPr="00C7785D">
        <w:rPr>
          <w:bCs/>
          <w:lang w:val="fr-FR"/>
        </w:rPr>
        <w:t xml:space="preserve"> et de l'AHCIET</w:t>
      </w:r>
      <w:r w:rsidRPr="00C7785D">
        <w:rPr>
          <w:lang w:val="fr-CH"/>
        </w:rPr>
        <w:t xml:space="preserve">, décembre 2005, </w:t>
      </w:r>
      <w:hyperlink r:id="rId28" w:history="1">
        <w:r w:rsidR="007950D0" w:rsidRPr="0082335F">
          <w:rPr>
            <w:rStyle w:val="Hyperlink"/>
            <w:u w:val="none"/>
            <w:lang w:val="fr-CH"/>
          </w:rPr>
          <w:t>www.gsmlaa.org/files/content/0/93/GSM%20LA%20Study_The%20Economic%20Impact_English.pdf</w:t>
        </w:r>
      </w:hyperlink>
    </w:p>
    <w:p w:rsidR="00297D79" w:rsidRPr="00C7785D" w:rsidRDefault="00297D79" w:rsidP="00297D79">
      <w:pPr>
        <w:rPr>
          <w:bCs/>
          <w:lang w:val="en-US"/>
        </w:rPr>
      </w:pPr>
      <w:proofErr w:type="spellStart"/>
      <w:r w:rsidRPr="00C7785D">
        <w:rPr>
          <w:bCs/>
          <w:lang w:val="en-US"/>
        </w:rPr>
        <w:t>Lightreading</w:t>
      </w:r>
      <w:proofErr w:type="spellEnd"/>
      <w:r w:rsidRPr="00C7785D">
        <w:rPr>
          <w:bCs/>
          <w:lang w:val="en-US"/>
        </w:rPr>
        <w:t xml:space="preserve">, </w:t>
      </w:r>
      <w:r w:rsidRPr="002148A9">
        <w:rPr>
          <w:bCs/>
          <w:i/>
          <w:iCs/>
          <w:lang w:val="en-US"/>
        </w:rPr>
        <w:t>Outsourcing to India</w:t>
      </w:r>
      <w:r w:rsidRPr="00C7785D">
        <w:rPr>
          <w:bCs/>
          <w:lang w:val="en-US"/>
        </w:rPr>
        <w:t xml:space="preserve">, rapport, 2006, </w:t>
      </w:r>
      <w:r w:rsidRPr="00C7785D">
        <w:rPr>
          <w:lang w:val="en-US"/>
        </w:rPr>
        <w:t>www.lightreading.com/document.asp?doc_id=99502</w:t>
      </w:r>
    </w:p>
    <w:p w:rsidR="00297D79" w:rsidRPr="00C7785D" w:rsidRDefault="00297D79" w:rsidP="00297D79">
      <w:pPr>
        <w:rPr>
          <w:lang w:val="fr-FR"/>
        </w:rPr>
      </w:pPr>
      <w:r w:rsidRPr="00C7785D">
        <w:rPr>
          <w:bCs/>
          <w:lang w:val="fr-FR"/>
        </w:rPr>
        <w:t xml:space="preserve">OCDE, </w:t>
      </w:r>
      <w:r w:rsidRPr="002148A9">
        <w:rPr>
          <w:bCs/>
          <w:lang w:val="fr-FR"/>
        </w:rPr>
        <w:t>Perspectives des communications</w:t>
      </w:r>
      <w:r w:rsidRPr="00C7785D">
        <w:rPr>
          <w:bCs/>
          <w:lang w:val="fr-FR"/>
        </w:rPr>
        <w:t>, édition 2001, Paris, p. 238.</w:t>
      </w:r>
    </w:p>
    <w:p w:rsidR="00297D79" w:rsidRPr="00C7785D" w:rsidRDefault="00297D79" w:rsidP="002148A9">
      <w:pPr>
        <w:rPr>
          <w:lang w:val="fr-CH"/>
        </w:rPr>
      </w:pPr>
      <w:r w:rsidRPr="00C7785D">
        <w:rPr>
          <w:lang w:val="fr-CH"/>
        </w:rPr>
        <w:lastRenderedPageBreak/>
        <w:t xml:space="preserve">Pakistan Mobile </w:t>
      </w:r>
      <w:proofErr w:type="spellStart"/>
      <w:r w:rsidRPr="00C7785D">
        <w:rPr>
          <w:lang w:val="fr-CH"/>
        </w:rPr>
        <w:t>Company</w:t>
      </w:r>
      <w:proofErr w:type="spellEnd"/>
      <w:r w:rsidRPr="00C7785D">
        <w:rPr>
          <w:lang w:val="fr-CH"/>
        </w:rPr>
        <w:t>, contribution présentée à la Réunion d</w:t>
      </w:r>
      <w:r w:rsidR="002148A9">
        <w:rPr>
          <w:lang w:val="fr-CH"/>
        </w:rPr>
        <w:t xml:space="preserve">u Groupe du Rapporteur pour la </w:t>
      </w:r>
      <w:r w:rsidRPr="00C7785D">
        <w:rPr>
          <w:lang w:val="fr-CH"/>
        </w:rPr>
        <w:t>Question</w:t>
      </w:r>
      <w:r w:rsidR="002148A9">
        <w:rPr>
          <w:lang w:val="fr-CH"/>
        </w:rPr>
        <w:t> </w:t>
      </w:r>
      <w:r w:rsidRPr="00C7785D">
        <w:rPr>
          <w:lang w:val="fr-CH"/>
        </w:rPr>
        <w:t xml:space="preserve">21, Le Caire, mars 2009, Documents RGO 21/1/016, </w:t>
      </w:r>
      <w:r w:rsidRPr="00C7785D">
        <w:rPr>
          <w:lang w:val="fr-FR"/>
        </w:rPr>
        <w:t>www.itu.int/md/D06-RGQ21.1-C-0016/en</w:t>
      </w:r>
    </w:p>
    <w:p w:rsidR="00297D79" w:rsidRPr="00B90670" w:rsidRDefault="00330ED2" w:rsidP="00297D79">
      <w:hyperlink r:id="rId29" w:history="1">
        <w:r w:rsidR="00297D79" w:rsidRPr="00C7785D">
          <w:rPr>
            <w:rStyle w:val="Hyperlink"/>
            <w:u w:val="none"/>
            <w:lang w:val="en-US"/>
          </w:rPr>
          <w:t>Rosenberg</w:t>
        </w:r>
      </w:hyperlink>
      <w:r w:rsidR="00297D79" w:rsidRPr="00C7785D">
        <w:rPr>
          <w:lang w:val="en-US"/>
        </w:rPr>
        <w:t xml:space="preserve">, Matt, </w:t>
      </w:r>
      <w:r w:rsidR="00297D79" w:rsidRPr="002148A9">
        <w:rPr>
          <w:i/>
          <w:iCs/>
          <w:lang w:val="en-US"/>
        </w:rPr>
        <w:t>Slow but steady “</w:t>
      </w:r>
      <w:proofErr w:type="spellStart"/>
      <w:r w:rsidR="00297D79" w:rsidRPr="002148A9">
        <w:rPr>
          <w:i/>
          <w:iCs/>
          <w:lang w:val="en-US"/>
        </w:rPr>
        <w:t>telework</w:t>
      </w:r>
      <w:proofErr w:type="spellEnd"/>
      <w:r w:rsidR="00297D79" w:rsidRPr="002148A9">
        <w:rPr>
          <w:i/>
          <w:iCs/>
          <w:lang w:val="en-US"/>
        </w:rPr>
        <w:t xml:space="preserve"> revolution” eyed</w:t>
      </w:r>
      <w:r w:rsidR="00297D79" w:rsidRPr="00C7785D">
        <w:rPr>
          <w:lang w:val="en-US"/>
        </w:rPr>
        <w:t xml:space="preserve">, </w:t>
      </w:r>
      <w:proofErr w:type="spellStart"/>
      <w:r w:rsidR="00297D79" w:rsidRPr="00C7785D">
        <w:rPr>
          <w:lang w:val="en-US"/>
        </w:rPr>
        <w:t>Cascadi</w:t>
      </w:r>
      <w:r w:rsidR="00FC2F6F">
        <w:rPr>
          <w:lang w:val="en-US"/>
        </w:rPr>
        <w:t>a</w:t>
      </w:r>
      <w:proofErr w:type="spellEnd"/>
      <w:r w:rsidR="00FC2F6F">
        <w:rPr>
          <w:lang w:val="en-US"/>
        </w:rPr>
        <w:t xml:space="preserve"> Prospectus, 26 </w:t>
      </w:r>
      <w:proofErr w:type="spellStart"/>
      <w:r w:rsidR="00FC2F6F">
        <w:rPr>
          <w:lang w:val="en-US"/>
        </w:rPr>
        <w:t>septembre</w:t>
      </w:r>
      <w:proofErr w:type="spellEnd"/>
      <w:r w:rsidR="00FC2F6F">
        <w:rPr>
          <w:lang w:val="en-US"/>
        </w:rPr>
        <w:t> 2007,</w:t>
      </w:r>
      <w:r w:rsidR="00297D79" w:rsidRPr="00C7785D">
        <w:rPr>
          <w:lang w:val="en-US"/>
        </w:rPr>
        <w:t xml:space="preserve"> </w:t>
      </w:r>
      <w:hyperlink r:id="rId30" w:history="1">
        <w:r w:rsidR="00297D79" w:rsidRPr="00B90670">
          <w:rPr>
            <w:rStyle w:val="Hyperlink"/>
            <w:u w:val="none"/>
          </w:rPr>
          <w:t>www.discovery.org/scripts/viewDB/index.php?command=view&amp;program=DI%20Main%20Page%20-%20News&amp;id=4235</w:t>
        </w:r>
      </w:hyperlink>
    </w:p>
    <w:p w:rsidR="00297D79" w:rsidRPr="002148A9" w:rsidRDefault="00297D79" w:rsidP="00297D79">
      <w:pPr>
        <w:rPr>
          <w:bCs/>
          <w:lang w:val="fr-FR"/>
        </w:rPr>
      </w:pPr>
      <w:r w:rsidRPr="00C7785D">
        <w:rPr>
          <w:bCs/>
          <w:lang w:val="fr-CH"/>
        </w:rPr>
        <w:t xml:space="preserve">Sénégal, contribution présentée à la réunion du Groupe du Rapporteur pour la Question 21, Le Caire, mars 2009, Document RGQ21/1/023-F, </w:t>
      </w:r>
      <w:r w:rsidRPr="00C7785D">
        <w:rPr>
          <w:lang w:val="fr-FR"/>
        </w:rPr>
        <w:t>www.itu.int/md/D06-RGQ21.1-C-0023/fr</w:t>
      </w:r>
    </w:p>
    <w:p w:rsidR="00297D79" w:rsidRPr="00C30982" w:rsidRDefault="00297D79" w:rsidP="002148A9">
      <w:pPr>
        <w:rPr>
          <w:lang w:val="fr-FR"/>
        </w:rPr>
      </w:pPr>
      <w:r w:rsidRPr="00C7785D">
        <w:rPr>
          <w:lang w:val="fr-CH"/>
        </w:rPr>
        <w:t>Tanzanie, contribution présentée à la réunion de la Commission d'études 1, Genève, 7</w:t>
      </w:r>
      <w:r w:rsidRPr="00C7785D">
        <w:rPr>
          <w:lang w:val="fr-CH"/>
        </w:rPr>
        <w:noBreakHyphen/>
        <w:t xml:space="preserve">11 septembre 2009, Document 1/284-E, </w:t>
      </w:r>
      <w:r w:rsidRPr="00C7785D">
        <w:rPr>
          <w:i/>
          <w:iCs/>
          <w:lang w:val="fr-CH"/>
        </w:rPr>
        <w:t xml:space="preserve">The impact of </w:t>
      </w:r>
      <w:r w:rsidR="002148A9">
        <w:rPr>
          <w:i/>
          <w:iCs/>
          <w:lang w:val="fr-CH"/>
        </w:rPr>
        <w:t>m</w:t>
      </w:r>
      <w:r w:rsidRPr="00C7785D">
        <w:rPr>
          <w:i/>
          <w:iCs/>
          <w:lang w:val="fr-CH"/>
        </w:rPr>
        <w:t xml:space="preserve">obile communications </w:t>
      </w:r>
      <w:r w:rsidR="00FC2F6F" w:rsidRPr="00C7785D">
        <w:rPr>
          <w:i/>
          <w:iCs/>
          <w:lang w:val="fr-CH"/>
        </w:rPr>
        <w:t xml:space="preserve">on </w:t>
      </w:r>
      <w:proofErr w:type="spellStart"/>
      <w:r w:rsidR="00FC2F6F" w:rsidRPr="00C7785D">
        <w:rPr>
          <w:i/>
          <w:iCs/>
          <w:lang w:val="fr-CH"/>
        </w:rPr>
        <w:t>economic</w:t>
      </w:r>
      <w:proofErr w:type="spellEnd"/>
      <w:r w:rsidR="00FC2F6F" w:rsidRPr="00C7785D">
        <w:rPr>
          <w:i/>
          <w:iCs/>
          <w:lang w:val="fr-CH"/>
        </w:rPr>
        <w:t xml:space="preserve"> </w:t>
      </w:r>
      <w:proofErr w:type="spellStart"/>
      <w:r w:rsidR="00FC2F6F" w:rsidRPr="00C7785D">
        <w:rPr>
          <w:i/>
          <w:iCs/>
          <w:lang w:val="fr-CH"/>
        </w:rPr>
        <w:t>development</w:t>
      </w:r>
      <w:proofErr w:type="spellEnd"/>
      <w:r w:rsidR="00FC2F6F">
        <w:rPr>
          <w:i/>
          <w:iCs/>
          <w:lang w:val="fr-CH"/>
        </w:rPr>
        <w:t>: The c</w:t>
      </w:r>
      <w:r w:rsidRPr="00C7785D">
        <w:rPr>
          <w:i/>
          <w:iCs/>
          <w:lang w:val="fr-CH"/>
        </w:rPr>
        <w:t xml:space="preserve">ase of </w:t>
      </w:r>
      <w:proofErr w:type="spellStart"/>
      <w:r w:rsidRPr="00C7785D">
        <w:rPr>
          <w:i/>
          <w:iCs/>
          <w:lang w:val="fr-CH"/>
        </w:rPr>
        <w:t>Tanzania</w:t>
      </w:r>
      <w:proofErr w:type="spellEnd"/>
      <w:r w:rsidRPr="00C7785D">
        <w:rPr>
          <w:lang w:val="fr-CH"/>
        </w:rPr>
        <w:t xml:space="preserve">, </w:t>
      </w:r>
      <w:hyperlink r:id="rId31" w:history="1">
        <w:r w:rsidRPr="00C7785D">
          <w:rPr>
            <w:rStyle w:val="Hyperlink"/>
            <w:u w:val="none"/>
            <w:lang w:val="fr-FR"/>
          </w:rPr>
          <w:t>www.itu.int/md/D06-SG01-C-0284/en</w:t>
        </w:r>
      </w:hyperlink>
    </w:p>
    <w:p w:rsidR="00297D79" w:rsidRPr="00C7785D" w:rsidRDefault="00297D79" w:rsidP="002148A9">
      <w:pPr>
        <w:rPr>
          <w:lang w:val="en-US"/>
        </w:rPr>
      </w:pPr>
      <w:proofErr w:type="spellStart"/>
      <w:r w:rsidRPr="00C7785D">
        <w:rPr>
          <w:lang w:val="en-US"/>
        </w:rPr>
        <w:t>Ubaru</w:t>
      </w:r>
      <w:proofErr w:type="spellEnd"/>
      <w:r w:rsidRPr="00C7785D">
        <w:rPr>
          <w:lang w:val="en-US"/>
        </w:rPr>
        <w:t xml:space="preserve"> Moses, </w:t>
      </w:r>
      <w:r w:rsidR="002148A9">
        <w:rPr>
          <w:i/>
          <w:iCs/>
          <w:lang w:val="en-US"/>
        </w:rPr>
        <w:t>Draft report of the Joint ECA</w:t>
      </w:r>
      <w:r w:rsidRPr="002148A9">
        <w:rPr>
          <w:i/>
          <w:iCs/>
          <w:lang w:val="en-US"/>
        </w:rPr>
        <w:t>-ITU</w:t>
      </w:r>
      <w:r w:rsidR="002148A9">
        <w:rPr>
          <w:i/>
          <w:iCs/>
          <w:lang w:val="en-US"/>
        </w:rPr>
        <w:t xml:space="preserve"> </w:t>
      </w:r>
      <w:r w:rsidRPr="002148A9">
        <w:rPr>
          <w:i/>
          <w:iCs/>
          <w:lang w:val="en-US"/>
        </w:rPr>
        <w:t xml:space="preserve">Issues Paper on the impact of ICTs on Employment and </w:t>
      </w:r>
      <w:r w:rsidRPr="0082335F">
        <w:rPr>
          <w:i/>
          <w:iCs/>
          <w:lang w:val="en-US"/>
        </w:rPr>
        <w:t>Poverty Alleviation in Africa (Opportunities and challenges)</w:t>
      </w:r>
      <w:r w:rsidRPr="0082335F">
        <w:rPr>
          <w:lang w:val="en-US"/>
        </w:rPr>
        <w:t xml:space="preserve">, </w:t>
      </w:r>
      <w:hyperlink r:id="rId32" w:history="1">
        <w:r w:rsidR="002148A9" w:rsidRPr="0082335F">
          <w:rPr>
            <w:rStyle w:val="Hyperlink"/>
            <w:u w:val="none"/>
            <w:lang w:val="en-US"/>
          </w:rPr>
          <w:t>www.uneca.org/codist/codi5/content/Issues_Paper_Impact_ICTs_Employent_Poverty_Alleviation_Africa-Ubaru-EN.ppt</w:t>
        </w:r>
      </w:hyperlink>
    </w:p>
    <w:p w:rsidR="00297D79" w:rsidRPr="00C7785D" w:rsidRDefault="00297D79" w:rsidP="00297D79">
      <w:pPr>
        <w:rPr>
          <w:lang w:val="fr-CH"/>
        </w:rPr>
      </w:pPr>
      <w:r w:rsidRPr="00C7785D">
        <w:rPr>
          <w:lang w:val="fr-CH"/>
        </w:rPr>
        <w:t xml:space="preserve">Bureau des statistiques du travail des Etats Unis, site internet: </w:t>
      </w:r>
      <w:hyperlink r:id="rId33" w:history="1">
        <w:r w:rsidRPr="00C7785D">
          <w:rPr>
            <w:rStyle w:val="Hyperlink"/>
            <w:u w:val="none"/>
            <w:lang w:val="fr-FR"/>
          </w:rPr>
          <w:t>www.bls.gov</w:t>
        </w:r>
      </w:hyperlink>
    </w:p>
    <w:p w:rsidR="00297D79" w:rsidRPr="00C7785D" w:rsidRDefault="00297D79" w:rsidP="002148A9">
      <w:pPr>
        <w:rPr>
          <w:lang w:val="en-US"/>
        </w:rPr>
      </w:pPr>
      <w:r w:rsidRPr="00C7785D">
        <w:rPr>
          <w:bCs/>
          <w:lang w:val="en-US"/>
        </w:rPr>
        <w:t xml:space="preserve">Van </w:t>
      </w:r>
      <w:proofErr w:type="spellStart"/>
      <w:r w:rsidRPr="00C7785D">
        <w:rPr>
          <w:bCs/>
          <w:lang w:val="en-US"/>
        </w:rPr>
        <w:t>Gaasbeck</w:t>
      </w:r>
      <w:proofErr w:type="spellEnd"/>
      <w:r w:rsidRPr="00C7785D">
        <w:rPr>
          <w:bCs/>
          <w:lang w:val="en-US"/>
        </w:rPr>
        <w:t xml:space="preserve">, Kristin, Perez, Stephen, et Sharp, Ryan, </w:t>
      </w:r>
      <w:r w:rsidRPr="002148A9">
        <w:rPr>
          <w:bCs/>
          <w:i/>
          <w:iCs/>
          <w:lang w:val="en-US"/>
        </w:rPr>
        <w:t xml:space="preserve">Economic Effects of Increased Broadband Use in California </w:t>
      </w:r>
      <w:r w:rsidRPr="00C7785D">
        <w:rPr>
          <w:bCs/>
          <w:lang w:val="en-US"/>
        </w:rPr>
        <w:t>(Sacramento, California: Sacramento Regional Research Institute</w:t>
      </w:r>
      <w:r w:rsidR="002148A9">
        <w:rPr>
          <w:bCs/>
          <w:lang w:val="en-US"/>
        </w:rPr>
        <w:t xml:space="preserve">), </w:t>
      </w:r>
      <w:proofErr w:type="spellStart"/>
      <w:r w:rsidR="002148A9">
        <w:rPr>
          <w:bCs/>
          <w:lang w:val="en-US"/>
        </w:rPr>
        <w:t>novembre</w:t>
      </w:r>
      <w:proofErr w:type="spellEnd"/>
      <w:r w:rsidR="002148A9">
        <w:rPr>
          <w:bCs/>
          <w:lang w:val="en-US"/>
        </w:rPr>
        <w:t> 2007</w:t>
      </w:r>
      <w:r w:rsidRPr="00C7785D">
        <w:rPr>
          <w:bCs/>
          <w:lang w:val="en-US"/>
        </w:rPr>
        <w:t xml:space="preserve">, </w:t>
      </w:r>
      <w:hyperlink r:id="rId34" w:history="1">
        <w:r w:rsidRPr="00C7785D">
          <w:rPr>
            <w:rStyle w:val="Hyperlink"/>
            <w:u w:val="none"/>
            <w:lang w:val="en-US"/>
          </w:rPr>
          <w:t>www.srri.net/AboutUs/EconEffectsBB_Research.pdf</w:t>
        </w:r>
      </w:hyperlink>
      <w:r w:rsidRPr="00C7785D">
        <w:rPr>
          <w:bCs/>
          <w:lang w:val="en-US"/>
        </w:rPr>
        <w:t>.</w:t>
      </w:r>
    </w:p>
    <w:p w:rsidR="0080619A" w:rsidRPr="00C7785D" w:rsidRDefault="00297D79" w:rsidP="00297D79">
      <w:pPr>
        <w:rPr>
          <w:lang w:val="fr-FR"/>
        </w:rPr>
      </w:pPr>
      <w:r w:rsidRPr="00C7785D">
        <w:rPr>
          <w:bCs/>
          <w:lang w:val="fr-CH"/>
        </w:rPr>
        <w:t xml:space="preserve">Vivendi, site internet: </w:t>
      </w:r>
      <w:hyperlink r:id="rId35" w:history="1">
        <w:r w:rsidRPr="00C7785D">
          <w:rPr>
            <w:rStyle w:val="Hyperlink"/>
            <w:u w:val="none"/>
            <w:lang w:val="fr-FR"/>
          </w:rPr>
          <w:t>www.vivendi.com/vivendi/Contributions-of-Maroc-Telecom</w:t>
        </w:r>
      </w:hyperlink>
    </w:p>
    <w:p w:rsidR="00B40DE5" w:rsidRPr="00C7785D" w:rsidRDefault="00B40DE5" w:rsidP="00A67CC2">
      <w:pPr>
        <w:rPr>
          <w:lang w:val="fr-FR"/>
        </w:rPr>
      </w:pPr>
    </w:p>
    <w:sectPr w:rsidR="00B40DE5" w:rsidRPr="00C7785D" w:rsidSect="002455FC">
      <w:headerReference w:type="even" r:id="rId36"/>
      <w:headerReference w:type="default" r:id="rId37"/>
      <w:pgSz w:w="11907" w:h="16834" w:code="9"/>
      <w:pgMar w:top="1418" w:right="1134" w:bottom="1418" w:left="1134" w:header="720" w:footer="720" w:gutter="0"/>
      <w:paperSrc w:first="15" w:other="15"/>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36" w:rsidRDefault="00990A36">
      <w:r>
        <w:separator/>
      </w:r>
    </w:p>
  </w:endnote>
  <w:endnote w:type="continuationSeparator" w:id="0">
    <w:p w:rsidR="00990A36" w:rsidRDefault="0099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BoldExt">
    <w:altName w:val="Engravers M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1A2A5A"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1A2A5A">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1A2A5A"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36" w:rsidRDefault="00990A36">
      <w:r>
        <w:t>____________________</w:t>
      </w:r>
    </w:p>
  </w:footnote>
  <w:footnote w:type="continuationSeparator" w:id="0">
    <w:p w:rsidR="00990A36" w:rsidRDefault="00990A36">
      <w:r>
        <w:continuationSeparator/>
      </w:r>
    </w:p>
  </w:footnote>
  <w:footnote w:id="1">
    <w:p w:rsidR="001A2A5A" w:rsidRPr="008F6F55" w:rsidRDefault="001A2A5A" w:rsidP="00255691">
      <w:pPr>
        <w:pStyle w:val="FootnoteText"/>
        <w:rPr>
          <w:rFonts w:asciiTheme="majorBidi" w:hAnsiTheme="majorBidi" w:cstheme="majorBidi"/>
          <w:szCs w:val="18"/>
        </w:rPr>
      </w:pPr>
      <w:r>
        <w:rPr>
          <w:rStyle w:val="FootnoteReference"/>
        </w:rPr>
        <w:footnoteRef/>
      </w:r>
      <w:r w:rsidRPr="00255691">
        <w:t xml:space="preserve"> </w:t>
      </w:r>
      <w:r w:rsidRPr="00255691">
        <w:tab/>
      </w:r>
      <w:r w:rsidRPr="00255691">
        <w:rPr>
          <w:rFonts w:asciiTheme="majorBidi" w:hAnsiTheme="majorBidi" w:cstheme="majorBidi"/>
          <w:szCs w:val="24"/>
        </w:rPr>
        <w:t xml:space="preserve">Publications de </w:t>
      </w:r>
      <w:proofErr w:type="spellStart"/>
      <w:r w:rsidRPr="00255691">
        <w:rPr>
          <w:rFonts w:asciiTheme="majorBidi" w:hAnsiTheme="majorBidi" w:cstheme="majorBidi"/>
          <w:szCs w:val="24"/>
        </w:rPr>
        <w:t>l'UIT</w:t>
      </w:r>
      <w:proofErr w:type="spellEnd"/>
      <w:r w:rsidRPr="00255691">
        <w:rPr>
          <w:rFonts w:asciiTheme="majorBidi" w:hAnsiTheme="majorBidi" w:cstheme="majorBidi"/>
          <w:szCs w:val="24"/>
        </w:rPr>
        <w:t xml:space="preserve">, </w:t>
      </w:r>
      <w:r w:rsidRPr="00255691">
        <w:rPr>
          <w:rFonts w:asciiTheme="majorBidi" w:hAnsiTheme="majorBidi" w:cstheme="majorBidi"/>
          <w:i/>
          <w:iCs/>
          <w:szCs w:val="24"/>
        </w:rPr>
        <w:t>World Telecommunication</w:t>
      </w:r>
      <w:r>
        <w:rPr>
          <w:rFonts w:asciiTheme="majorBidi" w:hAnsiTheme="majorBidi" w:cstheme="majorBidi"/>
          <w:i/>
          <w:iCs/>
          <w:szCs w:val="24"/>
        </w:rPr>
        <w:t>s</w:t>
      </w:r>
      <w:r w:rsidRPr="00255691">
        <w:rPr>
          <w:rFonts w:asciiTheme="majorBidi" w:hAnsiTheme="majorBidi" w:cstheme="majorBidi"/>
          <w:i/>
          <w:iCs/>
          <w:szCs w:val="24"/>
        </w:rPr>
        <w:t>/ICT Indicators Database 2009</w:t>
      </w:r>
      <w:r w:rsidRPr="00CA3B9B">
        <w:rPr>
          <w:rFonts w:asciiTheme="majorBidi" w:hAnsiTheme="majorBidi" w:cstheme="majorBidi"/>
          <w:szCs w:val="24"/>
        </w:rPr>
        <w:t xml:space="preserve"> (13</w:t>
      </w:r>
      <w:r w:rsidRPr="00255691">
        <w:rPr>
          <w:rFonts w:asciiTheme="majorBidi" w:hAnsiTheme="majorBidi" w:cstheme="majorBidi"/>
          <w:szCs w:val="24"/>
          <w:vertAlign w:val="superscript"/>
        </w:rPr>
        <w:t>e</w:t>
      </w:r>
      <w:r w:rsidRPr="00CA3B9B">
        <w:rPr>
          <w:rFonts w:asciiTheme="majorBidi" w:hAnsiTheme="majorBidi" w:cstheme="majorBidi"/>
          <w:szCs w:val="24"/>
        </w:rPr>
        <w:t xml:space="preserve"> </w:t>
      </w:r>
      <w:proofErr w:type="spellStart"/>
      <w:r>
        <w:rPr>
          <w:rFonts w:asciiTheme="majorBidi" w:hAnsiTheme="majorBidi" w:cstheme="majorBidi"/>
          <w:szCs w:val="18"/>
        </w:rPr>
        <w:t>é</w:t>
      </w:r>
      <w:r w:rsidRPr="008F6F55">
        <w:rPr>
          <w:rFonts w:asciiTheme="majorBidi" w:hAnsiTheme="majorBidi" w:cstheme="majorBidi"/>
          <w:szCs w:val="18"/>
        </w:rPr>
        <w:t>dition</w:t>
      </w:r>
      <w:proofErr w:type="spellEnd"/>
      <w:r w:rsidRPr="008F6F55">
        <w:rPr>
          <w:rFonts w:asciiTheme="majorBidi" w:hAnsiTheme="majorBidi" w:cstheme="majorBidi"/>
          <w:szCs w:val="18"/>
        </w:rPr>
        <w:t>)</w:t>
      </w:r>
      <w:r>
        <w:rPr>
          <w:rFonts w:asciiTheme="majorBidi" w:hAnsiTheme="majorBidi" w:cstheme="majorBidi"/>
          <w:szCs w:val="18"/>
        </w:rPr>
        <w:t>,</w:t>
      </w:r>
      <w:r w:rsidRPr="008F6F55">
        <w:rPr>
          <w:rFonts w:asciiTheme="majorBidi" w:hAnsiTheme="majorBidi" w:cstheme="majorBidi"/>
          <w:szCs w:val="18"/>
        </w:rPr>
        <w:t xml:space="preserve"> </w:t>
      </w:r>
      <w:r w:rsidRPr="00F7025C">
        <w:rPr>
          <w:rStyle w:val="Hyperlink"/>
          <w:rFonts w:asciiTheme="majorBidi" w:hAnsiTheme="majorBidi" w:cstheme="majorBidi"/>
          <w:color w:val="auto"/>
          <w:szCs w:val="18"/>
          <w:u w:val="none"/>
        </w:rPr>
        <w:t>www.itu.int/ITU-D/ict/</w:t>
      </w:r>
      <w:r w:rsidRPr="00F7025C">
        <w:rPr>
          <w:rStyle w:val="Hyperlink"/>
          <w:rFonts w:asciiTheme="majorBidi" w:hAnsiTheme="majorBidi" w:cstheme="majorBidi"/>
          <w:color w:val="auto"/>
          <w:szCs w:val="18"/>
          <w:u w:val="none"/>
        </w:rPr>
        <w:br/>
        <w:t>publications/world/world.html</w:t>
      </w:r>
    </w:p>
  </w:footnote>
  <w:footnote w:id="2">
    <w:p w:rsidR="001A2A5A" w:rsidRPr="00F72522" w:rsidRDefault="001A2A5A" w:rsidP="00D47BB8">
      <w:pPr>
        <w:ind w:left="284" w:hanging="284"/>
        <w:rPr>
          <w:sz w:val="18"/>
          <w:szCs w:val="18"/>
          <w:lang w:val="en-US"/>
        </w:rPr>
      </w:pPr>
      <w:r w:rsidRPr="006940F9">
        <w:rPr>
          <w:rStyle w:val="FootnoteReference"/>
          <w:szCs w:val="18"/>
        </w:rPr>
        <w:footnoteRef/>
      </w:r>
      <w:r w:rsidRPr="00B15D0F">
        <w:rPr>
          <w:szCs w:val="24"/>
          <w:lang w:val="en-US"/>
        </w:rPr>
        <w:t xml:space="preserve"> </w:t>
      </w:r>
      <w:r w:rsidRPr="00B15D0F">
        <w:rPr>
          <w:szCs w:val="24"/>
          <w:lang w:val="en-US"/>
        </w:rPr>
        <w:tab/>
      </w:r>
      <w:hyperlink r:id="rId1" w:history="1">
        <w:r w:rsidRPr="00F72522">
          <w:rPr>
            <w:rStyle w:val="FootnoteTextChar"/>
            <w:szCs w:val="18"/>
            <w:lang w:val="en-US" w:eastAsia="zh-CN"/>
          </w:rPr>
          <w:t>Rosenberg</w:t>
        </w:r>
      </w:hyperlink>
      <w:r w:rsidRPr="00F72522">
        <w:rPr>
          <w:rStyle w:val="FootnoteTextChar"/>
          <w:szCs w:val="18"/>
          <w:lang w:val="en-US" w:eastAsia="zh-CN"/>
        </w:rPr>
        <w:t xml:space="preserve">, Matt, </w:t>
      </w:r>
      <w:r w:rsidRPr="00B31121">
        <w:rPr>
          <w:rStyle w:val="FootnoteTextChar"/>
          <w:i/>
          <w:iCs/>
          <w:szCs w:val="18"/>
          <w:lang w:val="en-US" w:eastAsia="zh-CN"/>
        </w:rPr>
        <w:t>Slow but steady “</w:t>
      </w:r>
      <w:proofErr w:type="spellStart"/>
      <w:r w:rsidRPr="00B31121">
        <w:rPr>
          <w:rStyle w:val="FootnoteTextChar"/>
          <w:i/>
          <w:iCs/>
          <w:szCs w:val="18"/>
          <w:lang w:val="en-US" w:eastAsia="zh-CN"/>
        </w:rPr>
        <w:t>telework</w:t>
      </w:r>
      <w:proofErr w:type="spellEnd"/>
      <w:r w:rsidRPr="00B31121">
        <w:rPr>
          <w:rStyle w:val="FootnoteTextChar"/>
          <w:i/>
          <w:iCs/>
          <w:szCs w:val="18"/>
          <w:lang w:val="en-US" w:eastAsia="zh-CN"/>
        </w:rPr>
        <w:t xml:space="preserve"> revolution” eyed, </w:t>
      </w:r>
      <w:proofErr w:type="spellStart"/>
      <w:r w:rsidRPr="00B31121">
        <w:rPr>
          <w:rStyle w:val="FootnoteTextChar"/>
          <w:i/>
          <w:iCs/>
          <w:szCs w:val="18"/>
          <w:lang w:val="en-US" w:eastAsia="zh-CN"/>
        </w:rPr>
        <w:t>Cascadia</w:t>
      </w:r>
      <w:proofErr w:type="spellEnd"/>
      <w:r w:rsidRPr="00B31121">
        <w:rPr>
          <w:rStyle w:val="FootnoteTextChar"/>
          <w:i/>
          <w:iCs/>
          <w:szCs w:val="18"/>
          <w:lang w:val="en-US" w:eastAsia="zh-CN"/>
        </w:rPr>
        <w:t xml:space="preserve"> Prospectus, 26 </w:t>
      </w:r>
      <w:proofErr w:type="spellStart"/>
      <w:r w:rsidRPr="00B31121">
        <w:rPr>
          <w:rStyle w:val="FootnoteTextChar"/>
          <w:i/>
          <w:iCs/>
          <w:szCs w:val="18"/>
          <w:lang w:val="en-US" w:eastAsia="zh-CN"/>
        </w:rPr>
        <w:t>septembre</w:t>
      </w:r>
      <w:proofErr w:type="spellEnd"/>
      <w:r w:rsidRPr="00B31121">
        <w:rPr>
          <w:rStyle w:val="FootnoteTextChar"/>
          <w:i/>
          <w:iCs/>
          <w:szCs w:val="18"/>
          <w:lang w:val="en-US" w:eastAsia="zh-CN"/>
        </w:rPr>
        <w:t xml:space="preserve"> 2007, </w:t>
      </w:r>
      <w:r w:rsidRPr="00B31121">
        <w:rPr>
          <w:rFonts w:asciiTheme="majorBidi" w:hAnsiTheme="majorBidi" w:cstheme="majorBidi"/>
          <w:i/>
          <w:iCs/>
          <w:sz w:val="18"/>
          <w:szCs w:val="18"/>
          <w:lang w:val="en-US"/>
        </w:rPr>
        <w:t>www.discovery.org/scripts/viewDB/index.php?command=view&amp;program=DI%20Main%20Page%20-%20News&amp;id=4235</w:t>
      </w:r>
    </w:p>
  </w:footnote>
  <w:footnote w:id="3">
    <w:p w:rsidR="001A2A5A" w:rsidRPr="00B31121" w:rsidRDefault="001A2A5A" w:rsidP="00B31121">
      <w:pPr>
        <w:pStyle w:val="FootnoteText"/>
        <w:rPr>
          <w:lang w:val="fr-FR"/>
        </w:rPr>
      </w:pPr>
      <w:r w:rsidRPr="00630579">
        <w:rPr>
          <w:vertAlign w:val="superscript"/>
        </w:rPr>
        <w:footnoteRef/>
      </w:r>
      <w:r w:rsidRPr="004861CE">
        <w:rPr>
          <w:lang w:val="fr-FR"/>
        </w:rPr>
        <w:t xml:space="preserve"> </w:t>
      </w:r>
      <w:r w:rsidRPr="004861CE">
        <w:rPr>
          <w:lang w:val="fr-FR"/>
        </w:rPr>
        <w:tab/>
      </w:r>
      <w:r w:rsidRPr="00B15D0F">
        <w:rPr>
          <w:szCs w:val="24"/>
          <w:lang w:val="fr-CH"/>
        </w:rPr>
        <w:t xml:space="preserve">Bureau international du Travail, </w:t>
      </w:r>
      <w:r w:rsidRPr="002B5FC2">
        <w:rPr>
          <w:rFonts w:eastAsia="SimHei" w:cs="Simplified Arabic"/>
          <w:bCs/>
          <w:szCs w:val="24"/>
          <w:lang w:val="fr-FR" w:eastAsia="zh-CN"/>
        </w:rPr>
        <w:t>Rapport soumis pour examen à la réunion tripartite sur l'emploi, l'employabilité et l'égalité des chances dans les services des postes et télécommunications, Genève, 13</w:t>
      </w:r>
      <w:r w:rsidRPr="002B5FC2">
        <w:rPr>
          <w:rFonts w:eastAsia="SimHei" w:cs="Simplified Arabic"/>
          <w:bCs/>
          <w:szCs w:val="24"/>
          <w:lang w:val="fr-FR" w:eastAsia="zh-CN"/>
        </w:rPr>
        <w:noBreakHyphen/>
        <w:t>17 mai 2002</w:t>
      </w:r>
    </w:p>
  </w:footnote>
  <w:footnote w:id="4">
    <w:p w:rsidR="001A2A5A" w:rsidRPr="00F7025C" w:rsidRDefault="001A2A5A" w:rsidP="001C0AAC">
      <w:pPr>
        <w:pStyle w:val="FootnoteText"/>
        <w:rPr>
          <w:rFonts w:eastAsia="SimHei" w:cs="Simplified Arabic"/>
          <w:bCs/>
          <w:szCs w:val="24"/>
          <w:lang w:val="fr-FR" w:eastAsia="zh-CN"/>
        </w:rPr>
      </w:pPr>
      <w:r w:rsidRPr="006940F9">
        <w:rPr>
          <w:rStyle w:val="FootnoteReference"/>
          <w:szCs w:val="18"/>
        </w:rPr>
        <w:footnoteRef/>
      </w:r>
      <w:r w:rsidRPr="00725E71">
        <w:rPr>
          <w:szCs w:val="18"/>
          <w:lang w:val="fr-FR"/>
        </w:rPr>
        <w:t xml:space="preserve"> </w:t>
      </w:r>
      <w:r w:rsidRPr="00725E71">
        <w:rPr>
          <w:szCs w:val="24"/>
          <w:lang w:val="fr-FR"/>
        </w:rPr>
        <w:tab/>
      </w:r>
      <w:r w:rsidRPr="00725E71">
        <w:rPr>
          <w:rFonts w:eastAsia="SimHei" w:cs="Simplified Arabic"/>
          <w:bCs/>
          <w:szCs w:val="24"/>
          <w:lang w:val="fr-FR" w:eastAsia="zh-CN"/>
        </w:rPr>
        <w:t>Contribution soumise par le Cameroun à la réunion de la Commission d'études 1, 7</w:t>
      </w:r>
      <w:r w:rsidRPr="00725E71">
        <w:rPr>
          <w:rFonts w:eastAsia="SimHei" w:cs="Simplified Arabic"/>
          <w:bCs/>
          <w:szCs w:val="24"/>
          <w:lang w:val="fr-FR" w:eastAsia="zh-CN"/>
        </w:rPr>
        <w:noBreakHyphen/>
        <w:t xml:space="preserve">11 septembre 2009, Document 1/237, </w:t>
      </w:r>
      <w:r w:rsidRPr="001A2A5A">
        <w:rPr>
          <w:rFonts w:eastAsia="SimHei" w:cs="Simplified Arabic"/>
          <w:bCs/>
          <w:szCs w:val="24"/>
          <w:lang w:val="fr-FR" w:eastAsia="zh-CN"/>
        </w:rPr>
        <w:t>Cas du Cameroun</w:t>
      </w:r>
      <w:r w:rsidRPr="00725E71">
        <w:rPr>
          <w:rFonts w:eastAsia="SimHei" w:cs="Simplified Arabic"/>
          <w:bCs/>
          <w:szCs w:val="24"/>
          <w:lang w:val="fr-FR" w:eastAsia="zh-CN"/>
        </w:rPr>
        <w:t xml:space="preserve">, </w:t>
      </w:r>
      <w:r w:rsidRPr="00F7025C">
        <w:rPr>
          <w:rStyle w:val="Hyperlink"/>
          <w:rFonts w:asciiTheme="majorBidi" w:hAnsiTheme="majorBidi" w:cstheme="majorBidi"/>
          <w:szCs w:val="18"/>
          <w:u w:val="none"/>
          <w:lang w:val="fr-FR"/>
        </w:rPr>
        <w:t>www.wzz.itu.int/md/D06-SG01-C-0237/en</w:t>
      </w:r>
    </w:p>
  </w:footnote>
  <w:footnote w:id="5">
    <w:p w:rsidR="001A2A5A" w:rsidRPr="00725E71" w:rsidRDefault="001A2A5A" w:rsidP="00725E71">
      <w:pPr>
        <w:pStyle w:val="FootnoteText"/>
        <w:rPr>
          <w:szCs w:val="24"/>
          <w:lang w:val="fr-FR"/>
        </w:rPr>
      </w:pPr>
      <w:r w:rsidRPr="006940F9">
        <w:rPr>
          <w:rStyle w:val="FootnoteReference"/>
          <w:szCs w:val="18"/>
        </w:rPr>
        <w:footnoteRef/>
      </w:r>
      <w:r w:rsidRPr="00725E71">
        <w:rPr>
          <w:szCs w:val="24"/>
          <w:lang w:val="fr-FR"/>
        </w:rPr>
        <w:t xml:space="preserve"> </w:t>
      </w:r>
      <w:r w:rsidRPr="00725E71">
        <w:rPr>
          <w:szCs w:val="24"/>
          <w:lang w:val="fr-FR"/>
        </w:rPr>
        <w:tab/>
        <w:t>Voir la note de bas de page 2.</w:t>
      </w:r>
    </w:p>
  </w:footnote>
  <w:footnote w:id="6">
    <w:p w:rsidR="001A2A5A" w:rsidRPr="00DC14FC" w:rsidRDefault="001A2A5A" w:rsidP="0061291C">
      <w:pPr>
        <w:pStyle w:val="FootnoteText"/>
        <w:rPr>
          <w:szCs w:val="18"/>
          <w:lang w:val="fr-FR"/>
        </w:rPr>
      </w:pPr>
      <w:r>
        <w:rPr>
          <w:rStyle w:val="FootnoteReference"/>
        </w:rPr>
        <w:footnoteRef/>
      </w:r>
      <w:r w:rsidRPr="00725E71">
        <w:rPr>
          <w:lang w:val="fr-FR"/>
        </w:rPr>
        <w:t xml:space="preserve"> </w:t>
      </w:r>
      <w:r w:rsidRPr="00725E71">
        <w:rPr>
          <w:lang w:val="fr-FR"/>
        </w:rPr>
        <w:tab/>
      </w:r>
      <w:r w:rsidRPr="00725E71">
        <w:rPr>
          <w:bCs/>
          <w:szCs w:val="24"/>
          <w:lang w:val="fr-FR"/>
        </w:rPr>
        <w:t xml:space="preserve">Lewin, David, et </w:t>
      </w:r>
      <w:proofErr w:type="spellStart"/>
      <w:r w:rsidRPr="00725E71">
        <w:rPr>
          <w:bCs/>
          <w:szCs w:val="24"/>
          <w:lang w:val="fr-FR"/>
        </w:rPr>
        <w:t>Sweet</w:t>
      </w:r>
      <w:proofErr w:type="spellEnd"/>
      <w:r w:rsidRPr="00725E71">
        <w:rPr>
          <w:bCs/>
          <w:szCs w:val="24"/>
          <w:lang w:val="fr-FR"/>
        </w:rPr>
        <w:t xml:space="preserve">, Susan, </w:t>
      </w:r>
      <w:r w:rsidRPr="0061291C">
        <w:rPr>
          <w:bCs/>
          <w:i/>
          <w:iCs/>
          <w:szCs w:val="24"/>
          <w:lang w:val="fr-FR"/>
        </w:rPr>
        <w:t xml:space="preserve">The </w:t>
      </w:r>
      <w:proofErr w:type="spellStart"/>
      <w:r w:rsidRPr="0061291C">
        <w:rPr>
          <w:bCs/>
          <w:i/>
          <w:iCs/>
          <w:szCs w:val="24"/>
          <w:lang w:val="fr-FR"/>
        </w:rPr>
        <w:t>economic</w:t>
      </w:r>
      <w:proofErr w:type="spellEnd"/>
      <w:r w:rsidRPr="0061291C">
        <w:rPr>
          <w:bCs/>
          <w:i/>
          <w:iCs/>
          <w:szCs w:val="24"/>
          <w:lang w:val="fr-FR"/>
        </w:rPr>
        <w:t xml:space="preserve"> impact of mobile services in Latin </w:t>
      </w:r>
      <w:proofErr w:type="spellStart"/>
      <w:r w:rsidRPr="0061291C">
        <w:rPr>
          <w:bCs/>
          <w:i/>
          <w:iCs/>
          <w:szCs w:val="24"/>
          <w:lang w:val="fr-FR"/>
        </w:rPr>
        <w:t>America</w:t>
      </w:r>
      <w:proofErr w:type="spellEnd"/>
      <w:r w:rsidRPr="00725E71">
        <w:rPr>
          <w:bCs/>
          <w:szCs w:val="24"/>
          <w:lang w:val="fr-FR"/>
        </w:rPr>
        <w:t xml:space="preserve"> </w:t>
      </w:r>
      <w:r w:rsidR="0061291C">
        <w:rPr>
          <w:bCs/>
          <w:szCs w:val="24"/>
          <w:lang w:val="fr-FR"/>
        </w:rPr>
        <w:t>(</w:t>
      </w:r>
      <w:r w:rsidRPr="00725E71">
        <w:rPr>
          <w:bCs/>
          <w:szCs w:val="24"/>
          <w:lang w:val="fr-FR"/>
        </w:rPr>
        <w:t>Incidence économique des services mobiles en Amérique latine</w:t>
      </w:r>
      <w:r w:rsidR="0061291C">
        <w:rPr>
          <w:bCs/>
          <w:szCs w:val="24"/>
          <w:lang w:val="fr-FR"/>
        </w:rPr>
        <w:t>)</w:t>
      </w:r>
      <w:r w:rsidRPr="00725E71">
        <w:rPr>
          <w:bCs/>
          <w:szCs w:val="24"/>
          <w:lang w:val="fr-FR"/>
        </w:rPr>
        <w:t xml:space="preserve">, Rapport </w:t>
      </w:r>
      <w:r w:rsidRPr="00DC14FC">
        <w:rPr>
          <w:bCs/>
          <w:szCs w:val="24"/>
          <w:lang w:val="fr-FR"/>
        </w:rPr>
        <w:t xml:space="preserve">à l'intention de la GSMA, de GSM Latin </w:t>
      </w:r>
      <w:proofErr w:type="spellStart"/>
      <w:r w:rsidRPr="00DC14FC">
        <w:rPr>
          <w:bCs/>
          <w:szCs w:val="24"/>
          <w:lang w:val="fr-FR"/>
        </w:rPr>
        <w:t>America</w:t>
      </w:r>
      <w:proofErr w:type="spellEnd"/>
      <w:r w:rsidRPr="00DC14FC">
        <w:rPr>
          <w:bCs/>
          <w:szCs w:val="24"/>
          <w:lang w:val="fr-FR"/>
        </w:rPr>
        <w:t xml:space="preserve"> et de l'AHCIET, décembre 2005, </w:t>
      </w:r>
      <w:hyperlink r:id="rId2" w:history="1">
        <w:r w:rsidRPr="00DC14FC">
          <w:rPr>
            <w:rStyle w:val="Hyperlink"/>
            <w:bCs/>
            <w:szCs w:val="18"/>
            <w:u w:val="none"/>
            <w:lang w:val="fr-FR"/>
          </w:rPr>
          <w:t>www.gsmlaa.org/files/content/0/93/GSM%20LA%20Study_The%20Economic%20Impact_English.pdf</w:t>
        </w:r>
      </w:hyperlink>
    </w:p>
  </w:footnote>
  <w:footnote w:id="7">
    <w:p w:rsidR="001A2A5A" w:rsidRPr="00DC14FC" w:rsidRDefault="001A2A5A" w:rsidP="00165024">
      <w:pPr>
        <w:pStyle w:val="FootnoteText"/>
        <w:rPr>
          <w:rFonts w:asciiTheme="majorBidi" w:hAnsiTheme="majorBidi" w:cstheme="majorBidi"/>
          <w:szCs w:val="18"/>
          <w:lang w:val="fr-CH"/>
        </w:rPr>
      </w:pPr>
      <w:r w:rsidRPr="00DC14FC">
        <w:rPr>
          <w:rStyle w:val="FootnoteReference"/>
          <w:rFonts w:asciiTheme="majorBidi" w:hAnsiTheme="majorBidi" w:cstheme="majorBidi"/>
          <w:szCs w:val="18"/>
        </w:rPr>
        <w:footnoteRef/>
      </w:r>
      <w:r w:rsidRPr="00DC14FC">
        <w:rPr>
          <w:rFonts w:asciiTheme="majorBidi" w:hAnsiTheme="majorBidi" w:cstheme="majorBidi"/>
          <w:szCs w:val="24"/>
          <w:lang w:val="fr-FR"/>
        </w:rPr>
        <w:t xml:space="preserve"> </w:t>
      </w:r>
      <w:r w:rsidRPr="00DC14FC">
        <w:rPr>
          <w:rFonts w:asciiTheme="majorBidi" w:hAnsiTheme="majorBidi" w:cstheme="majorBidi"/>
          <w:szCs w:val="24"/>
          <w:lang w:val="fr-FR"/>
        </w:rPr>
        <w:tab/>
      </w:r>
      <w:r w:rsidRPr="00DC14FC">
        <w:rPr>
          <w:rFonts w:asciiTheme="majorBidi" w:hAnsiTheme="majorBidi" w:cstheme="majorBidi"/>
          <w:szCs w:val="24"/>
          <w:lang w:val="fr-CH"/>
        </w:rPr>
        <w:t xml:space="preserve">Contribution présentée par Pakistan Mobile </w:t>
      </w:r>
      <w:proofErr w:type="spellStart"/>
      <w:r w:rsidRPr="00DC14FC">
        <w:rPr>
          <w:rFonts w:asciiTheme="majorBidi" w:hAnsiTheme="majorBidi" w:cstheme="majorBidi"/>
          <w:szCs w:val="24"/>
          <w:lang w:val="fr-CH"/>
        </w:rPr>
        <w:t>Company</w:t>
      </w:r>
      <w:proofErr w:type="spellEnd"/>
      <w:r w:rsidRPr="00DC14FC">
        <w:rPr>
          <w:rFonts w:asciiTheme="majorBidi" w:hAnsiTheme="majorBidi" w:cstheme="majorBidi"/>
          <w:szCs w:val="24"/>
          <w:lang w:val="fr-CH"/>
        </w:rPr>
        <w:t xml:space="preserve"> à la Réunion du Groupe du Rapporteur pour la Question 21, Le Caire, mars</w:t>
      </w:r>
      <w:r>
        <w:rPr>
          <w:rFonts w:asciiTheme="majorBidi" w:hAnsiTheme="majorBidi" w:cstheme="majorBidi"/>
          <w:szCs w:val="24"/>
          <w:lang w:val="fr-CH"/>
        </w:rPr>
        <w:t> </w:t>
      </w:r>
      <w:r w:rsidRPr="00DC14FC">
        <w:rPr>
          <w:rFonts w:asciiTheme="majorBidi" w:hAnsiTheme="majorBidi" w:cstheme="majorBidi"/>
          <w:szCs w:val="24"/>
          <w:lang w:val="fr-CH"/>
        </w:rPr>
        <w:t xml:space="preserve">2009, Document RGO 21/1/016, </w:t>
      </w:r>
      <w:r w:rsidRPr="00DC14FC">
        <w:rPr>
          <w:rStyle w:val="Hyperlink"/>
          <w:rFonts w:asciiTheme="majorBidi" w:hAnsiTheme="majorBidi" w:cstheme="majorBidi"/>
          <w:szCs w:val="18"/>
          <w:u w:val="none"/>
          <w:lang w:val="fr-FR"/>
        </w:rPr>
        <w:t>www.itu.int/md/D06</w:t>
      </w:r>
      <w:r w:rsidRPr="00DC14FC">
        <w:rPr>
          <w:rStyle w:val="Hyperlink"/>
          <w:rFonts w:asciiTheme="majorBidi" w:hAnsiTheme="majorBidi" w:cstheme="majorBidi"/>
          <w:szCs w:val="18"/>
          <w:u w:val="none"/>
          <w:lang w:val="fr-FR"/>
        </w:rPr>
        <w:noBreakHyphen/>
        <w:t>RGQ21.1-C-0016/en</w:t>
      </w:r>
    </w:p>
  </w:footnote>
  <w:footnote w:id="8">
    <w:p w:rsidR="001A2A5A" w:rsidRPr="00F7025C" w:rsidRDefault="001A2A5A" w:rsidP="0061291C">
      <w:pPr>
        <w:pStyle w:val="FootnoteText"/>
        <w:rPr>
          <w:rFonts w:asciiTheme="majorBidi" w:hAnsiTheme="majorBidi" w:cstheme="majorBidi"/>
          <w:spacing w:val="-4"/>
          <w:szCs w:val="18"/>
        </w:rPr>
      </w:pPr>
      <w:r w:rsidRPr="00487B35">
        <w:rPr>
          <w:rStyle w:val="FootnoteReference"/>
          <w:rFonts w:asciiTheme="majorBidi" w:hAnsiTheme="majorBidi" w:cstheme="majorBidi"/>
          <w:szCs w:val="18"/>
        </w:rPr>
        <w:footnoteRef/>
      </w:r>
      <w:r w:rsidRPr="00E268E3">
        <w:rPr>
          <w:rFonts w:asciiTheme="majorBidi" w:hAnsiTheme="majorBidi" w:cstheme="majorBidi"/>
          <w:szCs w:val="24"/>
        </w:rPr>
        <w:t xml:space="preserve"> </w:t>
      </w:r>
      <w:r w:rsidRPr="00E268E3">
        <w:rPr>
          <w:rFonts w:asciiTheme="majorBidi" w:hAnsiTheme="majorBidi" w:cstheme="majorBidi"/>
          <w:szCs w:val="24"/>
        </w:rPr>
        <w:tab/>
      </w:r>
      <w:proofErr w:type="spellStart"/>
      <w:r w:rsidRPr="00165024">
        <w:rPr>
          <w:rFonts w:asciiTheme="majorBidi" w:hAnsiTheme="majorBidi" w:cstheme="majorBidi"/>
          <w:spacing w:val="-4"/>
          <w:szCs w:val="24"/>
        </w:rPr>
        <w:t>Ubaru</w:t>
      </w:r>
      <w:proofErr w:type="spellEnd"/>
      <w:r w:rsidRPr="00165024">
        <w:rPr>
          <w:rFonts w:asciiTheme="majorBidi" w:hAnsiTheme="majorBidi" w:cstheme="majorBidi"/>
          <w:spacing w:val="-4"/>
          <w:szCs w:val="24"/>
        </w:rPr>
        <w:t xml:space="preserve">, Moses, </w:t>
      </w:r>
      <w:r w:rsidRPr="00165024">
        <w:rPr>
          <w:rFonts w:asciiTheme="majorBidi" w:hAnsiTheme="majorBidi" w:cstheme="majorBidi"/>
          <w:iCs/>
          <w:spacing w:val="-4"/>
          <w:szCs w:val="24"/>
        </w:rPr>
        <w:t>Draft report of the</w:t>
      </w:r>
      <w:r w:rsidRPr="00165024">
        <w:rPr>
          <w:rFonts w:asciiTheme="majorBidi" w:hAnsiTheme="majorBidi" w:cstheme="majorBidi"/>
          <w:i/>
          <w:spacing w:val="-4"/>
          <w:szCs w:val="24"/>
        </w:rPr>
        <w:t xml:space="preserve"> </w:t>
      </w:r>
      <w:r w:rsidR="0061291C">
        <w:rPr>
          <w:rFonts w:asciiTheme="majorBidi" w:hAnsiTheme="majorBidi" w:cstheme="majorBidi"/>
          <w:spacing w:val="-4"/>
          <w:szCs w:val="24"/>
        </w:rPr>
        <w:t>Joint ECA</w:t>
      </w:r>
      <w:r w:rsidRPr="00165024">
        <w:rPr>
          <w:rFonts w:asciiTheme="majorBidi" w:hAnsiTheme="majorBidi" w:cstheme="majorBidi"/>
          <w:spacing w:val="-4"/>
          <w:szCs w:val="24"/>
        </w:rPr>
        <w:t>-ITU</w:t>
      </w:r>
      <w:r w:rsidR="0061291C">
        <w:rPr>
          <w:rFonts w:asciiTheme="majorBidi" w:hAnsiTheme="majorBidi" w:cstheme="majorBidi"/>
          <w:spacing w:val="-4"/>
          <w:szCs w:val="24"/>
        </w:rPr>
        <w:t xml:space="preserve"> </w:t>
      </w:r>
      <w:r w:rsidRPr="0061291C">
        <w:rPr>
          <w:rFonts w:asciiTheme="majorBidi" w:hAnsiTheme="majorBidi" w:cstheme="majorBidi"/>
          <w:i/>
          <w:iCs/>
          <w:spacing w:val="-4"/>
          <w:szCs w:val="24"/>
        </w:rPr>
        <w:t xml:space="preserve">Issues Paper on the impact of ICTs on Employment and Poverty Alleviation in Africa </w:t>
      </w:r>
      <w:r w:rsidRPr="00D81827">
        <w:rPr>
          <w:rFonts w:asciiTheme="majorBidi" w:hAnsiTheme="majorBidi" w:cstheme="majorBidi"/>
          <w:i/>
          <w:iCs/>
          <w:spacing w:val="-6"/>
          <w:szCs w:val="24"/>
        </w:rPr>
        <w:t>(Opportunities and challenges)</w:t>
      </w:r>
      <w:r w:rsidRPr="00D81827">
        <w:rPr>
          <w:rFonts w:asciiTheme="majorBidi" w:hAnsiTheme="majorBidi" w:cstheme="majorBidi"/>
          <w:spacing w:val="-6"/>
          <w:szCs w:val="24"/>
        </w:rPr>
        <w:t>,</w:t>
      </w:r>
      <w:r w:rsidRPr="00D81827">
        <w:rPr>
          <w:rFonts w:asciiTheme="majorBidi" w:hAnsiTheme="majorBidi" w:cstheme="majorBidi"/>
          <w:i/>
          <w:spacing w:val="-6"/>
          <w:szCs w:val="24"/>
        </w:rPr>
        <w:t xml:space="preserve"> </w:t>
      </w:r>
      <w:hyperlink r:id="rId3" w:history="1">
        <w:r w:rsidR="00D81827" w:rsidRPr="00F7025C">
          <w:rPr>
            <w:rStyle w:val="Hyperlink"/>
            <w:rFonts w:asciiTheme="majorBidi" w:hAnsiTheme="majorBidi" w:cstheme="majorBidi"/>
            <w:spacing w:val="-6"/>
            <w:szCs w:val="18"/>
            <w:u w:val="none"/>
          </w:rPr>
          <w:t>www.uneca.org/codist/codi5/content/Issues_Paper_Impact_ICTs_Employent_Poverty_Alleviation_Africa-Ubaru-EN.ppt</w:t>
        </w:r>
      </w:hyperlink>
    </w:p>
  </w:footnote>
  <w:footnote w:id="9">
    <w:p w:rsidR="001A2A5A" w:rsidRPr="00DC14FC" w:rsidRDefault="001A2A5A" w:rsidP="00B1373C">
      <w:pPr>
        <w:pStyle w:val="FootnoteText"/>
        <w:rPr>
          <w:rFonts w:asciiTheme="majorBidi" w:eastAsia="SimHei" w:hAnsiTheme="majorBidi" w:cstheme="majorBidi"/>
          <w:bCs/>
          <w:szCs w:val="24"/>
          <w:lang w:val="fr-FR" w:eastAsia="zh-CN"/>
        </w:rPr>
      </w:pPr>
      <w:r w:rsidRPr="00DC14FC">
        <w:rPr>
          <w:rStyle w:val="FootnoteReference"/>
          <w:rFonts w:asciiTheme="majorBidi" w:hAnsiTheme="majorBidi" w:cstheme="majorBidi"/>
          <w:szCs w:val="18"/>
        </w:rPr>
        <w:footnoteRef/>
      </w:r>
      <w:r w:rsidRPr="00DC14FC">
        <w:rPr>
          <w:rFonts w:asciiTheme="majorBidi" w:hAnsiTheme="majorBidi" w:cstheme="majorBidi"/>
          <w:szCs w:val="24"/>
          <w:lang w:val="fr-FR"/>
        </w:rPr>
        <w:t xml:space="preserve"> </w:t>
      </w:r>
      <w:r w:rsidRPr="00DC14FC">
        <w:rPr>
          <w:rFonts w:asciiTheme="majorBidi" w:hAnsiTheme="majorBidi" w:cstheme="majorBidi"/>
          <w:szCs w:val="24"/>
          <w:lang w:val="fr-FR"/>
        </w:rPr>
        <w:tab/>
        <w:t>Publications de l'</w:t>
      </w:r>
      <w:r w:rsidRPr="00DC14FC">
        <w:rPr>
          <w:rFonts w:asciiTheme="majorBidi" w:eastAsia="SimHei" w:hAnsiTheme="majorBidi" w:cstheme="majorBidi"/>
          <w:bCs/>
          <w:szCs w:val="24"/>
          <w:lang w:val="fr-FR" w:eastAsia="zh-CN"/>
        </w:rPr>
        <w:t xml:space="preserve">UIT, </w:t>
      </w:r>
      <w:r w:rsidRPr="00EF6E12">
        <w:rPr>
          <w:rFonts w:asciiTheme="majorBidi" w:eastAsia="SimHei" w:hAnsiTheme="majorBidi" w:cstheme="majorBidi"/>
          <w:bCs/>
          <w:szCs w:val="24"/>
          <w:lang w:val="fr-FR" w:eastAsia="zh-CN"/>
        </w:rPr>
        <w:t>Tendances des réformes dans les télécommunications 2003: Promouvoir l'accès universel aux TIC – Outils pratiques pour les régulateurs,</w:t>
      </w:r>
      <w:r w:rsidRPr="00DC14FC">
        <w:rPr>
          <w:rFonts w:asciiTheme="majorBidi" w:eastAsia="SimHei" w:hAnsiTheme="majorBidi" w:cstheme="majorBidi"/>
          <w:bCs/>
          <w:szCs w:val="24"/>
          <w:lang w:val="fr-FR" w:eastAsia="zh-CN"/>
        </w:rPr>
        <w:t xml:space="preserve"> Chapitre 3, p. 60, 2003.</w:t>
      </w:r>
    </w:p>
  </w:footnote>
  <w:footnote w:id="10">
    <w:p w:rsidR="001A2A5A" w:rsidRPr="00DC14FC" w:rsidRDefault="001A2A5A" w:rsidP="002923CA">
      <w:pPr>
        <w:pStyle w:val="FootnoteText"/>
        <w:ind w:left="0" w:firstLine="0"/>
        <w:rPr>
          <w:rFonts w:asciiTheme="majorBidi" w:hAnsiTheme="majorBidi" w:cstheme="majorBidi"/>
          <w:szCs w:val="24"/>
          <w:lang w:val="fr-FR"/>
        </w:rPr>
      </w:pPr>
      <w:r w:rsidRPr="00DC14FC">
        <w:rPr>
          <w:rStyle w:val="FootnoteReference"/>
          <w:rFonts w:asciiTheme="majorBidi" w:hAnsiTheme="majorBidi" w:cstheme="majorBidi"/>
          <w:szCs w:val="18"/>
        </w:rPr>
        <w:footnoteRef/>
      </w:r>
      <w:r w:rsidRPr="00DC14FC">
        <w:rPr>
          <w:rFonts w:asciiTheme="majorBidi" w:hAnsiTheme="majorBidi" w:cstheme="majorBidi"/>
          <w:szCs w:val="24"/>
          <w:lang w:val="fr-FR"/>
        </w:rPr>
        <w:tab/>
      </w:r>
      <w:r w:rsidRPr="00DC14FC">
        <w:rPr>
          <w:rFonts w:asciiTheme="majorBidi" w:eastAsia="SimHei" w:hAnsiTheme="majorBidi" w:cstheme="majorBidi"/>
          <w:bCs/>
          <w:szCs w:val="24"/>
          <w:lang w:val="fr-FR" w:eastAsia="zh-CN"/>
        </w:rPr>
        <w:t>Voir la note de bas de page 7.</w:t>
      </w:r>
    </w:p>
  </w:footnote>
  <w:footnote w:id="11">
    <w:p w:rsidR="001A2A5A" w:rsidRPr="00165024" w:rsidRDefault="001A2A5A" w:rsidP="00B1373C">
      <w:pPr>
        <w:pStyle w:val="FootnoteText"/>
        <w:rPr>
          <w:rFonts w:asciiTheme="majorBidi" w:hAnsiTheme="majorBidi" w:cstheme="majorBidi"/>
          <w:spacing w:val="-4"/>
          <w:szCs w:val="18"/>
          <w:lang w:val="fr-FR"/>
        </w:rPr>
      </w:pPr>
      <w:r w:rsidRPr="00DC14FC">
        <w:rPr>
          <w:rStyle w:val="FootnoteReference"/>
          <w:rFonts w:asciiTheme="majorBidi" w:hAnsiTheme="majorBidi" w:cstheme="majorBidi"/>
          <w:szCs w:val="18"/>
        </w:rPr>
        <w:footnoteRef/>
      </w:r>
      <w:r w:rsidRPr="00DC14FC">
        <w:rPr>
          <w:rFonts w:asciiTheme="majorBidi" w:hAnsiTheme="majorBidi" w:cstheme="majorBidi"/>
          <w:szCs w:val="18"/>
          <w:lang w:val="fr-FR"/>
        </w:rPr>
        <w:tab/>
      </w:r>
      <w:r w:rsidRPr="00165024">
        <w:rPr>
          <w:rFonts w:asciiTheme="majorBidi" w:eastAsia="SimHei" w:hAnsiTheme="majorBidi" w:cstheme="majorBidi"/>
          <w:spacing w:val="-4"/>
          <w:szCs w:val="24"/>
          <w:lang w:val="fr-FR" w:eastAsia="zh-CN"/>
        </w:rPr>
        <w:t>Contribution présentée par la Tanzanie à la réunion de la Commission d'études 1, Genève, 7</w:t>
      </w:r>
      <w:r w:rsidRPr="00165024">
        <w:rPr>
          <w:rFonts w:asciiTheme="majorBidi" w:eastAsia="SimHei" w:hAnsiTheme="majorBidi" w:cstheme="majorBidi"/>
          <w:spacing w:val="-4"/>
          <w:szCs w:val="24"/>
          <w:lang w:val="fr-FR" w:eastAsia="zh-CN"/>
        </w:rPr>
        <w:noBreakHyphen/>
        <w:t>11 septembre 2009</w:t>
      </w:r>
      <w:r w:rsidRPr="00165024">
        <w:rPr>
          <w:rFonts w:asciiTheme="majorBidi" w:hAnsiTheme="majorBidi" w:cstheme="majorBidi"/>
          <w:spacing w:val="-4"/>
          <w:szCs w:val="24"/>
          <w:lang w:val="fr-FR"/>
        </w:rPr>
        <w:t xml:space="preserve">, Document 1/284-E, </w:t>
      </w:r>
      <w:r w:rsidRPr="00EF6E12">
        <w:rPr>
          <w:rFonts w:asciiTheme="majorBidi" w:hAnsiTheme="majorBidi" w:cstheme="majorBidi"/>
          <w:i/>
          <w:iCs/>
          <w:spacing w:val="-4"/>
          <w:szCs w:val="24"/>
          <w:lang w:val="fr-FR"/>
        </w:rPr>
        <w:t xml:space="preserve">The </w:t>
      </w:r>
      <w:r w:rsidR="00EF6E12" w:rsidRPr="00EF6E12">
        <w:rPr>
          <w:rFonts w:asciiTheme="majorBidi" w:hAnsiTheme="majorBidi" w:cstheme="majorBidi"/>
          <w:i/>
          <w:iCs/>
          <w:spacing w:val="-4"/>
          <w:szCs w:val="24"/>
          <w:lang w:val="fr-FR"/>
        </w:rPr>
        <w:t>I</w:t>
      </w:r>
      <w:r w:rsidRPr="00EF6E12">
        <w:rPr>
          <w:rFonts w:asciiTheme="majorBidi" w:hAnsiTheme="majorBidi" w:cstheme="majorBidi"/>
          <w:i/>
          <w:iCs/>
          <w:spacing w:val="-4"/>
          <w:szCs w:val="24"/>
          <w:lang w:val="fr-FR"/>
        </w:rPr>
        <w:t xml:space="preserve">mpact of Mobile </w:t>
      </w:r>
      <w:r w:rsidR="00EF6E12" w:rsidRPr="00EF6E12">
        <w:rPr>
          <w:rFonts w:asciiTheme="majorBidi" w:hAnsiTheme="majorBidi" w:cstheme="majorBidi"/>
          <w:i/>
          <w:iCs/>
          <w:spacing w:val="-4"/>
          <w:szCs w:val="24"/>
          <w:lang w:val="fr-FR"/>
        </w:rPr>
        <w:t>C</w:t>
      </w:r>
      <w:r w:rsidRPr="00EF6E12">
        <w:rPr>
          <w:rFonts w:asciiTheme="majorBidi" w:hAnsiTheme="majorBidi" w:cstheme="majorBidi"/>
          <w:i/>
          <w:iCs/>
          <w:spacing w:val="-4"/>
          <w:szCs w:val="24"/>
          <w:lang w:val="fr-FR"/>
        </w:rPr>
        <w:t xml:space="preserve">ommunications on </w:t>
      </w:r>
      <w:proofErr w:type="spellStart"/>
      <w:r w:rsidRPr="00EF6E12">
        <w:rPr>
          <w:rFonts w:asciiTheme="majorBidi" w:hAnsiTheme="majorBidi" w:cstheme="majorBidi"/>
          <w:i/>
          <w:iCs/>
          <w:spacing w:val="-4"/>
          <w:szCs w:val="24"/>
          <w:lang w:val="fr-FR"/>
        </w:rPr>
        <w:t>Economic</w:t>
      </w:r>
      <w:proofErr w:type="spellEnd"/>
      <w:r w:rsidRPr="00EF6E12">
        <w:rPr>
          <w:rFonts w:asciiTheme="majorBidi" w:hAnsiTheme="majorBidi" w:cstheme="majorBidi"/>
          <w:i/>
          <w:iCs/>
          <w:spacing w:val="-4"/>
          <w:szCs w:val="24"/>
          <w:lang w:val="fr-FR"/>
        </w:rPr>
        <w:t xml:space="preserve"> </w:t>
      </w:r>
      <w:proofErr w:type="spellStart"/>
      <w:r w:rsidRPr="00EF6E12">
        <w:rPr>
          <w:rFonts w:asciiTheme="majorBidi" w:hAnsiTheme="majorBidi" w:cstheme="majorBidi"/>
          <w:i/>
          <w:iCs/>
          <w:spacing w:val="-4"/>
          <w:szCs w:val="24"/>
          <w:lang w:val="fr-FR"/>
        </w:rPr>
        <w:t>Development</w:t>
      </w:r>
      <w:proofErr w:type="spellEnd"/>
      <w:r w:rsidRPr="00EF6E12">
        <w:rPr>
          <w:rFonts w:asciiTheme="majorBidi" w:hAnsiTheme="majorBidi" w:cstheme="majorBidi"/>
          <w:i/>
          <w:iCs/>
          <w:spacing w:val="-4"/>
          <w:szCs w:val="24"/>
          <w:lang w:val="fr-FR"/>
        </w:rPr>
        <w:t xml:space="preserve">: The Case of </w:t>
      </w:r>
      <w:proofErr w:type="spellStart"/>
      <w:r w:rsidRPr="00EF6E12">
        <w:rPr>
          <w:rFonts w:asciiTheme="majorBidi" w:hAnsiTheme="majorBidi" w:cstheme="majorBidi"/>
          <w:i/>
          <w:iCs/>
          <w:spacing w:val="-4"/>
          <w:szCs w:val="24"/>
          <w:lang w:val="fr-FR"/>
        </w:rPr>
        <w:t>Tanzania</w:t>
      </w:r>
      <w:proofErr w:type="spellEnd"/>
      <w:r w:rsidRPr="00165024">
        <w:rPr>
          <w:rFonts w:asciiTheme="majorBidi" w:hAnsiTheme="majorBidi" w:cstheme="majorBidi"/>
          <w:spacing w:val="-4"/>
          <w:szCs w:val="24"/>
          <w:lang w:val="fr-FR"/>
        </w:rPr>
        <w:t xml:space="preserve">, </w:t>
      </w:r>
      <w:hyperlink r:id="rId4" w:history="1">
        <w:r w:rsidRPr="00165024">
          <w:rPr>
            <w:rStyle w:val="Hyperlink"/>
            <w:rFonts w:asciiTheme="majorBidi" w:hAnsiTheme="majorBidi" w:cstheme="majorBidi"/>
            <w:spacing w:val="-4"/>
            <w:szCs w:val="18"/>
            <w:u w:val="none"/>
            <w:lang w:val="fr-FR"/>
          </w:rPr>
          <w:t>www.itu.int/md/D06-SG01-C-0284/en</w:t>
        </w:r>
      </w:hyperlink>
    </w:p>
  </w:footnote>
  <w:footnote w:id="12">
    <w:p w:rsidR="001A2A5A" w:rsidRPr="00FA181E" w:rsidRDefault="001A2A5A" w:rsidP="00FA181E">
      <w:pPr>
        <w:pStyle w:val="FootnoteText"/>
        <w:rPr>
          <w:rFonts w:eastAsia="SimHei" w:cs="Simplified Arabic"/>
          <w:bCs/>
          <w:szCs w:val="24"/>
          <w:lang w:val="fr-FR" w:eastAsia="zh-CN"/>
        </w:rPr>
      </w:pPr>
      <w:r>
        <w:rPr>
          <w:rStyle w:val="FootnoteReference"/>
        </w:rPr>
        <w:footnoteRef/>
      </w:r>
      <w:r w:rsidRPr="00FA181E">
        <w:rPr>
          <w:lang w:val="fr-FR"/>
        </w:rPr>
        <w:t xml:space="preserve"> </w:t>
      </w:r>
      <w:r w:rsidRPr="00FA181E">
        <w:rPr>
          <w:lang w:val="fr-FR"/>
        </w:rPr>
        <w:tab/>
      </w:r>
      <w:r w:rsidRPr="00FA181E">
        <w:rPr>
          <w:rFonts w:eastAsia="SimHei" w:cs="Simplified Arabic"/>
          <w:bCs/>
          <w:szCs w:val="24"/>
          <w:lang w:val="fr-FR" w:eastAsia="zh-CN"/>
        </w:rPr>
        <w:t xml:space="preserve">Bureau des statistiques du travail des </w:t>
      </w:r>
      <w:r w:rsidRPr="00E268E3">
        <w:rPr>
          <w:rFonts w:eastAsia="SimHei" w:cs="Simplified Arabic"/>
          <w:bCs/>
          <w:szCs w:val="24"/>
          <w:lang w:val="fr-CH" w:eastAsia="zh-CN"/>
        </w:rPr>
        <w:t>Etats-</w:t>
      </w:r>
      <w:r w:rsidRPr="00FA181E">
        <w:rPr>
          <w:rFonts w:eastAsia="SimHei" w:cs="Simplified Arabic"/>
          <w:bCs/>
          <w:szCs w:val="24"/>
          <w:lang w:val="fr-FR" w:eastAsia="zh-CN"/>
        </w:rPr>
        <w:t>Unis (</w:t>
      </w:r>
      <w:hyperlink r:id="rId5" w:history="1">
        <w:r w:rsidRPr="001C0AAC">
          <w:rPr>
            <w:rStyle w:val="Hyperlink"/>
            <w:rFonts w:eastAsia="SimHei" w:cs="Simplified Arabic"/>
            <w:bCs/>
            <w:u w:val="none"/>
            <w:lang w:val="fr-FR" w:eastAsia="zh-CN"/>
          </w:rPr>
          <w:t>www.bls.gov/</w:t>
        </w:r>
      </w:hyperlink>
      <w:r w:rsidRPr="00FA181E">
        <w:rPr>
          <w:rFonts w:eastAsia="SimHei" w:cs="Simplified Arabic"/>
          <w:bCs/>
          <w:lang w:val="fr-FR" w:eastAsia="zh-CN"/>
        </w:rPr>
        <w:t>).</w:t>
      </w:r>
    </w:p>
  </w:footnote>
  <w:footnote w:id="13">
    <w:p w:rsidR="001A2A5A" w:rsidRPr="00FA181E" w:rsidRDefault="001A2A5A" w:rsidP="00FA181E">
      <w:pPr>
        <w:pStyle w:val="FootnoteText"/>
        <w:rPr>
          <w:rFonts w:eastAsia="SimHei" w:cs="Simplified Arabic"/>
          <w:bCs/>
          <w:szCs w:val="24"/>
          <w:lang w:val="fr-FR" w:eastAsia="zh-CN"/>
        </w:rPr>
      </w:pPr>
      <w:r w:rsidRPr="00FA181E">
        <w:rPr>
          <w:rFonts w:eastAsia="SimHei" w:cs="Simplified Arabic"/>
          <w:bCs/>
          <w:szCs w:val="24"/>
          <w:lang w:val="fr-FR" w:eastAsia="zh-CN"/>
        </w:rPr>
        <w:footnoteRef/>
      </w:r>
      <w:r w:rsidRPr="00FA181E">
        <w:rPr>
          <w:rFonts w:eastAsia="SimHei" w:cs="Simplified Arabic"/>
          <w:bCs/>
          <w:szCs w:val="24"/>
          <w:lang w:val="fr-FR" w:eastAsia="zh-CN"/>
        </w:rPr>
        <w:tab/>
        <w:t>Voir la note de bas de page 4.</w:t>
      </w:r>
    </w:p>
  </w:footnote>
  <w:footnote w:id="14">
    <w:p w:rsidR="001A2A5A" w:rsidRPr="00FA181E" w:rsidRDefault="001A2A5A" w:rsidP="00335207">
      <w:pPr>
        <w:pStyle w:val="FootnoteText"/>
        <w:rPr>
          <w:rFonts w:eastAsia="SimHei" w:cs="Simplified Arabic"/>
          <w:bCs/>
          <w:szCs w:val="24"/>
          <w:lang w:val="fr-FR" w:eastAsia="zh-CN"/>
        </w:rPr>
      </w:pPr>
      <w:r w:rsidRPr="00FA181E">
        <w:rPr>
          <w:rFonts w:eastAsia="SimHei" w:cs="Simplified Arabic"/>
          <w:bCs/>
          <w:szCs w:val="24"/>
          <w:lang w:val="fr-FR" w:eastAsia="zh-CN"/>
        </w:rPr>
        <w:footnoteRef/>
      </w:r>
      <w:r w:rsidRPr="00FA181E">
        <w:rPr>
          <w:rFonts w:eastAsia="SimHei" w:cs="Simplified Arabic"/>
          <w:bCs/>
          <w:szCs w:val="24"/>
          <w:lang w:val="fr-FR" w:eastAsia="zh-CN"/>
        </w:rPr>
        <w:tab/>
        <w:t xml:space="preserve">UIT, Bureau régional pour l'Afrique </w:t>
      </w:r>
      <w:r>
        <w:rPr>
          <w:rFonts w:eastAsia="SimHei"/>
          <w:bCs/>
          <w:szCs w:val="24"/>
          <w:lang w:val="fr-FR" w:eastAsia="zh-CN"/>
        </w:rPr>
        <w:t>–</w:t>
      </w:r>
      <w:r w:rsidRPr="00FA181E">
        <w:rPr>
          <w:rFonts w:eastAsia="SimHei" w:cs="Simplified Arabic"/>
          <w:bCs/>
          <w:szCs w:val="24"/>
          <w:lang w:val="fr-FR" w:eastAsia="zh-CN"/>
        </w:rPr>
        <w:t xml:space="preserve"> Exposé présenté à la réunion de la Commission d'études 1, Genève, 7-11 septembre 2009, Document 1/290, Aperçu sur le projet pilote e-emploi au Congo Brazzaville, </w:t>
      </w:r>
      <w:r w:rsidRPr="00FA181E">
        <w:rPr>
          <w:rFonts w:eastAsia="SimHei" w:cs="Simplified Arabic"/>
          <w:bCs/>
          <w:lang w:val="fr-FR" w:eastAsia="zh-CN"/>
        </w:rPr>
        <w:t>web.itu.int/md/D06-SG01-C-0290/</w:t>
      </w:r>
      <w:proofErr w:type="spellStart"/>
      <w:r w:rsidRPr="00FA181E">
        <w:rPr>
          <w:rFonts w:eastAsia="SimHei" w:cs="Simplified Arabic"/>
          <w:bCs/>
          <w:lang w:val="fr-FR" w:eastAsia="zh-CN"/>
        </w:rPr>
        <w:t>fr</w:t>
      </w:r>
      <w:proofErr w:type="spellEnd"/>
    </w:p>
  </w:footnote>
  <w:footnote w:id="15">
    <w:p w:rsidR="001A2A5A" w:rsidRPr="00B1373C" w:rsidRDefault="001A2A5A" w:rsidP="00FA181E">
      <w:pPr>
        <w:tabs>
          <w:tab w:val="left" w:pos="284"/>
        </w:tabs>
        <w:spacing w:before="80"/>
        <w:ind w:left="284" w:hanging="284"/>
        <w:rPr>
          <w:rStyle w:val="FootnoteTextChar"/>
          <w:szCs w:val="18"/>
          <w:lang w:val="fr-FR"/>
        </w:rPr>
      </w:pPr>
      <w:r w:rsidRPr="002B31F7">
        <w:rPr>
          <w:rStyle w:val="FootnoteReference"/>
          <w:szCs w:val="18"/>
        </w:rPr>
        <w:footnoteRef/>
      </w:r>
      <w:r w:rsidRPr="00FA181E">
        <w:rPr>
          <w:rStyle w:val="FootnoteReference"/>
          <w:sz w:val="24"/>
          <w:szCs w:val="24"/>
          <w:lang w:val="fr-FR"/>
        </w:rPr>
        <w:tab/>
      </w:r>
      <w:r w:rsidRPr="00B1373C">
        <w:rPr>
          <w:sz w:val="18"/>
          <w:szCs w:val="18"/>
          <w:lang w:val="fr-FR"/>
        </w:rPr>
        <w:t xml:space="preserve">Bureau international du travail, </w:t>
      </w:r>
      <w:proofErr w:type="spellStart"/>
      <w:r w:rsidRPr="00EF6E12">
        <w:rPr>
          <w:i/>
          <w:iCs/>
          <w:sz w:val="18"/>
          <w:szCs w:val="18"/>
          <w:lang w:val="fr-FR"/>
        </w:rPr>
        <w:t>Confronting</w:t>
      </w:r>
      <w:proofErr w:type="spellEnd"/>
      <w:r w:rsidRPr="00EF6E12">
        <w:rPr>
          <w:i/>
          <w:iCs/>
          <w:sz w:val="18"/>
          <w:szCs w:val="18"/>
          <w:lang w:val="fr-FR"/>
        </w:rPr>
        <w:t xml:space="preserve"> the Social and Labour Challenges of Privatisation in Argentina: Multinational </w:t>
      </w:r>
      <w:proofErr w:type="spellStart"/>
      <w:r w:rsidRPr="00EF6E12">
        <w:rPr>
          <w:i/>
          <w:iCs/>
          <w:sz w:val="18"/>
          <w:szCs w:val="18"/>
          <w:lang w:val="fr-FR"/>
        </w:rPr>
        <w:t>Enterprises</w:t>
      </w:r>
      <w:proofErr w:type="spellEnd"/>
      <w:r w:rsidRPr="00EF6E12">
        <w:rPr>
          <w:i/>
          <w:iCs/>
          <w:sz w:val="18"/>
          <w:szCs w:val="18"/>
          <w:lang w:val="fr-FR"/>
        </w:rPr>
        <w:t xml:space="preserve"> in </w:t>
      </w:r>
      <w:proofErr w:type="spellStart"/>
      <w:r w:rsidRPr="00EF6E12">
        <w:rPr>
          <w:i/>
          <w:iCs/>
          <w:sz w:val="18"/>
          <w:szCs w:val="18"/>
          <w:lang w:val="fr-FR"/>
        </w:rPr>
        <w:t>Telecommunications</w:t>
      </w:r>
      <w:proofErr w:type="spellEnd"/>
      <w:r w:rsidRPr="00EF6E12">
        <w:rPr>
          <w:i/>
          <w:iCs/>
          <w:sz w:val="18"/>
          <w:szCs w:val="18"/>
          <w:lang w:val="fr-FR"/>
        </w:rPr>
        <w:t xml:space="preserve"> in the 1990s</w:t>
      </w:r>
      <w:r w:rsidRPr="00B1373C">
        <w:rPr>
          <w:sz w:val="18"/>
          <w:szCs w:val="18"/>
          <w:lang w:val="fr-FR"/>
        </w:rPr>
        <w:t>, Document de travail N° 90, Genève.</w:t>
      </w:r>
    </w:p>
  </w:footnote>
  <w:footnote w:id="16">
    <w:p w:rsidR="001A2A5A" w:rsidRPr="00FA181E" w:rsidRDefault="001A2A5A" w:rsidP="00FA181E">
      <w:pPr>
        <w:pStyle w:val="FootnoteText"/>
        <w:rPr>
          <w:szCs w:val="24"/>
          <w:lang w:val="fr-FR"/>
        </w:rPr>
      </w:pPr>
      <w:r w:rsidRPr="002B31F7">
        <w:rPr>
          <w:rStyle w:val="FootnoteReference"/>
          <w:szCs w:val="18"/>
        </w:rPr>
        <w:footnoteRef/>
      </w:r>
      <w:r w:rsidRPr="00E268E3">
        <w:rPr>
          <w:rStyle w:val="FootnoteReference"/>
          <w:sz w:val="24"/>
          <w:szCs w:val="24"/>
          <w:lang w:val="fr-CH"/>
        </w:rPr>
        <w:t xml:space="preserve"> </w:t>
      </w:r>
      <w:r w:rsidRPr="00E268E3">
        <w:rPr>
          <w:rStyle w:val="FootnoteReference"/>
          <w:sz w:val="24"/>
          <w:szCs w:val="24"/>
          <w:lang w:val="fr-CH"/>
        </w:rPr>
        <w:tab/>
      </w:r>
      <w:r w:rsidRPr="00FA181E">
        <w:rPr>
          <w:rFonts w:eastAsia="SimHei" w:cs="Simplified Arabic"/>
          <w:bCs/>
          <w:szCs w:val="24"/>
          <w:lang w:val="fr-FR" w:eastAsia="zh-CN"/>
        </w:rPr>
        <w:t xml:space="preserve">OCDE: </w:t>
      </w:r>
      <w:r w:rsidRPr="00EF6E12">
        <w:rPr>
          <w:rFonts w:eastAsia="SimHei" w:cs="Simplified Arabic"/>
          <w:bCs/>
          <w:szCs w:val="24"/>
          <w:lang w:val="fr-FR" w:eastAsia="zh-CN"/>
        </w:rPr>
        <w:t>Perspectives des communications,</w:t>
      </w:r>
      <w:r w:rsidRPr="00FA181E">
        <w:rPr>
          <w:rFonts w:eastAsia="SimHei" w:cs="Simplified Arabic"/>
          <w:bCs/>
          <w:szCs w:val="24"/>
          <w:lang w:val="fr-FR" w:eastAsia="zh-CN"/>
        </w:rPr>
        <w:t xml:space="preserve"> édition de 2001 (Paris), p. 238.</w:t>
      </w:r>
    </w:p>
  </w:footnote>
  <w:footnote w:id="17">
    <w:p w:rsidR="001A2A5A" w:rsidRPr="00165024" w:rsidRDefault="001A2A5A" w:rsidP="001C0AAC">
      <w:pPr>
        <w:pStyle w:val="FootnoteText"/>
        <w:rPr>
          <w:spacing w:val="-4"/>
          <w:szCs w:val="18"/>
        </w:rPr>
      </w:pPr>
      <w:r w:rsidRPr="0077211D">
        <w:rPr>
          <w:rStyle w:val="FootnoteReference"/>
          <w:szCs w:val="18"/>
        </w:rPr>
        <w:footnoteRef/>
      </w:r>
      <w:r w:rsidRPr="001C0AAC">
        <w:rPr>
          <w:szCs w:val="24"/>
        </w:rPr>
        <w:tab/>
      </w:r>
      <w:proofErr w:type="spellStart"/>
      <w:r w:rsidRPr="00165024">
        <w:rPr>
          <w:spacing w:val="-4"/>
          <w:szCs w:val="24"/>
        </w:rPr>
        <w:t>Latniak</w:t>
      </w:r>
      <w:proofErr w:type="spellEnd"/>
      <w:r w:rsidRPr="00165024">
        <w:rPr>
          <w:spacing w:val="-4"/>
          <w:szCs w:val="24"/>
        </w:rPr>
        <w:t xml:space="preserve">, </w:t>
      </w:r>
      <w:r w:rsidRPr="00165024">
        <w:rPr>
          <w:rFonts w:eastAsia="SimHei" w:cs="Simplified Arabic"/>
          <w:spacing w:val="-4"/>
          <w:szCs w:val="24"/>
          <w:lang w:eastAsia="zh-CN"/>
        </w:rPr>
        <w:t xml:space="preserve">Erich, et Schmidt </w:t>
      </w:r>
      <w:proofErr w:type="spellStart"/>
      <w:r w:rsidRPr="00165024">
        <w:rPr>
          <w:rFonts w:eastAsia="SimHei" w:cs="Simplified Arabic"/>
          <w:spacing w:val="-4"/>
          <w:szCs w:val="24"/>
          <w:lang w:eastAsia="zh-CN"/>
        </w:rPr>
        <w:t>Dilcher</w:t>
      </w:r>
      <w:proofErr w:type="spellEnd"/>
      <w:r w:rsidRPr="00165024">
        <w:rPr>
          <w:rFonts w:eastAsia="SimHei" w:cs="Simplified Arabic"/>
          <w:spacing w:val="-4"/>
          <w:szCs w:val="24"/>
          <w:lang w:eastAsia="zh-CN"/>
        </w:rPr>
        <w:t xml:space="preserve">, </w:t>
      </w:r>
      <w:proofErr w:type="spellStart"/>
      <w:r w:rsidRPr="00165024">
        <w:rPr>
          <w:rFonts w:eastAsia="SimHei" w:cs="Simplified Arabic"/>
          <w:spacing w:val="-4"/>
          <w:szCs w:val="24"/>
          <w:lang w:eastAsia="zh-CN"/>
        </w:rPr>
        <w:t>Jürgen</w:t>
      </w:r>
      <w:proofErr w:type="spellEnd"/>
      <w:r w:rsidRPr="00165024">
        <w:rPr>
          <w:rFonts w:eastAsia="SimHei" w:cs="Simplified Arabic"/>
          <w:spacing w:val="-4"/>
          <w:szCs w:val="24"/>
          <w:lang w:eastAsia="zh-CN"/>
        </w:rPr>
        <w:t xml:space="preserve">, </w:t>
      </w:r>
      <w:r w:rsidRPr="00EF6E12">
        <w:rPr>
          <w:rFonts w:eastAsia="SimHei" w:cs="Simplified Arabic"/>
          <w:i/>
          <w:iCs/>
          <w:spacing w:val="-4"/>
          <w:szCs w:val="24"/>
          <w:lang w:eastAsia="zh-CN"/>
        </w:rPr>
        <w:t xml:space="preserve">Employment and skills in growing business areas of the telecommunication </w:t>
      </w:r>
      <w:r w:rsidRPr="00EF6E12">
        <w:rPr>
          <w:rFonts w:eastAsia="SimHei" w:cs="Simplified Arabic"/>
          <w:i/>
          <w:iCs/>
          <w:spacing w:val="-4"/>
          <w:szCs w:val="24"/>
          <w:lang w:eastAsia="zh-CN"/>
        </w:rPr>
        <w:br/>
        <w:t>service sector</w:t>
      </w:r>
      <w:r w:rsidRPr="00165024">
        <w:rPr>
          <w:rFonts w:eastAsia="SimHei" w:cs="Simplified Arabic"/>
          <w:spacing w:val="-4"/>
          <w:szCs w:val="24"/>
          <w:lang w:eastAsia="zh-CN"/>
        </w:rPr>
        <w:t xml:space="preserve">, 2000, </w:t>
      </w:r>
      <w:hyperlink r:id="rId6" w:history="1">
        <w:r w:rsidRPr="00165024">
          <w:rPr>
            <w:rStyle w:val="Hyperlink"/>
            <w:rFonts w:eastAsia="SimHei" w:cs="Simplified Arabic"/>
            <w:spacing w:val="-4"/>
            <w:szCs w:val="18"/>
            <w:u w:val="none"/>
            <w:lang w:eastAsia="zh-CN"/>
          </w:rPr>
          <w:t>www.unionnetwork.org/unitelecom.nsf/7bc3a7f8037b9be5c12568f90032d10f/a7bcfdb71bf0bc29c</w:t>
        </w:r>
        <w:r w:rsidRPr="00165024">
          <w:rPr>
            <w:rStyle w:val="Hyperlink"/>
            <w:rFonts w:eastAsia="SimHei" w:cs="Simplified Arabic"/>
            <w:spacing w:val="-4"/>
            <w:szCs w:val="18"/>
            <w:u w:val="none"/>
            <w:lang w:eastAsia="zh-CN"/>
          </w:rPr>
          <w:br/>
          <w:t>125692100536529?OpenDocument</w:t>
        </w:r>
      </w:hyperlink>
    </w:p>
  </w:footnote>
  <w:footnote w:id="18">
    <w:p w:rsidR="001A2A5A" w:rsidRPr="00CD4E5E" w:rsidRDefault="001A2A5A" w:rsidP="00CD4E5E">
      <w:pPr>
        <w:pStyle w:val="FootnoteText"/>
        <w:rPr>
          <w:rFonts w:asciiTheme="majorBidi" w:hAnsiTheme="majorBidi" w:cstheme="majorBidi"/>
          <w:szCs w:val="24"/>
          <w:lang w:val="fr-FR"/>
        </w:rPr>
      </w:pPr>
      <w:r w:rsidRPr="00101F8C">
        <w:rPr>
          <w:rStyle w:val="FootnoteReference"/>
          <w:rFonts w:asciiTheme="majorBidi" w:hAnsiTheme="majorBidi" w:cstheme="majorBidi"/>
          <w:szCs w:val="18"/>
        </w:rPr>
        <w:footnoteRef/>
      </w:r>
      <w:r w:rsidRPr="00CD4E5E">
        <w:rPr>
          <w:rFonts w:asciiTheme="majorBidi" w:hAnsiTheme="majorBidi" w:cstheme="majorBidi"/>
          <w:szCs w:val="18"/>
          <w:lang w:val="fr-FR"/>
        </w:rPr>
        <w:tab/>
      </w:r>
      <w:r w:rsidRPr="00CD4E5E">
        <w:rPr>
          <w:rFonts w:asciiTheme="majorBidi" w:hAnsiTheme="majorBidi" w:cstheme="majorBidi"/>
          <w:szCs w:val="24"/>
          <w:lang w:val="fr-FR"/>
        </w:rPr>
        <w:t>Voir la note de bas de page 16.</w:t>
      </w:r>
    </w:p>
  </w:footnote>
  <w:footnote w:id="19">
    <w:p w:rsidR="001A2A5A" w:rsidRPr="000E4043" w:rsidRDefault="001A2A5A" w:rsidP="00165024">
      <w:pPr>
        <w:pStyle w:val="FootnoteText"/>
        <w:rPr>
          <w:rFonts w:asciiTheme="majorBidi" w:hAnsiTheme="majorBidi" w:cstheme="majorBidi"/>
          <w:szCs w:val="18"/>
          <w:lang w:val="fr-FR"/>
        </w:rPr>
      </w:pPr>
      <w:r w:rsidRPr="00101F8C">
        <w:rPr>
          <w:rStyle w:val="FootnoteReference"/>
          <w:rFonts w:asciiTheme="majorBidi" w:hAnsiTheme="majorBidi" w:cstheme="majorBidi"/>
          <w:szCs w:val="18"/>
        </w:rPr>
        <w:footnoteRef/>
      </w:r>
      <w:r w:rsidRPr="000A2548">
        <w:rPr>
          <w:rFonts w:asciiTheme="majorBidi" w:hAnsiTheme="majorBidi" w:cstheme="majorBidi"/>
          <w:szCs w:val="24"/>
          <w:lang w:val="fr-FR"/>
        </w:rPr>
        <w:tab/>
        <w:t xml:space="preserve">Commissions des communautés européennes, </w:t>
      </w:r>
      <w:r w:rsidRPr="003F5F9F">
        <w:rPr>
          <w:rFonts w:asciiTheme="majorBidi" w:hAnsiTheme="majorBidi" w:cstheme="majorBidi"/>
          <w:szCs w:val="24"/>
          <w:lang w:val="fr-FR"/>
        </w:rPr>
        <w:t>Des compétences nouvelles pour des emplois nouveaux – Anticiper et faire coïncider les compétences requises et les besoins du marché du travail</w:t>
      </w:r>
      <w:r w:rsidRPr="000E4043">
        <w:rPr>
          <w:rFonts w:asciiTheme="majorBidi" w:hAnsiTheme="majorBidi" w:cstheme="majorBidi"/>
          <w:szCs w:val="24"/>
          <w:lang w:val="fr-FR"/>
        </w:rPr>
        <w:t xml:space="preserve">, décembre 2008, </w:t>
      </w:r>
      <w:hyperlink r:id="rId7" w:history="1">
        <w:r w:rsidRPr="000E4043">
          <w:rPr>
            <w:rStyle w:val="Hyperlink"/>
            <w:rFonts w:asciiTheme="majorBidi" w:eastAsia="SimSun" w:hAnsiTheme="majorBidi" w:cstheme="majorBidi"/>
            <w:szCs w:val="18"/>
            <w:u w:val="none"/>
            <w:lang w:val="fr-CH"/>
          </w:rPr>
          <w:t>www.eurlex.europa.eu/LexUriServ/LexUriServ.do?uri=COM:2008:0868:FIN:FR:PDF</w:t>
        </w:r>
      </w:hyperlink>
    </w:p>
  </w:footnote>
  <w:footnote w:id="20">
    <w:p w:rsidR="001A2A5A" w:rsidRPr="006A4593" w:rsidRDefault="001A2A5A" w:rsidP="005E0020">
      <w:pPr>
        <w:pStyle w:val="FootnoteText"/>
        <w:rPr>
          <w:rFonts w:asciiTheme="majorBidi" w:hAnsiTheme="majorBidi" w:cstheme="majorBidi"/>
          <w:szCs w:val="18"/>
          <w:lang w:val="fr-FR"/>
        </w:rPr>
      </w:pPr>
      <w:r w:rsidRPr="000E4043">
        <w:rPr>
          <w:rStyle w:val="FootnoteReference"/>
          <w:rFonts w:asciiTheme="majorBidi" w:hAnsiTheme="majorBidi" w:cstheme="majorBidi"/>
          <w:szCs w:val="18"/>
        </w:rPr>
        <w:footnoteRef/>
      </w:r>
      <w:r w:rsidRPr="000E4043">
        <w:rPr>
          <w:rFonts w:asciiTheme="majorBidi" w:hAnsiTheme="majorBidi" w:cstheme="majorBidi"/>
          <w:szCs w:val="24"/>
          <w:lang w:val="fr-FR"/>
        </w:rPr>
        <w:tab/>
      </w:r>
      <w:r w:rsidRPr="000A2548">
        <w:rPr>
          <w:rFonts w:asciiTheme="majorBidi" w:hAnsiTheme="majorBidi" w:cstheme="majorBidi"/>
          <w:szCs w:val="24"/>
          <w:lang w:val="fr-FR"/>
        </w:rPr>
        <w:t xml:space="preserve">Commission européenne, Plan d'action européen pour la </w:t>
      </w:r>
      <w:r w:rsidRPr="006A4593">
        <w:rPr>
          <w:rFonts w:asciiTheme="majorBidi" w:hAnsiTheme="majorBidi" w:cstheme="majorBidi"/>
          <w:szCs w:val="24"/>
          <w:lang w:val="fr-FR"/>
        </w:rPr>
        <w:t xml:space="preserve">mobilité de l'emploi (2007-2010), disponible à l'adresse: </w:t>
      </w:r>
      <w:r w:rsidRPr="006A4593">
        <w:rPr>
          <w:rStyle w:val="Hyperlink"/>
          <w:rFonts w:asciiTheme="majorBidi" w:hAnsiTheme="majorBidi" w:cstheme="majorBidi"/>
          <w:szCs w:val="18"/>
          <w:u w:val="none"/>
          <w:lang w:val="fr-FR"/>
        </w:rPr>
        <w:t>www.ec.europa.eu/social/main.jsp?catId=540&amp;langId=fr</w:t>
      </w:r>
    </w:p>
  </w:footnote>
  <w:footnote w:id="21">
    <w:p w:rsidR="001A2A5A" w:rsidRPr="006A4593" w:rsidRDefault="001A2A5A" w:rsidP="005E0020">
      <w:pPr>
        <w:pStyle w:val="FootnoteText"/>
        <w:rPr>
          <w:rFonts w:asciiTheme="majorBidi" w:hAnsiTheme="majorBidi" w:cstheme="majorBidi"/>
          <w:szCs w:val="18"/>
          <w:lang w:val="fr-FR"/>
        </w:rPr>
      </w:pPr>
      <w:r w:rsidRPr="002D23A7">
        <w:rPr>
          <w:rStyle w:val="FootnoteReference"/>
          <w:rFonts w:asciiTheme="majorBidi" w:hAnsiTheme="majorBidi" w:cstheme="majorBidi"/>
          <w:szCs w:val="18"/>
        </w:rPr>
        <w:footnoteRef/>
      </w:r>
      <w:r w:rsidRPr="000A2548">
        <w:rPr>
          <w:rFonts w:asciiTheme="majorBidi" w:hAnsiTheme="majorBidi" w:cstheme="majorBidi"/>
          <w:szCs w:val="24"/>
          <w:lang w:val="fr-FR"/>
        </w:rPr>
        <w:t xml:space="preserve"> Commission européenne, Cadre stratégique pour la coopération européenne dans le domaine de l'éducation et de la formation ("Education et formation 2020"), mai 2009, adopté par le Conseil, </w:t>
      </w:r>
      <w:r w:rsidRPr="006A4593">
        <w:rPr>
          <w:rStyle w:val="Hyperlink"/>
          <w:rFonts w:asciiTheme="majorBidi" w:hAnsiTheme="majorBidi" w:cstheme="majorBidi"/>
          <w:szCs w:val="18"/>
          <w:u w:val="none"/>
          <w:lang w:val="fr-FR"/>
        </w:rPr>
        <w:t>www.ec.europa.eu/education/lifelong-learning-policy/doc28_fr.htm</w:t>
      </w:r>
    </w:p>
  </w:footnote>
  <w:footnote w:id="22">
    <w:p w:rsidR="001A2A5A" w:rsidRPr="006A4593" w:rsidRDefault="001A2A5A" w:rsidP="000A2548">
      <w:pPr>
        <w:pStyle w:val="FootnoteText"/>
        <w:rPr>
          <w:rFonts w:asciiTheme="majorBidi" w:hAnsiTheme="majorBidi" w:cstheme="majorBidi"/>
          <w:szCs w:val="18"/>
          <w:lang w:val="fr-FR"/>
        </w:rPr>
      </w:pPr>
      <w:r w:rsidRPr="002D23A7">
        <w:rPr>
          <w:rStyle w:val="FootnoteReference"/>
          <w:rFonts w:asciiTheme="majorBidi" w:hAnsiTheme="majorBidi" w:cstheme="majorBidi"/>
          <w:szCs w:val="18"/>
        </w:rPr>
        <w:footnoteRef/>
      </w:r>
      <w:r w:rsidRPr="000A2548">
        <w:rPr>
          <w:rFonts w:asciiTheme="majorBidi" w:hAnsiTheme="majorBidi" w:cstheme="majorBidi"/>
          <w:szCs w:val="24"/>
          <w:lang w:val="fr-FR"/>
        </w:rPr>
        <w:t xml:space="preserve"> Contribution présentée par la Chine à la réunion de la Commission d'études 1, Genève, 7</w:t>
      </w:r>
      <w:r w:rsidRPr="000A2548">
        <w:rPr>
          <w:rFonts w:asciiTheme="majorBidi" w:hAnsiTheme="majorBidi" w:cstheme="majorBidi"/>
          <w:szCs w:val="24"/>
          <w:lang w:val="fr-FR"/>
        </w:rPr>
        <w:noBreakHyphen/>
        <w:t xml:space="preserve">11 septembre 2009, Document 1/278, </w:t>
      </w:r>
      <w:r w:rsidRPr="000A2548">
        <w:rPr>
          <w:rFonts w:asciiTheme="majorBidi" w:hAnsiTheme="majorBidi" w:cstheme="majorBidi"/>
          <w:i/>
          <w:iCs/>
          <w:szCs w:val="24"/>
          <w:lang w:val="fr-FR"/>
        </w:rPr>
        <w:t xml:space="preserve">ICT </w:t>
      </w:r>
      <w:proofErr w:type="spellStart"/>
      <w:r w:rsidR="003F5F9F">
        <w:rPr>
          <w:rFonts w:asciiTheme="majorBidi" w:hAnsiTheme="majorBidi" w:cstheme="majorBidi"/>
          <w:i/>
          <w:szCs w:val="24"/>
          <w:lang w:val="fr-FR"/>
        </w:rPr>
        <w:t>industry</w:t>
      </w:r>
      <w:proofErr w:type="spellEnd"/>
      <w:r w:rsidR="003F5F9F">
        <w:rPr>
          <w:rFonts w:asciiTheme="majorBidi" w:hAnsiTheme="majorBidi" w:cstheme="majorBidi"/>
          <w:i/>
          <w:szCs w:val="24"/>
          <w:lang w:val="fr-FR"/>
        </w:rPr>
        <w:t xml:space="preserve"> </w:t>
      </w:r>
      <w:proofErr w:type="spellStart"/>
      <w:r w:rsidR="003F5F9F">
        <w:rPr>
          <w:rFonts w:asciiTheme="majorBidi" w:hAnsiTheme="majorBidi" w:cstheme="majorBidi"/>
          <w:i/>
          <w:szCs w:val="24"/>
          <w:lang w:val="fr-FR"/>
        </w:rPr>
        <w:t>d</w:t>
      </w:r>
      <w:r w:rsidRPr="000A2548">
        <w:rPr>
          <w:rFonts w:asciiTheme="majorBidi" w:hAnsiTheme="majorBidi" w:cstheme="majorBidi"/>
          <w:i/>
          <w:szCs w:val="24"/>
          <w:lang w:val="fr-FR"/>
        </w:rPr>
        <w:t>evelopment</w:t>
      </w:r>
      <w:proofErr w:type="spellEnd"/>
      <w:r w:rsidRPr="000A2548">
        <w:rPr>
          <w:rFonts w:asciiTheme="majorBidi" w:hAnsiTheme="majorBidi" w:cstheme="majorBidi"/>
          <w:i/>
          <w:szCs w:val="24"/>
          <w:lang w:val="fr-FR"/>
        </w:rPr>
        <w:t xml:space="preserve"> </w:t>
      </w:r>
      <w:proofErr w:type="spellStart"/>
      <w:r w:rsidRPr="000A2548">
        <w:rPr>
          <w:rFonts w:asciiTheme="majorBidi" w:hAnsiTheme="majorBidi" w:cstheme="majorBidi"/>
          <w:i/>
          <w:szCs w:val="24"/>
          <w:lang w:val="fr-FR"/>
        </w:rPr>
        <w:t>accelerates</w:t>
      </w:r>
      <w:proofErr w:type="spellEnd"/>
      <w:r w:rsidRPr="000A2548">
        <w:rPr>
          <w:rFonts w:asciiTheme="majorBidi" w:hAnsiTheme="majorBidi" w:cstheme="majorBidi"/>
          <w:i/>
          <w:szCs w:val="24"/>
          <w:lang w:val="fr-FR"/>
        </w:rPr>
        <w:t xml:space="preserve"> transformation of social </w:t>
      </w:r>
      <w:proofErr w:type="spellStart"/>
      <w:r w:rsidRPr="000A2548">
        <w:rPr>
          <w:rFonts w:asciiTheme="majorBidi" w:hAnsiTheme="majorBidi" w:cstheme="majorBidi"/>
          <w:i/>
          <w:szCs w:val="24"/>
          <w:lang w:val="fr-FR"/>
        </w:rPr>
        <w:t>employment</w:t>
      </w:r>
      <w:proofErr w:type="spellEnd"/>
      <w:r w:rsidRPr="000A2548">
        <w:rPr>
          <w:rFonts w:asciiTheme="majorBidi" w:hAnsiTheme="majorBidi" w:cstheme="majorBidi"/>
          <w:i/>
          <w:szCs w:val="24"/>
          <w:lang w:val="fr-FR"/>
        </w:rPr>
        <w:t xml:space="preserve"> in China</w:t>
      </w:r>
      <w:r w:rsidRPr="006A4593">
        <w:rPr>
          <w:rFonts w:asciiTheme="majorBidi" w:hAnsiTheme="majorBidi" w:cstheme="majorBidi"/>
          <w:szCs w:val="24"/>
          <w:lang w:val="fr-FR"/>
        </w:rPr>
        <w:t xml:space="preserve">, </w:t>
      </w:r>
      <w:hyperlink r:id="rId8" w:history="1">
        <w:r w:rsidRPr="006A4593">
          <w:rPr>
            <w:rStyle w:val="Hyperlink"/>
            <w:rFonts w:asciiTheme="majorBidi" w:hAnsiTheme="majorBidi" w:cstheme="majorBidi"/>
            <w:szCs w:val="18"/>
            <w:u w:val="none"/>
            <w:lang w:val="fr-CH"/>
          </w:rPr>
          <w:t>www.itu.int/md/D06-SG01-C-0278/en</w:t>
        </w:r>
      </w:hyperlink>
    </w:p>
  </w:footnote>
  <w:footnote w:id="23">
    <w:p w:rsidR="001A2A5A" w:rsidRPr="006A4593" w:rsidRDefault="001A2A5A" w:rsidP="005E0020">
      <w:pPr>
        <w:pStyle w:val="FootnoteText"/>
        <w:rPr>
          <w:rFonts w:asciiTheme="majorBidi" w:hAnsiTheme="majorBidi" w:cstheme="majorBidi"/>
          <w:szCs w:val="18"/>
          <w:lang w:val="fr-FR"/>
        </w:rPr>
      </w:pPr>
      <w:r w:rsidRPr="002D23A7">
        <w:rPr>
          <w:rStyle w:val="FootnoteReference"/>
          <w:rFonts w:asciiTheme="majorBidi" w:hAnsiTheme="majorBidi" w:cstheme="majorBidi"/>
          <w:szCs w:val="18"/>
        </w:rPr>
        <w:footnoteRef/>
      </w:r>
      <w:r w:rsidRPr="000A2548">
        <w:rPr>
          <w:rFonts w:asciiTheme="majorBidi" w:hAnsiTheme="majorBidi" w:cstheme="majorBidi"/>
          <w:szCs w:val="24"/>
          <w:lang w:val="fr-FR"/>
        </w:rPr>
        <w:t xml:space="preserve"> Contribution présentée par le Gabon à la réunion de la Commission d'études 1, Genève, 7</w:t>
      </w:r>
      <w:r w:rsidRPr="000A2548">
        <w:rPr>
          <w:rFonts w:asciiTheme="majorBidi" w:hAnsiTheme="majorBidi" w:cstheme="majorBidi"/>
          <w:szCs w:val="24"/>
          <w:lang w:val="fr-FR"/>
        </w:rPr>
        <w:noBreakHyphen/>
        <w:t xml:space="preserve">11 septembre 2009, Document 1/262, </w:t>
      </w:r>
      <w:r w:rsidRPr="006A4593">
        <w:rPr>
          <w:rStyle w:val="Hyperlink"/>
          <w:rFonts w:asciiTheme="majorBidi" w:hAnsiTheme="majorBidi" w:cstheme="majorBidi"/>
          <w:szCs w:val="18"/>
          <w:u w:val="none"/>
          <w:lang w:val="fr-FR"/>
        </w:rPr>
        <w:t>www.web.itu.int/md/D06-SG01-C-0262/fr</w:t>
      </w:r>
    </w:p>
  </w:footnote>
  <w:footnote w:id="24">
    <w:p w:rsidR="001A2A5A" w:rsidRPr="000133E9" w:rsidRDefault="001A2A5A" w:rsidP="005E0020">
      <w:pPr>
        <w:pStyle w:val="FootnoteText"/>
        <w:rPr>
          <w:rFonts w:asciiTheme="majorBidi" w:hAnsiTheme="majorBidi" w:cstheme="majorBidi"/>
          <w:szCs w:val="18"/>
          <w:lang w:val="fr-FR"/>
        </w:rPr>
      </w:pPr>
      <w:r w:rsidRPr="002D23A7">
        <w:rPr>
          <w:rStyle w:val="FootnoteReference"/>
          <w:rFonts w:asciiTheme="majorBidi" w:hAnsiTheme="majorBidi" w:cstheme="majorBidi"/>
          <w:szCs w:val="18"/>
        </w:rPr>
        <w:footnoteRef/>
      </w:r>
      <w:r w:rsidRPr="000A2548">
        <w:rPr>
          <w:rFonts w:asciiTheme="majorBidi" w:hAnsiTheme="majorBidi" w:cstheme="majorBidi"/>
          <w:szCs w:val="24"/>
          <w:lang w:val="fr-FR"/>
        </w:rPr>
        <w:t xml:space="preserve"> </w:t>
      </w:r>
      <w:r>
        <w:rPr>
          <w:rFonts w:asciiTheme="majorBidi" w:hAnsiTheme="majorBidi" w:cstheme="majorBidi"/>
          <w:szCs w:val="24"/>
          <w:lang w:val="fr-FR"/>
        </w:rPr>
        <w:tab/>
      </w:r>
      <w:r w:rsidRPr="000A2548">
        <w:rPr>
          <w:rFonts w:asciiTheme="majorBidi" w:hAnsiTheme="majorBidi" w:cstheme="majorBidi"/>
          <w:szCs w:val="24"/>
          <w:lang w:val="fr-FR"/>
        </w:rPr>
        <w:t xml:space="preserve">Contribution présentée par France Telecom à la Réunion du Groupe du Rapporteur pour la Question 21, Le Caire, mars 2009, Document WTI09-07/021, </w:t>
      </w:r>
      <w:r w:rsidRPr="009361D1">
        <w:rPr>
          <w:rFonts w:asciiTheme="majorBidi" w:hAnsiTheme="majorBidi" w:cstheme="majorBidi"/>
          <w:szCs w:val="24"/>
          <w:lang w:val="fr-FR"/>
        </w:rPr>
        <w:t>Les NTIC, outils de création, de destruction ou de transformation de l'emploi chez les opérateurs de télécoms</w:t>
      </w:r>
      <w:r w:rsidRPr="000133E9">
        <w:rPr>
          <w:rFonts w:asciiTheme="majorBidi" w:hAnsiTheme="majorBidi" w:cstheme="majorBidi"/>
          <w:szCs w:val="18"/>
          <w:lang w:val="fr-FR"/>
        </w:rPr>
        <w:t xml:space="preserve">, </w:t>
      </w:r>
      <w:r w:rsidRPr="000133E9">
        <w:rPr>
          <w:rStyle w:val="Hyperlink"/>
          <w:rFonts w:asciiTheme="majorBidi" w:hAnsiTheme="majorBidi" w:cstheme="majorBidi"/>
          <w:szCs w:val="18"/>
          <w:u w:val="none"/>
          <w:lang w:val="fr-FR"/>
        </w:rPr>
        <w:t>www.web.itu.int/md/D06-DAP2B.1.3.7-C-0021/fr</w:t>
      </w:r>
      <w:r w:rsidRPr="000133E9">
        <w:rPr>
          <w:rFonts w:asciiTheme="majorBidi" w:hAnsiTheme="majorBidi" w:cstheme="majorBidi"/>
          <w:szCs w:val="18"/>
          <w:lang w:val="fr-FR"/>
        </w:rPr>
        <w:t>.</w:t>
      </w:r>
    </w:p>
  </w:footnote>
  <w:footnote w:id="25">
    <w:p w:rsidR="001A2A5A" w:rsidRPr="001A5672" w:rsidRDefault="001A2A5A" w:rsidP="001A5672">
      <w:pPr>
        <w:pStyle w:val="FootnoteText"/>
        <w:rPr>
          <w:lang w:val="fr-FR"/>
        </w:rPr>
      </w:pPr>
      <w:r>
        <w:rPr>
          <w:rStyle w:val="FootnoteReference"/>
        </w:rPr>
        <w:footnoteRef/>
      </w:r>
      <w:r w:rsidRPr="001A5672">
        <w:rPr>
          <w:lang w:val="fr-FR"/>
        </w:rPr>
        <w:tab/>
        <w:t>Voir la note de bas de page 24.</w:t>
      </w:r>
    </w:p>
  </w:footnote>
  <w:footnote w:id="26">
    <w:p w:rsidR="001A2A5A" w:rsidRPr="00D95257" w:rsidRDefault="001A2A5A" w:rsidP="0027480F">
      <w:pPr>
        <w:pStyle w:val="FootnoteText"/>
        <w:rPr>
          <w:szCs w:val="24"/>
        </w:rPr>
      </w:pPr>
      <w:r w:rsidRPr="00624DFB">
        <w:rPr>
          <w:rStyle w:val="FootnoteReference"/>
          <w:szCs w:val="18"/>
        </w:rPr>
        <w:footnoteRef/>
      </w:r>
      <w:r w:rsidRPr="00624DFB">
        <w:rPr>
          <w:szCs w:val="18"/>
        </w:rPr>
        <w:t xml:space="preserve"> </w:t>
      </w:r>
      <w:r w:rsidRPr="00D95257">
        <w:rPr>
          <w:szCs w:val="24"/>
        </w:rPr>
        <w:tab/>
      </w:r>
      <w:proofErr w:type="spellStart"/>
      <w:r w:rsidRPr="00D95257">
        <w:rPr>
          <w:rFonts w:eastAsia="SimHei" w:cs="Simplified Arabic"/>
          <w:bCs/>
          <w:szCs w:val="24"/>
          <w:lang w:eastAsia="zh-CN"/>
        </w:rPr>
        <w:t>Bevens</w:t>
      </w:r>
      <w:proofErr w:type="spellEnd"/>
      <w:r w:rsidRPr="00D95257">
        <w:rPr>
          <w:rFonts w:eastAsia="SimHei" w:cs="Simplified Arabic"/>
          <w:bCs/>
          <w:szCs w:val="24"/>
          <w:lang w:eastAsia="zh-CN"/>
        </w:rPr>
        <w:t xml:space="preserve">, J., </w:t>
      </w:r>
      <w:r w:rsidRPr="009361D1">
        <w:rPr>
          <w:rFonts w:eastAsia="SimHei" w:cs="Simplified Arabic"/>
          <w:bCs/>
          <w:i/>
          <w:iCs/>
          <w:szCs w:val="24"/>
          <w:lang w:eastAsia="zh-CN"/>
        </w:rPr>
        <w:t>Working paper on updated employment multipliers for the US economy</w:t>
      </w:r>
      <w:r w:rsidRPr="00D95257">
        <w:rPr>
          <w:rFonts w:eastAsia="SimHei" w:cs="Simplified Arabic"/>
          <w:bCs/>
          <w:szCs w:val="24"/>
          <w:lang w:eastAsia="zh-CN"/>
        </w:rPr>
        <w:t xml:space="preserve">, </w:t>
      </w:r>
      <w:proofErr w:type="spellStart"/>
      <w:r w:rsidRPr="00D95257">
        <w:rPr>
          <w:rFonts w:eastAsia="SimHei" w:cs="Simplified Arabic"/>
          <w:bCs/>
          <w:szCs w:val="24"/>
          <w:lang w:eastAsia="zh-CN"/>
        </w:rPr>
        <w:t>août</w:t>
      </w:r>
      <w:proofErr w:type="spellEnd"/>
      <w:r w:rsidRPr="00D95257">
        <w:rPr>
          <w:rFonts w:eastAsia="SimHei" w:cs="Simplified Arabic"/>
          <w:bCs/>
          <w:szCs w:val="24"/>
          <w:lang w:eastAsia="zh-CN"/>
        </w:rPr>
        <w:t xml:space="preserve"> 2003.</w:t>
      </w:r>
    </w:p>
  </w:footnote>
  <w:footnote w:id="27">
    <w:p w:rsidR="001A2A5A" w:rsidRPr="000133E9" w:rsidRDefault="001A2A5A" w:rsidP="009361D1">
      <w:pPr>
        <w:pStyle w:val="FootnoteText"/>
        <w:rPr>
          <w:szCs w:val="18"/>
        </w:rPr>
      </w:pPr>
      <w:r w:rsidRPr="00624DFB">
        <w:rPr>
          <w:rStyle w:val="FootnoteReference"/>
          <w:szCs w:val="18"/>
        </w:rPr>
        <w:footnoteRef/>
      </w:r>
      <w:r>
        <w:rPr>
          <w:szCs w:val="24"/>
        </w:rPr>
        <w:tab/>
      </w:r>
      <w:r w:rsidRPr="00D95257">
        <w:rPr>
          <w:rFonts w:eastAsia="SimHei" w:cs="Simplified Arabic"/>
          <w:bCs/>
          <w:szCs w:val="24"/>
          <w:lang w:eastAsia="zh-CN"/>
        </w:rPr>
        <w:t xml:space="preserve">Van </w:t>
      </w:r>
      <w:proofErr w:type="spellStart"/>
      <w:r w:rsidRPr="00D95257">
        <w:rPr>
          <w:rFonts w:eastAsia="SimHei" w:cs="Simplified Arabic"/>
          <w:bCs/>
          <w:szCs w:val="24"/>
          <w:lang w:eastAsia="zh-CN"/>
        </w:rPr>
        <w:t>Gaasbeck</w:t>
      </w:r>
      <w:proofErr w:type="spellEnd"/>
      <w:r w:rsidRPr="00D95257">
        <w:rPr>
          <w:rFonts w:eastAsia="SimHei" w:cs="Simplified Arabic"/>
          <w:bCs/>
          <w:szCs w:val="24"/>
          <w:lang w:eastAsia="zh-CN"/>
        </w:rPr>
        <w:t xml:space="preserve">, Kristin, Perez, Stephen, et Sharp, Ryan, </w:t>
      </w:r>
      <w:r w:rsidRPr="009361D1">
        <w:rPr>
          <w:rFonts w:eastAsia="SimHei" w:cs="Simplified Arabic"/>
          <w:bCs/>
          <w:i/>
          <w:iCs/>
          <w:szCs w:val="24"/>
          <w:lang w:eastAsia="zh-CN"/>
        </w:rPr>
        <w:t xml:space="preserve">Economic Effects of Increased Broadband Use </w:t>
      </w:r>
      <w:r w:rsidRPr="009361D1">
        <w:rPr>
          <w:rFonts w:eastAsia="SimHei" w:cs="Simplified Arabic"/>
          <w:bCs/>
          <w:i/>
          <w:iCs/>
          <w:szCs w:val="24"/>
          <w:lang w:eastAsia="zh-CN"/>
        </w:rPr>
        <w:br/>
        <w:t>in California</w:t>
      </w:r>
      <w:r w:rsidRPr="00D95257">
        <w:rPr>
          <w:rFonts w:eastAsia="SimHei" w:cs="Simplified Arabic"/>
          <w:bCs/>
          <w:szCs w:val="24"/>
          <w:lang w:eastAsia="zh-CN"/>
        </w:rPr>
        <w:t xml:space="preserve">, (Sacramento, California: Sacramento Regional Research Institute, </w:t>
      </w:r>
      <w:proofErr w:type="spellStart"/>
      <w:r w:rsidRPr="00D95257">
        <w:rPr>
          <w:rFonts w:eastAsia="SimHei" w:cs="Simplified Arabic"/>
          <w:bCs/>
          <w:szCs w:val="24"/>
          <w:lang w:eastAsia="zh-CN"/>
        </w:rPr>
        <w:t>novembre</w:t>
      </w:r>
      <w:proofErr w:type="spellEnd"/>
      <w:r w:rsidRPr="00D95257">
        <w:rPr>
          <w:rFonts w:eastAsia="SimHei" w:cs="Simplified Arabic"/>
          <w:bCs/>
          <w:szCs w:val="24"/>
          <w:lang w:eastAsia="zh-CN"/>
        </w:rPr>
        <w:t xml:space="preserve"> 2007), </w:t>
      </w:r>
      <w:hyperlink r:id="rId9" w:history="1">
        <w:r w:rsidRPr="000133E9">
          <w:rPr>
            <w:rStyle w:val="Hyperlink"/>
            <w:rFonts w:asciiTheme="majorBidi" w:hAnsiTheme="majorBidi" w:cstheme="majorBidi"/>
            <w:szCs w:val="18"/>
            <w:u w:val="none"/>
          </w:rPr>
          <w:t>www.srri.net/AboutUs/EconEffectsBB_Research.pdf</w:t>
        </w:r>
      </w:hyperlink>
    </w:p>
  </w:footnote>
  <w:footnote w:id="28">
    <w:p w:rsidR="001A2A5A" w:rsidRPr="000133E9" w:rsidRDefault="001A2A5A" w:rsidP="0027480F">
      <w:pPr>
        <w:pStyle w:val="FootnoteText"/>
        <w:rPr>
          <w:rFonts w:eastAsia="SimHei" w:cs="Simplified Arabic"/>
          <w:bCs/>
          <w:szCs w:val="24"/>
          <w:lang w:eastAsia="zh-CN"/>
        </w:rPr>
      </w:pPr>
      <w:r w:rsidRPr="00624DFB">
        <w:rPr>
          <w:rStyle w:val="FootnoteReference"/>
          <w:szCs w:val="18"/>
        </w:rPr>
        <w:footnoteRef/>
      </w:r>
      <w:r>
        <w:rPr>
          <w:szCs w:val="24"/>
        </w:rPr>
        <w:tab/>
      </w:r>
      <w:proofErr w:type="spellStart"/>
      <w:r w:rsidRPr="00D95257">
        <w:rPr>
          <w:szCs w:val="24"/>
        </w:rPr>
        <w:t>Aricent</w:t>
      </w:r>
      <w:proofErr w:type="spellEnd"/>
      <w:r w:rsidRPr="00D95257">
        <w:rPr>
          <w:szCs w:val="24"/>
        </w:rPr>
        <w:t xml:space="preserve">, </w:t>
      </w:r>
      <w:r w:rsidRPr="009361D1">
        <w:rPr>
          <w:rFonts w:eastAsia="SimHei" w:cs="Simplified Arabic"/>
          <w:bCs/>
          <w:i/>
          <w:iCs/>
          <w:szCs w:val="24"/>
          <w:lang w:eastAsia="zh-CN"/>
        </w:rPr>
        <w:t>Outsourcing: A Must for the Telecom Industry (White paper)</w:t>
      </w:r>
      <w:r w:rsidRPr="00D95257">
        <w:rPr>
          <w:rFonts w:eastAsia="SimHei" w:cs="Simplified Arabic"/>
          <w:bCs/>
          <w:szCs w:val="24"/>
          <w:lang w:eastAsia="zh-CN"/>
        </w:rPr>
        <w:t xml:space="preserve">, 2006, </w:t>
      </w:r>
      <w:r w:rsidRPr="000133E9">
        <w:rPr>
          <w:rStyle w:val="Hyperlink"/>
          <w:rFonts w:asciiTheme="majorBidi" w:hAnsiTheme="majorBidi" w:cstheme="majorBidi"/>
          <w:szCs w:val="18"/>
          <w:u w:val="none"/>
        </w:rPr>
        <w:t>www.aricent.com</w:t>
      </w:r>
    </w:p>
  </w:footnote>
  <w:footnote w:id="29">
    <w:p w:rsidR="001A2A5A" w:rsidRPr="00D95257" w:rsidRDefault="001A2A5A" w:rsidP="0027480F">
      <w:pPr>
        <w:pStyle w:val="FootnoteText"/>
        <w:rPr>
          <w:rFonts w:eastAsia="SimHei" w:cs="Simplified Arabic"/>
          <w:bCs/>
          <w:szCs w:val="24"/>
          <w:lang w:eastAsia="zh-CN"/>
        </w:rPr>
      </w:pPr>
      <w:r w:rsidRPr="00624DFB">
        <w:rPr>
          <w:rStyle w:val="FootnoteReference"/>
          <w:szCs w:val="18"/>
          <w:lang w:eastAsia="zh-CN"/>
        </w:rPr>
        <w:footnoteRef/>
      </w:r>
      <w:r w:rsidRPr="00D95257">
        <w:rPr>
          <w:rFonts w:eastAsia="SimHei" w:cs="Simplified Arabic"/>
          <w:bCs/>
          <w:szCs w:val="24"/>
          <w:lang w:eastAsia="zh-CN"/>
        </w:rPr>
        <w:tab/>
      </w:r>
      <w:proofErr w:type="spellStart"/>
      <w:r w:rsidRPr="00D95257">
        <w:rPr>
          <w:rFonts w:eastAsia="SimHei" w:cs="Simplified Arabic"/>
          <w:bCs/>
          <w:szCs w:val="24"/>
          <w:lang w:eastAsia="zh-CN"/>
        </w:rPr>
        <w:t>Lightreading</w:t>
      </w:r>
      <w:proofErr w:type="spellEnd"/>
      <w:r w:rsidRPr="00D95257">
        <w:rPr>
          <w:rFonts w:eastAsia="SimHei" w:cs="Simplified Arabic"/>
          <w:bCs/>
          <w:szCs w:val="24"/>
          <w:lang w:eastAsia="zh-CN"/>
        </w:rPr>
        <w:t xml:space="preserve">, </w:t>
      </w:r>
      <w:r w:rsidRPr="009361D1">
        <w:rPr>
          <w:rFonts w:eastAsia="SimHei" w:cs="Simplified Arabic"/>
          <w:bCs/>
          <w:i/>
          <w:iCs/>
          <w:szCs w:val="24"/>
          <w:lang w:eastAsia="zh-CN"/>
        </w:rPr>
        <w:t>Outsourcing to India</w:t>
      </w:r>
      <w:r w:rsidRPr="00D95257">
        <w:rPr>
          <w:rFonts w:eastAsia="SimHei" w:cs="Simplified Arabic"/>
          <w:bCs/>
          <w:szCs w:val="24"/>
          <w:lang w:eastAsia="zh-CN"/>
        </w:rPr>
        <w:t xml:space="preserve">, rapport, 2006, </w:t>
      </w:r>
      <w:r w:rsidRPr="000133E9">
        <w:rPr>
          <w:rStyle w:val="Hyperlink"/>
          <w:rFonts w:asciiTheme="majorBidi" w:hAnsiTheme="majorBidi" w:cstheme="majorBidi"/>
          <w:szCs w:val="18"/>
          <w:u w:val="none"/>
        </w:rPr>
        <w:t>www.lightreading.com/document.asp?doc_id=99502</w:t>
      </w:r>
    </w:p>
  </w:footnote>
  <w:footnote w:id="30">
    <w:p w:rsidR="001A2A5A" w:rsidRPr="000133E9" w:rsidRDefault="001A2A5A" w:rsidP="005E0020">
      <w:pPr>
        <w:pStyle w:val="FootnoteText"/>
        <w:rPr>
          <w:szCs w:val="18"/>
          <w:lang w:val="fr-CH"/>
        </w:rPr>
      </w:pPr>
      <w:r w:rsidRPr="00624DFB">
        <w:rPr>
          <w:rStyle w:val="FootnoteReference"/>
          <w:szCs w:val="18"/>
        </w:rPr>
        <w:footnoteRef/>
      </w:r>
      <w:r>
        <w:rPr>
          <w:szCs w:val="24"/>
          <w:lang w:val="fr-CH"/>
        </w:rPr>
        <w:tab/>
      </w:r>
      <w:r w:rsidRPr="00D95257">
        <w:rPr>
          <w:rFonts w:eastAsia="SimHei" w:cs="Simplified Arabic"/>
          <w:bCs/>
          <w:szCs w:val="24"/>
          <w:lang w:val="fr-CH" w:eastAsia="zh-CN"/>
        </w:rPr>
        <w:t>Contribution présentée par le Sénégal à la réunion du Groupe du Rapporteur pour</w:t>
      </w:r>
      <w:r>
        <w:rPr>
          <w:rFonts w:eastAsia="SimHei" w:cs="Simplified Arabic"/>
          <w:bCs/>
          <w:szCs w:val="24"/>
          <w:lang w:val="fr-CH" w:eastAsia="zh-CN"/>
        </w:rPr>
        <w:t xml:space="preserve"> la Question 21, tenue au Caire</w:t>
      </w:r>
      <w:r w:rsidRPr="00D95257">
        <w:rPr>
          <w:rFonts w:eastAsia="SimHei" w:cs="Simplified Arabic"/>
          <w:bCs/>
          <w:szCs w:val="24"/>
          <w:lang w:val="fr-CH" w:eastAsia="zh-CN"/>
        </w:rPr>
        <w:t xml:space="preserve"> (mars 2009), Document RGQ21/1/023</w:t>
      </w:r>
      <w:r w:rsidRPr="000133E9">
        <w:rPr>
          <w:rFonts w:eastAsia="SimHei" w:cs="Simplified Arabic"/>
          <w:bCs/>
          <w:szCs w:val="18"/>
          <w:lang w:val="fr-CH" w:eastAsia="zh-CN"/>
        </w:rPr>
        <w:t xml:space="preserve">-F, </w:t>
      </w:r>
      <w:r w:rsidRPr="000133E9">
        <w:rPr>
          <w:rStyle w:val="Hyperlink"/>
          <w:rFonts w:asciiTheme="majorBidi" w:hAnsiTheme="majorBidi" w:cstheme="majorBidi"/>
          <w:szCs w:val="18"/>
          <w:u w:val="none"/>
          <w:lang w:val="fr-FR"/>
        </w:rPr>
        <w:t>www.web/md/D06</w:t>
      </w:r>
      <w:r w:rsidRPr="000133E9">
        <w:rPr>
          <w:rStyle w:val="Hyperlink"/>
          <w:rFonts w:asciiTheme="majorBidi" w:hAnsiTheme="majorBidi" w:cstheme="majorBidi"/>
          <w:szCs w:val="18"/>
          <w:u w:val="none"/>
          <w:lang w:val="fr-FR"/>
        </w:rPr>
        <w:noBreakHyphen/>
        <w:t>RGQ21.1</w:t>
      </w:r>
      <w:r w:rsidRPr="000133E9">
        <w:rPr>
          <w:rStyle w:val="Hyperlink"/>
          <w:rFonts w:asciiTheme="majorBidi" w:hAnsiTheme="majorBidi" w:cstheme="majorBidi"/>
          <w:szCs w:val="18"/>
          <w:u w:val="none"/>
          <w:lang w:val="fr-FR"/>
        </w:rPr>
        <w:noBreakHyphen/>
        <w:t>C</w:t>
      </w:r>
      <w:r w:rsidRPr="000133E9">
        <w:rPr>
          <w:rStyle w:val="Hyperlink"/>
          <w:rFonts w:asciiTheme="majorBidi" w:hAnsiTheme="majorBidi" w:cstheme="majorBidi"/>
          <w:szCs w:val="18"/>
          <w:u w:val="none"/>
          <w:lang w:val="fr-FR"/>
        </w:rPr>
        <w:noBreakHyphen/>
        <w:t>0023/fr</w:t>
      </w:r>
    </w:p>
  </w:footnote>
  <w:footnote w:id="31">
    <w:p w:rsidR="001A2A5A" w:rsidRPr="001C0AAC" w:rsidRDefault="001A2A5A" w:rsidP="0027480F">
      <w:pPr>
        <w:pStyle w:val="FootnoteText"/>
        <w:rPr>
          <w:rFonts w:eastAsia="SimHei" w:cs="Simplified Arabic"/>
          <w:bCs/>
          <w:szCs w:val="18"/>
          <w:lang w:val="fr-CH" w:eastAsia="zh-CN"/>
        </w:rPr>
      </w:pPr>
      <w:r w:rsidRPr="000133E9">
        <w:rPr>
          <w:rStyle w:val="FootnoteReference"/>
          <w:sz w:val="18"/>
          <w:szCs w:val="18"/>
          <w:lang w:eastAsia="zh-CN"/>
        </w:rPr>
        <w:footnoteRef/>
      </w:r>
      <w:r w:rsidRPr="000133E9">
        <w:rPr>
          <w:rFonts w:eastAsia="SimHei" w:cs="Simplified Arabic"/>
          <w:bCs/>
          <w:szCs w:val="18"/>
          <w:lang w:val="fr-CH" w:eastAsia="zh-CN"/>
        </w:rPr>
        <w:tab/>
      </w:r>
      <w:hyperlink r:id="rId10" w:history="1">
        <w:r w:rsidRPr="000133E9">
          <w:rPr>
            <w:rStyle w:val="Hyperlink"/>
            <w:rFonts w:asciiTheme="majorBidi" w:hAnsiTheme="majorBidi" w:cstheme="majorBidi"/>
            <w:szCs w:val="18"/>
            <w:u w:val="none"/>
            <w:lang w:val="fr-CH"/>
          </w:rPr>
          <w:t>www.vivendi.com/vivendi/Contributions-of-Maroc-Telecom</w:t>
        </w:r>
      </w:hyperlink>
    </w:p>
  </w:footnote>
  <w:footnote w:id="32">
    <w:p w:rsidR="001A2A5A" w:rsidRPr="00D95257" w:rsidRDefault="001A2A5A" w:rsidP="0027480F">
      <w:pPr>
        <w:pStyle w:val="FootnoteText"/>
        <w:rPr>
          <w:rFonts w:eastAsia="SimHei" w:cs="Simplified Arabic"/>
          <w:bCs/>
          <w:szCs w:val="24"/>
          <w:lang w:eastAsia="zh-CN"/>
        </w:rPr>
      </w:pPr>
      <w:r w:rsidRPr="00624DFB">
        <w:rPr>
          <w:rStyle w:val="FootnoteReference"/>
          <w:szCs w:val="18"/>
          <w:lang w:eastAsia="zh-CN"/>
        </w:rPr>
        <w:footnoteRef/>
      </w:r>
      <w:r>
        <w:rPr>
          <w:rStyle w:val="FootnoteReference"/>
          <w:szCs w:val="18"/>
          <w:lang w:eastAsia="zh-CN"/>
        </w:rPr>
        <w:tab/>
      </w:r>
      <w:proofErr w:type="spellStart"/>
      <w:r w:rsidRPr="00D95257">
        <w:rPr>
          <w:rFonts w:eastAsia="SimHei" w:cs="Simplified Arabic"/>
          <w:bCs/>
          <w:szCs w:val="24"/>
          <w:lang w:eastAsia="zh-CN"/>
        </w:rPr>
        <w:t>Huws</w:t>
      </w:r>
      <w:proofErr w:type="spellEnd"/>
      <w:r w:rsidRPr="00D95257">
        <w:rPr>
          <w:rFonts w:eastAsia="SimHei" w:cs="Simplified Arabic"/>
          <w:bCs/>
          <w:szCs w:val="24"/>
          <w:lang w:eastAsia="zh-CN"/>
        </w:rPr>
        <w:t xml:space="preserve">, U., </w:t>
      </w:r>
      <w:proofErr w:type="spellStart"/>
      <w:r w:rsidRPr="00D95257">
        <w:rPr>
          <w:rFonts w:eastAsia="SimHei" w:cs="Simplified Arabic"/>
          <w:bCs/>
          <w:szCs w:val="24"/>
          <w:lang w:eastAsia="zh-CN"/>
        </w:rPr>
        <w:t>Jagger</w:t>
      </w:r>
      <w:proofErr w:type="spellEnd"/>
      <w:r w:rsidRPr="00D95257">
        <w:rPr>
          <w:rFonts w:eastAsia="SimHei" w:cs="Simplified Arabic"/>
          <w:bCs/>
          <w:szCs w:val="24"/>
          <w:lang w:eastAsia="zh-CN"/>
        </w:rPr>
        <w:t xml:space="preserve">, N., </w:t>
      </w:r>
      <w:proofErr w:type="spellStart"/>
      <w:r w:rsidRPr="00D95257">
        <w:rPr>
          <w:rFonts w:eastAsia="SimHei" w:cs="Simplified Arabic"/>
          <w:bCs/>
          <w:szCs w:val="24"/>
          <w:lang w:eastAsia="zh-CN"/>
        </w:rPr>
        <w:t>O'Regan</w:t>
      </w:r>
      <w:proofErr w:type="spellEnd"/>
      <w:r w:rsidRPr="00D95257">
        <w:rPr>
          <w:rFonts w:eastAsia="SimHei" w:cs="Simplified Arabic"/>
          <w:bCs/>
          <w:szCs w:val="24"/>
          <w:lang w:eastAsia="zh-CN"/>
        </w:rPr>
        <w:t xml:space="preserve">, S., </w:t>
      </w:r>
      <w:proofErr w:type="spellStart"/>
      <w:r w:rsidRPr="00B64404">
        <w:rPr>
          <w:rFonts w:eastAsia="SimHei" w:cs="Simplified Arabic"/>
          <w:bCs/>
          <w:i/>
          <w:iCs/>
          <w:szCs w:val="24"/>
          <w:lang w:eastAsia="zh-CN"/>
        </w:rPr>
        <w:t>Teleworking</w:t>
      </w:r>
      <w:proofErr w:type="spellEnd"/>
      <w:r w:rsidRPr="00B64404">
        <w:rPr>
          <w:rFonts w:eastAsia="SimHei" w:cs="Simplified Arabic"/>
          <w:bCs/>
          <w:i/>
          <w:iCs/>
          <w:szCs w:val="24"/>
          <w:lang w:eastAsia="zh-CN"/>
        </w:rPr>
        <w:t xml:space="preserve"> and </w:t>
      </w:r>
      <w:proofErr w:type="spellStart"/>
      <w:r w:rsidRPr="00B64404">
        <w:rPr>
          <w:rFonts w:eastAsia="SimHei" w:cs="Simplified Arabic"/>
          <w:bCs/>
          <w:i/>
          <w:iCs/>
          <w:szCs w:val="24"/>
          <w:lang w:eastAsia="zh-CN"/>
        </w:rPr>
        <w:t>globalisation</w:t>
      </w:r>
      <w:proofErr w:type="spellEnd"/>
      <w:r w:rsidRPr="00D95257">
        <w:rPr>
          <w:rFonts w:eastAsia="SimHei" w:cs="Simplified Arabic"/>
          <w:bCs/>
          <w:szCs w:val="24"/>
          <w:lang w:eastAsia="zh-CN"/>
        </w:rPr>
        <w:t xml:space="preserve">, 358, Institute for Employment Studies, </w:t>
      </w:r>
      <w:proofErr w:type="spellStart"/>
      <w:r w:rsidRPr="00D95257">
        <w:rPr>
          <w:rFonts w:eastAsia="SimHei" w:cs="Simplified Arabic"/>
          <w:bCs/>
          <w:szCs w:val="24"/>
          <w:lang w:eastAsia="zh-CN"/>
        </w:rPr>
        <w:t>juillet</w:t>
      </w:r>
      <w:proofErr w:type="spellEnd"/>
      <w:r w:rsidRPr="00D95257">
        <w:rPr>
          <w:rFonts w:eastAsia="SimHei" w:cs="Simplified Arabic"/>
          <w:bCs/>
          <w:szCs w:val="24"/>
          <w:lang w:eastAsia="zh-CN"/>
        </w:rPr>
        <w:t xml:space="preserve"> 1999.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330ED2" w:rsidP="00747593">
    <w:pPr>
      <w:pStyle w:val="Header"/>
      <w:tabs>
        <w:tab w:val="left" w:pos="1122"/>
      </w:tabs>
      <w:jc w:val="left"/>
      <w:rPr>
        <w:lang w:val="fr-CH"/>
      </w:rPr>
    </w:pPr>
    <w:r>
      <w:rPr>
        <w:rStyle w:val="PageNumber"/>
      </w:rPr>
      <w:fldChar w:fldCharType="begin"/>
    </w:r>
    <w:r w:rsidR="001A2A5A">
      <w:rPr>
        <w:rStyle w:val="PageNumber"/>
      </w:rPr>
      <w:instrText xml:space="preserve"> PAGE </w:instrText>
    </w:r>
    <w:r>
      <w:rPr>
        <w:rStyle w:val="PageNumber"/>
      </w:rPr>
      <w:fldChar w:fldCharType="separate"/>
    </w:r>
    <w:r w:rsidR="001A2A5A">
      <w:rPr>
        <w:rStyle w:val="PageNumber"/>
        <w:noProof/>
      </w:rPr>
      <w:t>ii</w:t>
    </w:r>
    <w:r>
      <w:rPr>
        <w:rStyle w:val="PageNumber"/>
      </w:rPr>
      <w:fldChar w:fldCharType="end"/>
    </w:r>
    <w:r w:rsidR="001A2A5A">
      <w:rPr>
        <w:rStyle w:val="PageNumber"/>
        <w:lang w:val="fr-CH"/>
      </w:rPr>
      <w:tab/>
    </w:r>
    <w:r w:rsidR="001A2A5A">
      <w:rPr>
        <w:rStyle w:val="PageNumber"/>
        <w:lang w:val="fr-CH"/>
      </w:rPr>
      <w:tab/>
      <w:t>Q</w:t>
    </w:r>
    <w:r w:rsidR="001A2A5A" w:rsidRPr="002D4FCA">
      <w:rPr>
        <w:bCs/>
        <w:szCs w:val="22"/>
        <w:lang w:val="fr-CH"/>
      </w:rPr>
      <w:t>uestion</w:t>
    </w:r>
    <w:r w:rsidR="001A2A5A">
      <w:rPr>
        <w:b w:val="0"/>
        <w:bCs/>
        <w:szCs w:val="22"/>
        <w:lang w:val="fr-CH"/>
      </w:rPr>
      <w:t xml:space="preserve"> </w:t>
    </w:r>
    <w:r w:rsidR="001A2A5A">
      <w:rPr>
        <w:bCs/>
        <w:szCs w:val="22"/>
        <w:lang w:val="fr-CH"/>
      </w:rPr>
      <w:t>22</w:t>
    </w:r>
    <w:r w:rsidR="001A2A5A" w:rsidRPr="00DB09F2">
      <w:rPr>
        <w:bCs/>
        <w:szCs w:val="22"/>
        <w:lang w:val="fr-CH"/>
      </w:rPr>
      <w:t>/</w:t>
    </w:r>
    <w:r w:rsidR="001A2A5A">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Pr="00143DA4" w:rsidRDefault="001A2A5A" w:rsidP="00143DA4">
    <w:pPr>
      <w:pStyle w:val="Header"/>
      <w:tabs>
        <w:tab w:val="clear" w:pos="4820"/>
        <w:tab w:val="clear" w:pos="9639"/>
        <w:tab w:val="center" w:pos="4849"/>
        <w:tab w:val="right" w:pos="8789"/>
        <w:tab w:val="right" w:pos="9730"/>
      </w:tabs>
      <w:spacing w:before="240"/>
      <w:rPr>
        <w:rFonts w:ascii="Univers BoldExt" w:hAnsi="Univers BoldExt" w:cs="Times New Roman Bold"/>
        <w:color w:val="999999"/>
        <w:spacing w:val="108"/>
        <w:szCs w:val="22"/>
        <w:lang w:val="fr-CH"/>
      </w:rPr>
    </w:pPr>
    <w:r w:rsidRPr="00825496">
      <w:rPr>
        <w:rFonts w:ascii="Univers BoldExt" w:hAnsi="Univers BoldExt"/>
        <w:b w:val="0"/>
        <w:bCs/>
        <w:color w:val="999999"/>
        <w:spacing w:val="88"/>
        <w:szCs w:val="22"/>
        <w:lang w:val="fr-CH"/>
      </w:rPr>
      <w:t>Union internationale des télécommunications</w:t>
    </w:r>
  </w:p>
  <w:p w:rsidR="001A2A5A" w:rsidRPr="0062594A" w:rsidRDefault="001A2A5A"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Pr="00E87C8C" w:rsidRDefault="001A2A5A"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330ED2">
      <w:rPr>
        <w:rStyle w:val="PageNumber"/>
      </w:rPr>
      <w:fldChar w:fldCharType="begin"/>
    </w:r>
    <w:r>
      <w:rPr>
        <w:rStyle w:val="PageNumber"/>
      </w:rPr>
      <w:instrText xml:space="preserve"> PAGE </w:instrText>
    </w:r>
    <w:r w:rsidR="00330ED2">
      <w:rPr>
        <w:rStyle w:val="PageNumber"/>
      </w:rPr>
      <w:fldChar w:fldCharType="separate"/>
    </w:r>
    <w:r>
      <w:rPr>
        <w:rStyle w:val="PageNumber"/>
        <w:noProof/>
      </w:rPr>
      <w:t>130</w:t>
    </w:r>
    <w:r w:rsidR="00330ED2">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Pr="0093317B" w:rsidRDefault="001A2A5A"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330ED2" w:rsidP="00317DC9">
    <w:pPr>
      <w:pStyle w:val="Header"/>
      <w:tabs>
        <w:tab w:val="left" w:pos="1122"/>
      </w:tabs>
      <w:jc w:val="left"/>
      <w:rPr>
        <w:lang w:val="fr-CH"/>
      </w:rPr>
    </w:pPr>
    <w:r>
      <w:rPr>
        <w:rStyle w:val="PageNumber"/>
      </w:rPr>
      <w:fldChar w:fldCharType="begin"/>
    </w:r>
    <w:r w:rsidR="001A2A5A">
      <w:rPr>
        <w:rStyle w:val="PageNumber"/>
      </w:rPr>
      <w:instrText xml:space="preserve"> PAGE </w:instrText>
    </w:r>
    <w:r>
      <w:rPr>
        <w:rStyle w:val="PageNumber"/>
      </w:rPr>
      <w:fldChar w:fldCharType="separate"/>
    </w:r>
    <w:r w:rsidR="001A2A5A">
      <w:rPr>
        <w:rStyle w:val="PageNumber"/>
        <w:noProof/>
      </w:rPr>
      <w:t>iv</w:t>
    </w:r>
    <w:r>
      <w:rPr>
        <w:rStyle w:val="PageNumber"/>
      </w:rPr>
      <w:fldChar w:fldCharType="end"/>
    </w:r>
    <w:r w:rsidR="001A2A5A">
      <w:rPr>
        <w:rStyle w:val="PageNumber"/>
        <w:lang w:val="fr-CH"/>
      </w:rPr>
      <w:tab/>
    </w:r>
    <w:r w:rsidR="001A2A5A">
      <w:rPr>
        <w:rStyle w:val="PageNumber"/>
        <w:lang w:val="fr-CH"/>
      </w:rPr>
      <w:tab/>
      <w:t>Q</w:t>
    </w:r>
    <w:r w:rsidR="001A2A5A" w:rsidRPr="002D4FCA">
      <w:rPr>
        <w:bCs/>
        <w:szCs w:val="22"/>
        <w:lang w:val="fr-CH"/>
      </w:rPr>
      <w:t>uestion</w:t>
    </w:r>
    <w:r w:rsidR="001A2A5A">
      <w:rPr>
        <w:b w:val="0"/>
        <w:bCs/>
        <w:szCs w:val="22"/>
        <w:lang w:val="fr-CH"/>
      </w:rPr>
      <w:t xml:space="preserve"> </w:t>
    </w:r>
    <w:r w:rsidR="001A2A5A">
      <w:rPr>
        <w:bCs/>
        <w:szCs w:val="22"/>
        <w:lang w:val="fr-CH"/>
      </w:rPr>
      <w:t>21-1</w:t>
    </w:r>
    <w:r w:rsidR="001A2A5A" w:rsidRPr="00DB09F2">
      <w:rPr>
        <w:bCs/>
        <w:szCs w:val="22"/>
        <w:lang w:val="fr-CH"/>
      </w:rPr>
      <w:t>/</w:t>
    </w:r>
    <w:r w:rsidR="001A2A5A">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1A2A5A" w:rsidP="00D73E69">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21</w:t>
    </w:r>
    <w:r w:rsidRPr="00DB09F2">
      <w:rPr>
        <w:bCs/>
        <w:szCs w:val="22"/>
        <w:lang w:val="fr-CH"/>
      </w:rPr>
      <w:t>/</w:t>
    </w:r>
    <w:r>
      <w:rPr>
        <w:bCs/>
        <w:szCs w:val="22"/>
        <w:lang w:val="fr-CH"/>
      </w:rPr>
      <w:t>1</w:t>
    </w:r>
    <w:r>
      <w:rPr>
        <w:bCs/>
        <w:szCs w:val="22"/>
        <w:lang w:val="fr-CH"/>
      </w:rPr>
      <w:tab/>
    </w:r>
    <w:r w:rsidR="00330ED2">
      <w:rPr>
        <w:rStyle w:val="PageNumber"/>
      </w:rPr>
      <w:fldChar w:fldCharType="begin"/>
    </w:r>
    <w:r>
      <w:rPr>
        <w:rStyle w:val="PageNumber"/>
      </w:rPr>
      <w:instrText xml:space="preserve"> PAGE </w:instrText>
    </w:r>
    <w:r w:rsidR="00330ED2">
      <w:rPr>
        <w:rStyle w:val="PageNumber"/>
      </w:rPr>
      <w:fldChar w:fldCharType="separate"/>
    </w:r>
    <w:r w:rsidR="00485BCD">
      <w:rPr>
        <w:rStyle w:val="PageNumber"/>
        <w:noProof/>
      </w:rPr>
      <w:t>iii</w:t>
    </w:r>
    <w:r w:rsidR="00330ED2">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330ED2" w:rsidP="00D73E69">
    <w:pPr>
      <w:pStyle w:val="Header"/>
      <w:tabs>
        <w:tab w:val="left" w:pos="1122"/>
      </w:tabs>
      <w:jc w:val="left"/>
      <w:rPr>
        <w:lang w:val="fr-CH"/>
      </w:rPr>
    </w:pPr>
    <w:r>
      <w:rPr>
        <w:rStyle w:val="PageNumber"/>
      </w:rPr>
      <w:fldChar w:fldCharType="begin"/>
    </w:r>
    <w:r w:rsidR="001A2A5A">
      <w:rPr>
        <w:rStyle w:val="PageNumber"/>
      </w:rPr>
      <w:instrText xml:space="preserve"> PAGE </w:instrText>
    </w:r>
    <w:r>
      <w:rPr>
        <w:rStyle w:val="PageNumber"/>
      </w:rPr>
      <w:fldChar w:fldCharType="separate"/>
    </w:r>
    <w:r w:rsidR="00FC2F6F">
      <w:rPr>
        <w:rStyle w:val="PageNumber"/>
        <w:noProof/>
      </w:rPr>
      <w:t>18</w:t>
    </w:r>
    <w:r>
      <w:rPr>
        <w:rStyle w:val="PageNumber"/>
      </w:rPr>
      <w:fldChar w:fldCharType="end"/>
    </w:r>
    <w:r w:rsidR="001A2A5A">
      <w:rPr>
        <w:rStyle w:val="PageNumber"/>
        <w:lang w:val="fr-CH"/>
      </w:rPr>
      <w:tab/>
    </w:r>
    <w:r w:rsidR="001A2A5A">
      <w:rPr>
        <w:rStyle w:val="PageNumber"/>
        <w:lang w:val="fr-CH"/>
      </w:rPr>
      <w:tab/>
      <w:t>Q</w:t>
    </w:r>
    <w:r w:rsidR="001A2A5A" w:rsidRPr="002D4FCA">
      <w:rPr>
        <w:bCs/>
        <w:szCs w:val="22"/>
        <w:lang w:val="fr-CH"/>
      </w:rPr>
      <w:t>uestion</w:t>
    </w:r>
    <w:r w:rsidR="001A2A5A">
      <w:rPr>
        <w:b w:val="0"/>
        <w:bCs/>
        <w:szCs w:val="22"/>
        <w:lang w:val="fr-CH"/>
      </w:rPr>
      <w:t xml:space="preserve"> </w:t>
    </w:r>
    <w:r w:rsidR="001A2A5A">
      <w:rPr>
        <w:bCs/>
        <w:szCs w:val="22"/>
        <w:lang w:val="fr-CH"/>
      </w:rPr>
      <w:t>21</w:t>
    </w:r>
    <w:r w:rsidR="001A2A5A" w:rsidRPr="00DB09F2">
      <w:rPr>
        <w:bCs/>
        <w:szCs w:val="22"/>
        <w:lang w:val="fr-CH"/>
      </w:rPr>
      <w:t>/</w:t>
    </w:r>
    <w:r w:rsidR="001A2A5A">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A" w:rsidRDefault="001A2A5A" w:rsidP="00D73E69">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21</w:t>
    </w:r>
    <w:r w:rsidRPr="00DB09F2">
      <w:rPr>
        <w:bCs/>
        <w:szCs w:val="22"/>
        <w:lang w:val="fr-CH"/>
      </w:rPr>
      <w:t>/</w:t>
    </w:r>
    <w:r>
      <w:rPr>
        <w:bCs/>
        <w:szCs w:val="22"/>
        <w:lang w:val="fr-CH"/>
      </w:rPr>
      <w:t>1</w:t>
    </w:r>
    <w:r>
      <w:rPr>
        <w:bCs/>
        <w:szCs w:val="22"/>
        <w:lang w:val="fr-CH"/>
      </w:rPr>
      <w:tab/>
    </w:r>
    <w:r w:rsidR="00330ED2">
      <w:rPr>
        <w:rStyle w:val="PageNumber"/>
      </w:rPr>
      <w:fldChar w:fldCharType="begin"/>
    </w:r>
    <w:r>
      <w:rPr>
        <w:rStyle w:val="PageNumber"/>
      </w:rPr>
      <w:instrText xml:space="preserve"> PAGE </w:instrText>
    </w:r>
    <w:r w:rsidR="00330ED2">
      <w:rPr>
        <w:rStyle w:val="PageNumber"/>
      </w:rPr>
      <w:fldChar w:fldCharType="separate"/>
    </w:r>
    <w:r w:rsidR="00FC2F6F">
      <w:rPr>
        <w:rStyle w:val="PageNumber"/>
        <w:noProof/>
      </w:rPr>
      <w:t>19</w:t>
    </w:r>
    <w:r w:rsidR="00330ED2">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31687"/>
    <w:multiLevelType w:val="hybridMultilevel"/>
    <w:tmpl w:val="9814BF60"/>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8BD770D"/>
    <w:multiLevelType w:val="hybridMultilevel"/>
    <w:tmpl w:val="1F14C99A"/>
    <w:lvl w:ilvl="0" w:tplc="FAD20D0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D72627"/>
    <w:multiLevelType w:val="hybridMultilevel"/>
    <w:tmpl w:val="BA282F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793707"/>
    <w:multiLevelType w:val="hybridMultilevel"/>
    <w:tmpl w:val="009A5372"/>
    <w:lvl w:ilvl="0" w:tplc="FAD20D02">
      <w:start w:val="1"/>
      <w:numFmt w:val="bullet"/>
      <w:lvlText w:val=""/>
      <w:lvlJc w:val="left"/>
      <w:pPr>
        <w:tabs>
          <w:tab w:val="num" w:pos="360"/>
        </w:tabs>
        <w:ind w:left="360" w:hanging="360"/>
      </w:pPr>
      <w:rPr>
        <w:rFonts w:ascii="Wingdings" w:hAnsi="Wingdings" w:hint="default"/>
      </w:rPr>
    </w:lvl>
    <w:lvl w:ilvl="1" w:tplc="CF9ACB66">
      <w:start w:val="6"/>
      <w:numFmt w:val="bullet"/>
      <w:lvlText w:val=""/>
      <w:lvlJc w:val="left"/>
      <w:pPr>
        <w:tabs>
          <w:tab w:val="num" w:pos="1650"/>
        </w:tabs>
        <w:ind w:left="1650" w:hanging="570"/>
      </w:pPr>
      <w:rPr>
        <w:rFonts w:ascii="Wingdings 2" w:eastAsia="Times New Roman" w:hAnsi="Wingdings 2" w:cs="Times New Roman"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4048DD"/>
    <w:multiLevelType w:val="multilevel"/>
    <w:tmpl w:val="951CF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8FF7C6E"/>
    <w:multiLevelType w:val="hybridMultilevel"/>
    <w:tmpl w:val="D1DA13B6"/>
    <w:lvl w:ilvl="0" w:tplc="BB683B9C">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7ED3CC0"/>
    <w:multiLevelType w:val="hybridMultilevel"/>
    <w:tmpl w:val="1A881D94"/>
    <w:lvl w:ilvl="0" w:tplc="0409000F">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8E5E5E"/>
    <w:multiLevelType w:val="hybridMultilevel"/>
    <w:tmpl w:val="ABA6A820"/>
    <w:lvl w:ilvl="0" w:tplc="7E863EB2">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DFF2806"/>
    <w:multiLevelType w:val="hybridMultilevel"/>
    <w:tmpl w:val="2DC41282"/>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63404FC"/>
    <w:multiLevelType w:val="multilevel"/>
    <w:tmpl w:val="EC56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53773"/>
    <w:multiLevelType w:val="hybridMultilevel"/>
    <w:tmpl w:val="49A4A2D4"/>
    <w:lvl w:ilvl="0" w:tplc="1132EFE6">
      <w:start w:val="1"/>
      <w:numFmt w:val="bullet"/>
      <w:lvlText w:val=""/>
      <w:lvlJc w:val="left"/>
      <w:pPr>
        <w:tabs>
          <w:tab w:val="num" w:pos="360"/>
        </w:tabs>
        <w:ind w:left="360" w:hanging="360"/>
      </w:pPr>
      <w:rPr>
        <w:rFonts w:ascii="Wingdings" w:hAnsi="Wingdings" w:hint="default"/>
        <w:sz w:val="18"/>
        <w:szCs w:val="18"/>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5D2CBD"/>
    <w:multiLevelType w:val="hybridMultilevel"/>
    <w:tmpl w:val="15EC4964"/>
    <w:lvl w:ilvl="0" w:tplc="BB683B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F04C3B"/>
    <w:multiLevelType w:val="hybridMultilevel"/>
    <w:tmpl w:val="7C3EF8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90056C"/>
    <w:multiLevelType w:val="hybridMultilevel"/>
    <w:tmpl w:val="595A5954"/>
    <w:lvl w:ilvl="0" w:tplc="FAD20D02">
      <w:start w:val="5"/>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9">
    <w:nsid w:val="66D96243"/>
    <w:multiLevelType w:val="hybridMultilevel"/>
    <w:tmpl w:val="68D4E2BE"/>
    <w:lvl w:ilvl="0" w:tplc="ED405FDA">
      <w:start w:val="1"/>
      <w:numFmt w:val="lowerLetter"/>
      <w:lvlText w:val="%1."/>
      <w:lvlJc w:val="left"/>
      <w:pPr>
        <w:tabs>
          <w:tab w:val="num" w:pos="1494"/>
        </w:tabs>
        <w:ind w:left="1494" w:hanging="360"/>
      </w:pPr>
      <w:rPr>
        <w:rFonts w:ascii="Verdana" w:hAnsi="Verdana" w:hint="default"/>
        <w:b w:val="0"/>
        <w:i w:val="0"/>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79D8253B"/>
    <w:multiLevelType w:val="hybridMultilevel"/>
    <w:tmpl w:val="3886EBFC"/>
    <w:lvl w:ilvl="0" w:tplc="1160EEE6">
      <w:start w:val="1"/>
      <w:numFmt w:val="decimal"/>
      <w:lvlText w:val="%1."/>
      <w:lvlJc w:val="left"/>
      <w:pPr>
        <w:tabs>
          <w:tab w:val="num" w:pos="360"/>
        </w:tabs>
        <w:ind w:left="360" w:hanging="360"/>
      </w:pPr>
    </w:lvl>
    <w:lvl w:ilvl="1" w:tplc="04090019" w:tentative="1">
      <w:start w:val="1"/>
      <w:numFmt w:val="bullet"/>
      <w:lvlText w:val="o"/>
      <w:lvlJc w:val="left"/>
      <w:pPr>
        <w:tabs>
          <w:tab w:val="num" w:pos="471"/>
        </w:tabs>
        <w:ind w:left="471" w:hanging="360"/>
      </w:pPr>
      <w:rPr>
        <w:rFonts w:ascii="Courier New" w:hAnsi="Courier New" w:hint="default"/>
      </w:rPr>
    </w:lvl>
    <w:lvl w:ilvl="2" w:tplc="0409001B" w:tentative="1">
      <w:start w:val="1"/>
      <w:numFmt w:val="bullet"/>
      <w:lvlText w:val=""/>
      <w:lvlJc w:val="left"/>
      <w:pPr>
        <w:tabs>
          <w:tab w:val="num" w:pos="1191"/>
        </w:tabs>
        <w:ind w:left="1191" w:hanging="360"/>
      </w:pPr>
      <w:rPr>
        <w:rFonts w:ascii="Wingdings" w:hAnsi="Wingdings" w:hint="default"/>
      </w:rPr>
    </w:lvl>
    <w:lvl w:ilvl="3" w:tplc="0409000F" w:tentative="1">
      <w:start w:val="1"/>
      <w:numFmt w:val="bullet"/>
      <w:lvlText w:val=""/>
      <w:lvlJc w:val="left"/>
      <w:pPr>
        <w:tabs>
          <w:tab w:val="num" w:pos="1911"/>
        </w:tabs>
        <w:ind w:left="1911" w:hanging="360"/>
      </w:pPr>
      <w:rPr>
        <w:rFonts w:ascii="Symbol" w:hAnsi="Symbol" w:hint="default"/>
      </w:rPr>
    </w:lvl>
    <w:lvl w:ilvl="4" w:tplc="04090019" w:tentative="1">
      <w:start w:val="1"/>
      <w:numFmt w:val="bullet"/>
      <w:lvlText w:val="o"/>
      <w:lvlJc w:val="left"/>
      <w:pPr>
        <w:tabs>
          <w:tab w:val="num" w:pos="2631"/>
        </w:tabs>
        <w:ind w:left="2631" w:hanging="360"/>
      </w:pPr>
      <w:rPr>
        <w:rFonts w:ascii="Courier New" w:hAnsi="Courier New" w:hint="default"/>
      </w:rPr>
    </w:lvl>
    <w:lvl w:ilvl="5" w:tplc="0409001B" w:tentative="1">
      <w:start w:val="1"/>
      <w:numFmt w:val="bullet"/>
      <w:lvlText w:val=""/>
      <w:lvlJc w:val="left"/>
      <w:pPr>
        <w:tabs>
          <w:tab w:val="num" w:pos="3351"/>
        </w:tabs>
        <w:ind w:left="3351" w:hanging="360"/>
      </w:pPr>
      <w:rPr>
        <w:rFonts w:ascii="Wingdings" w:hAnsi="Wingdings" w:hint="default"/>
      </w:rPr>
    </w:lvl>
    <w:lvl w:ilvl="6" w:tplc="0409000F" w:tentative="1">
      <w:start w:val="1"/>
      <w:numFmt w:val="bullet"/>
      <w:lvlText w:val=""/>
      <w:lvlJc w:val="left"/>
      <w:pPr>
        <w:tabs>
          <w:tab w:val="num" w:pos="4071"/>
        </w:tabs>
        <w:ind w:left="4071" w:hanging="360"/>
      </w:pPr>
      <w:rPr>
        <w:rFonts w:ascii="Symbol" w:hAnsi="Symbol" w:hint="default"/>
      </w:rPr>
    </w:lvl>
    <w:lvl w:ilvl="7" w:tplc="04090019" w:tentative="1">
      <w:start w:val="1"/>
      <w:numFmt w:val="bullet"/>
      <w:lvlText w:val="o"/>
      <w:lvlJc w:val="left"/>
      <w:pPr>
        <w:tabs>
          <w:tab w:val="num" w:pos="4791"/>
        </w:tabs>
        <w:ind w:left="4791" w:hanging="360"/>
      </w:pPr>
      <w:rPr>
        <w:rFonts w:ascii="Courier New" w:hAnsi="Courier New" w:hint="default"/>
      </w:rPr>
    </w:lvl>
    <w:lvl w:ilvl="8" w:tplc="0409001B" w:tentative="1">
      <w:start w:val="1"/>
      <w:numFmt w:val="bullet"/>
      <w:lvlText w:val=""/>
      <w:lvlJc w:val="left"/>
      <w:pPr>
        <w:tabs>
          <w:tab w:val="num" w:pos="5511"/>
        </w:tabs>
        <w:ind w:left="5511" w:hanging="360"/>
      </w:pPr>
      <w:rPr>
        <w:rFonts w:ascii="Wingdings" w:hAnsi="Wingdings" w:hint="default"/>
      </w:rPr>
    </w:lvl>
  </w:abstractNum>
  <w:num w:numId="1">
    <w:abstractNumId w:val="0"/>
  </w:num>
  <w:num w:numId="2">
    <w:abstractNumId w:val="3"/>
  </w:num>
  <w:num w:numId="3">
    <w:abstractNumId w:val="9"/>
  </w:num>
  <w:num w:numId="4">
    <w:abstractNumId w:val="8"/>
  </w:num>
  <w:num w:numId="5">
    <w:abstractNumId w:val="19"/>
  </w:num>
  <w:num w:numId="6">
    <w:abstractNumId w:val="20"/>
  </w:num>
  <w:num w:numId="7">
    <w:abstractNumId w:val="11"/>
  </w:num>
  <w:num w:numId="8">
    <w:abstractNumId w:val="7"/>
  </w:num>
  <w:num w:numId="9">
    <w:abstractNumId w:val="18"/>
  </w:num>
  <w:num w:numId="10">
    <w:abstractNumId w:val="4"/>
  </w:num>
  <w:num w:numId="11">
    <w:abstractNumId w:val="5"/>
  </w:num>
  <w:num w:numId="12">
    <w:abstractNumId w:val="12"/>
  </w:num>
  <w:num w:numId="13">
    <w:abstractNumId w:val="1"/>
  </w:num>
  <w:num w:numId="14">
    <w:abstractNumId w:val="6"/>
  </w:num>
  <w:num w:numId="15">
    <w:abstractNumId w:val="14"/>
  </w:num>
  <w:num w:numId="16">
    <w:abstractNumId w:val="16"/>
  </w:num>
  <w:num w:numId="17">
    <w:abstractNumId w:val="17"/>
  </w:num>
  <w:num w:numId="18">
    <w:abstractNumId w:val="2"/>
  </w:num>
  <w:num w:numId="19">
    <w:abstractNumId w:val="15"/>
  </w:num>
  <w:num w:numId="20">
    <w:abstractNumId w:val="10"/>
  </w:num>
  <w:num w:numId="21">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21">
      <o:colormenu v:ext="edit" strokecolor="none"/>
    </o:shapedefaults>
  </w:hdrShapeDefaults>
  <w:footnotePr>
    <w:footnote w:id="-1"/>
    <w:footnote w:id="0"/>
  </w:footnotePr>
  <w:endnotePr>
    <w:endnote w:id="-1"/>
    <w:endnote w:id="0"/>
  </w:endnotePr>
  <w:compat/>
  <w:rsids>
    <w:rsidRoot w:val="00F97148"/>
    <w:rsid w:val="00000A4F"/>
    <w:rsid w:val="00001556"/>
    <w:rsid w:val="000032CF"/>
    <w:rsid w:val="0000365F"/>
    <w:rsid w:val="000038A5"/>
    <w:rsid w:val="00006F0A"/>
    <w:rsid w:val="00010B79"/>
    <w:rsid w:val="00010FE6"/>
    <w:rsid w:val="00011887"/>
    <w:rsid w:val="000131D2"/>
    <w:rsid w:val="000133E9"/>
    <w:rsid w:val="00013DC1"/>
    <w:rsid w:val="00015535"/>
    <w:rsid w:val="0001651E"/>
    <w:rsid w:val="00016903"/>
    <w:rsid w:val="00016BF5"/>
    <w:rsid w:val="00022FF1"/>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3206"/>
    <w:rsid w:val="000968A9"/>
    <w:rsid w:val="00096FCD"/>
    <w:rsid w:val="000A068B"/>
    <w:rsid w:val="000A0BAE"/>
    <w:rsid w:val="000A1C7E"/>
    <w:rsid w:val="000A1CB8"/>
    <w:rsid w:val="000A254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30DB"/>
    <w:rsid w:val="000C416C"/>
    <w:rsid w:val="000C523A"/>
    <w:rsid w:val="000C5CBD"/>
    <w:rsid w:val="000C6E3D"/>
    <w:rsid w:val="000C7F20"/>
    <w:rsid w:val="000D1657"/>
    <w:rsid w:val="000D476E"/>
    <w:rsid w:val="000D4A85"/>
    <w:rsid w:val="000D5603"/>
    <w:rsid w:val="000D5C10"/>
    <w:rsid w:val="000D7851"/>
    <w:rsid w:val="000E2E20"/>
    <w:rsid w:val="000E36DD"/>
    <w:rsid w:val="000E4043"/>
    <w:rsid w:val="000E405B"/>
    <w:rsid w:val="000E6C26"/>
    <w:rsid w:val="000E7C4A"/>
    <w:rsid w:val="000F00FF"/>
    <w:rsid w:val="000F0928"/>
    <w:rsid w:val="000F126E"/>
    <w:rsid w:val="000F1DCB"/>
    <w:rsid w:val="000F375A"/>
    <w:rsid w:val="000F6A2A"/>
    <w:rsid w:val="0010310F"/>
    <w:rsid w:val="001035E3"/>
    <w:rsid w:val="0010386F"/>
    <w:rsid w:val="0010499F"/>
    <w:rsid w:val="00104FF2"/>
    <w:rsid w:val="00105CFB"/>
    <w:rsid w:val="001067A3"/>
    <w:rsid w:val="0011022B"/>
    <w:rsid w:val="00112903"/>
    <w:rsid w:val="001134F9"/>
    <w:rsid w:val="0011440A"/>
    <w:rsid w:val="00114AA7"/>
    <w:rsid w:val="00115571"/>
    <w:rsid w:val="00115E2D"/>
    <w:rsid w:val="001162EB"/>
    <w:rsid w:val="00117A21"/>
    <w:rsid w:val="00117B71"/>
    <w:rsid w:val="001229D0"/>
    <w:rsid w:val="00124DAD"/>
    <w:rsid w:val="00126ED1"/>
    <w:rsid w:val="0012717E"/>
    <w:rsid w:val="00131F4D"/>
    <w:rsid w:val="00132FDF"/>
    <w:rsid w:val="00134C68"/>
    <w:rsid w:val="00136260"/>
    <w:rsid w:val="00137E5A"/>
    <w:rsid w:val="00141100"/>
    <w:rsid w:val="001415A9"/>
    <w:rsid w:val="00141723"/>
    <w:rsid w:val="001426A7"/>
    <w:rsid w:val="00143DA4"/>
    <w:rsid w:val="001454D4"/>
    <w:rsid w:val="0014691A"/>
    <w:rsid w:val="001476E5"/>
    <w:rsid w:val="00147E69"/>
    <w:rsid w:val="0015035A"/>
    <w:rsid w:val="00153922"/>
    <w:rsid w:val="001542C1"/>
    <w:rsid w:val="00155A67"/>
    <w:rsid w:val="001560F3"/>
    <w:rsid w:val="0015627E"/>
    <w:rsid w:val="00156988"/>
    <w:rsid w:val="00156DA9"/>
    <w:rsid w:val="00163F7E"/>
    <w:rsid w:val="00165024"/>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A5A"/>
    <w:rsid w:val="001A30C0"/>
    <w:rsid w:val="001A3E3C"/>
    <w:rsid w:val="001A4124"/>
    <w:rsid w:val="001A5672"/>
    <w:rsid w:val="001A648C"/>
    <w:rsid w:val="001A6CBC"/>
    <w:rsid w:val="001B0D78"/>
    <w:rsid w:val="001B112E"/>
    <w:rsid w:val="001B1BC3"/>
    <w:rsid w:val="001B1CCF"/>
    <w:rsid w:val="001B4837"/>
    <w:rsid w:val="001B6C2B"/>
    <w:rsid w:val="001B7013"/>
    <w:rsid w:val="001B7231"/>
    <w:rsid w:val="001B7F8A"/>
    <w:rsid w:val="001C02E3"/>
    <w:rsid w:val="001C0AAC"/>
    <w:rsid w:val="001C147D"/>
    <w:rsid w:val="001C2FE5"/>
    <w:rsid w:val="001C450B"/>
    <w:rsid w:val="001C4BA3"/>
    <w:rsid w:val="001C621D"/>
    <w:rsid w:val="001C70B5"/>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2D77"/>
    <w:rsid w:val="001E35F8"/>
    <w:rsid w:val="001E393C"/>
    <w:rsid w:val="001E3E82"/>
    <w:rsid w:val="001E4EFC"/>
    <w:rsid w:val="001E6B63"/>
    <w:rsid w:val="001E7CAC"/>
    <w:rsid w:val="001F05BD"/>
    <w:rsid w:val="001F05EE"/>
    <w:rsid w:val="001F1011"/>
    <w:rsid w:val="001F2F83"/>
    <w:rsid w:val="001F3325"/>
    <w:rsid w:val="001F3BFE"/>
    <w:rsid w:val="001F587B"/>
    <w:rsid w:val="001F632A"/>
    <w:rsid w:val="002001C0"/>
    <w:rsid w:val="002009F0"/>
    <w:rsid w:val="00200D16"/>
    <w:rsid w:val="00202194"/>
    <w:rsid w:val="002024CF"/>
    <w:rsid w:val="00206C31"/>
    <w:rsid w:val="00206DD5"/>
    <w:rsid w:val="0020761F"/>
    <w:rsid w:val="002107F4"/>
    <w:rsid w:val="00210C72"/>
    <w:rsid w:val="002148A9"/>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5691"/>
    <w:rsid w:val="00256C4F"/>
    <w:rsid w:val="00260AAB"/>
    <w:rsid w:val="00260F99"/>
    <w:rsid w:val="0026248C"/>
    <w:rsid w:val="002634F5"/>
    <w:rsid w:val="00263BE5"/>
    <w:rsid w:val="00264224"/>
    <w:rsid w:val="002647F0"/>
    <w:rsid w:val="0026535F"/>
    <w:rsid w:val="00267ED8"/>
    <w:rsid w:val="002714E0"/>
    <w:rsid w:val="00274628"/>
    <w:rsid w:val="0027480F"/>
    <w:rsid w:val="0027589D"/>
    <w:rsid w:val="00275A89"/>
    <w:rsid w:val="00277B65"/>
    <w:rsid w:val="00280AEE"/>
    <w:rsid w:val="00281436"/>
    <w:rsid w:val="002823CD"/>
    <w:rsid w:val="00282BE9"/>
    <w:rsid w:val="00284032"/>
    <w:rsid w:val="00287100"/>
    <w:rsid w:val="00290099"/>
    <w:rsid w:val="00291A4D"/>
    <w:rsid w:val="00291B8E"/>
    <w:rsid w:val="00291FEB"/>
    <w:rsid w:val="002923CA"/>
    <w:rsid w:val="002949F9"/>
    <w:rsid w:val="00294C26"/>
    <w:rsid w:val="00294C44"/>
    <w:rsid w:val="00295870"/>
    <w:rsid w:val="00296DBD"/>
    <w:rsid w:val="00296EDF"/>
    <w:rsid w:val="0029787C"/>
    <w:rsid w:val="00297D79"/>
    <w:rsid w:val="002A1026"/>
    <w:rsid w:val="002A1617"/>
    <w:rsid w:val="002A27D0"/>
    <w:rsid w:val="002A33A2"/>
    <w:rsid w:val="002A4500"/>
    <w:rsid w:val="002A4BFD"/>
    <w:rsid w:val="002A62A0"/>
    <w:rsid w:val="002A6478"/>
    <w:rsid w:val="002A6A17"/>
    <w:rsid w:val="002B0E45"/>
    <w:rsid w:val="002B2B7A"/>
    <w:rsid w:val="002B2BA5"/>
    <w:rsid w:val="002B347C"/>
    <w:rsid w:val="002B53E2"/>
    <w:rsid w:val="002B5FC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17DC9"/>
    <w:rsid w:val="00320D72"/>
    <w:rsid w:val="00320D78"/>
    <w:rsid w:val="0032559F"/>
    <w:rsid w:val="003266BD"/>
    <w:rsid w:val="00330221"/>
    <w:rsid w:val="00330389"/>
    <w:rsid w:val="00330ED2"/>
    <w:rsid w:val="00331292"/>
    <w:rsid w:val="00335207"/>
    <w:rsid w:val="003353A6"/>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E74"/>
    <w:rsid w:val="00364137"/>
    <w:rsid w:val="0036541D"/>
    <w:rsid w:val="00366375"/>
    <w:rsid w:val="00370725"/>
    <w:rsid w:val="00370C9A"/>
    <w:rsid w:val="00372DEF"/>
    <w:rsid w:val="00376745"/>
    <w:rsid w:val="00377B49"/>
    <w:rsid w:val="0038021B"/>
    <w:rsid w:val="003805DA"/>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5F9F"/>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5648C"/>
    <w:rsid w:val="0046240B"/>
    <w:rsid w:val="0046306C"/>
    <w:rsid w:val="004632F7"/>
    <w:rsid w:val="00463770"/>
    <w:rsid w:val="00470244"/>
    <w:rsid w:val="0047229C"/>
    <w:rsid w:val="00473765"/>
    <w:rsid w:val="00473947"/>
    <w:rsid w:val="0047660C"/>
    <w:rsid w:val="004772F3"/>
    <w:rsid w:val="00480196"/>
    <w:rsid w:val="00480D3F"/>
    <w:rsid w:val="004833C0"/>
    <w:rsid w:val="004848FD"/>
    <w:rsid w:val="00485BCD"/>
    <w:rsid w:val="004860FB"/>
    <w:rsid w:val="004861CE"/>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5E52"/>
    <w:rsid w:val="004A7428"/>
    <w:rsid w:val="004B0781"/>
    <w:rsid w:val="004B1877"/>
    <w:rsid w:val="004B30C2"/>
    <w:rsid w:val="004B3323"/>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5653"/>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AC4"/>
    <w:rsid w:val="004F6E8F"/>
    <w:rsid w:val="005035A3"/>
    <w:rsid w:val="0050363A"/>
    <w:rsid w:val="005054DD"/>
    <w:rsid w:val="0050673A"/>
    <w:rsid w:val="005072C0"/>
    <w:rsid w:val="00507B30"/>
    <w:rsid w:val="00511555"/>
    <w:rsid w:val="00512CC8"/>
    <w:rsid w:val="005133C3"/>
    <w:rsid w:val="00513D5B"/>
    <w:rsid w:val="0051402C"/>
    <w:rsid w:val="00514B41"/>
    <w:rsid w:val="0052016F"/>
    <w:rsid w:val="00520894"/>
    <w:rsid w:val="0052251C"/>
    <w:rsid w:val="00525D24"/>
    <w:rsid w:val="00526EBB"/>
    <w:rsid w:val="00527073"/>
    <w:rsid w:val="00530357"/>
    <w:rsid w:val="00534CBB"/>
    <w:rsid w:val="00535489"/>
    <w:rsid w:val="00535C30"/>
    <w:rsid w:val="00536338"/>
    <w:rsid w:val="00537B1C"/>
    <w:rsid w:val="0054008F"/>
    <w:rsid w:val="00541026"/>
    <w:rsid w:val="005422CE"/>
    <w:rsid w:val="005427F7"/>
    <w:rsid w:val="00542B7F"/>
    <w:rsid w:val="00543145"/>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57F2E"/>
    <w:rsid w:val="00560DB3"/>
    <w:rsid w:val="0056101E"/>
    <w:rsid w:val="00561B1E"/>
    <w:rsid w:val="00561E3D"/>
    <w:rsid w:val="0056350A"/>
    <w:rsid w:val="0056654E"/>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82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26A2"/>
    <w:rsid w:val="005C656B"/>
    <w:rsid w:val="005C6D5B"/>
    <w:rsid w:val="005C7389"/>
    <w:rsid w:val="005D129C"/>
    <w:rsid w:val="005D17E8"/>
    <w:rsid w:val="005D3B1E"/>
    <w:rsid w:val="005D4B12"/>
    <w:rsid w:val="005D5873"/>
    <w:rsid w:val="005D5A95"/>
    <w:rsid w:val="005D6BCF"/>
    <w:rsid w:val="005D6F84"/>
    <w:rsid w:val="005E0020"/>
    <w:rsid w:val="005E073F"/>
    <w:rsid w:val="005E0A51"/>
    <w:rsid w:val="005E108E"/>
    <w:rsid w:val="005E16F4"/>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2A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291C"/>
    <w:rsid w:val="006139CD"/>
    <w:rsid w:val="00614008"/>
    <w:rsid w:val="006148CB"/>
    <w:rsid w:val="0061625A"/>
    <w:rsid w:val="00616940"/>
    <w:rsid w:val="0061763D"/>
    <w:rsid w:val="00621BB0"/>
    <w:rsid w:val="00622F67"/>
    <w:rsid w:val="00625367"/>
    <w:rsid w:val="0062683D"/>
    <w:rsid w:val="00630579"/>
    <w:rsid w:val="006311D9"/>
    <w:rsid w:val="006314FD"/>
    <w:rsid w:val="006336DA"/>
    <w:rsid w:val="006345D0"/>
    <w:rsid w:val="00634AB7"/>
    <w:rsid w:val="00640F60"/>
    <w:rsid w:val="00641555"/>
    <w:rsid w:val="00641684"/>
    <w:rsid w:val="00643C57"/>
    <w:rsid w:val="006445FF"/>
    <w:rsid w:val="0064488D"/>
    <w:rsid w:val="006451FC"/>
    <w:rsid w:val="00645D4F"/>
    <w:rsid w:val="00651328"/>
    <w:rsid w:val="00651A6E"/>
    <w:rsid w:val="00655B6B"/>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4593"/>
    <w:rsid w:val="006A53AF"/>
    <w:rsid w:val="006A593A"/>
    <w:rsid w:val="006B0FA8"/>
    <w:rsid w:val="006B18DC"/>
    <w:rsid w:val="006B2211"/>
    <w:rsid w:val="006B709C"/>
    <w:rsid w:val="006B7241"/>
    <w:rsid w:val="006C0726"/>
    <w:rsid w:val="006C3C3B"/>
    <w:rsid w:val="006C4BA5"/>
    <w:rsid w:val="006C5093"/>
    <w:rsid w:val="006C59AA"/>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00C"/>
    <w:rsid w:val="00721D95"/>
    <w:rsid w:val="0072230F"/>
    <w:rsid w:val="0072267D"/>
    <w:rsid w:val="00723136"/>
    <w:rsid w:val="00724153"/>
    <w:rsid w:val="00725E71"/>
    <w:rsid w:val="00725F11"/>
    <w:rsid w:val="00726C48"/>
    <w:rsid w:val="00727A55"/>
    <w:rsid w:val="00732EF0"/>
    <w:rsid w:val="00733044"/>
    <w:rsid w:val="007333AC"/>
    <w:rsid w:val="00733534"/>
    <w:rsid w:val="00733E6B"/>
    <w:rsid w:val="00734720"/>
    <w:rsid w:val="00734A3E"/>
    <w:rsid w:val="007373B1"/>
    <w:rsid w:val="00740179"/>
    <w:rsid w:val="007412AC"/>
    <w:rsid w:val="0074140E"/>
    <w:rsid w:val="0074387F"/>
    <w:rsid w:val="00747593"/>
    <w:rsid w:val="007533EC"/>
    <w:rsid w:val="007549AD"/>
    <w:rsid w:val="00754E78"/>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3C1E"/>
    <w:rsid w:val="00784C35"/>
    <w:rsid w:val="00786D7F"/>
    <w:rsid w:val="00790393"/>
    <w:rsid w:val="00791592"/>
    <w:rsid w:val="00791968"/>
    <w:rsid w:val="0079310F"/>
    <w:rsid w:val="0079380D"/>
    <w:rsid w:val="00794F82"/>
    <w:rsid w:val="007950D0"/>
    <w:rsid w:val="00795C4D"/>
    <w:rsid w:val="007A06FA"/>
    <w:rsid w:val="007A3BF5"/>
    <w:rsid w:val="007A76F4"/>
    <w:rsid w:val="007B03F8"/>
    <w:rsid w:val="007B04D0"/>
    <w:rsid w:val="007B0F9F"/>
    <w:rsid w:val="007B1468"/>
    <w:rsid w:val="007B3444"/>
    <w:rsid w:val="007B4B2E"/>
    <w:rsid w:val="007B5989"/>
    <w:rsid w:val="007C05DE"/>
    <w:rsid w:val="007C16B3"/>
    <w:rsid w:val="007C22BD"/>
    <w:rsid w:val="007C22BE"/>
    <w:rsid w:val="007C329B"/>
    <w:rsid w:val="007C35E3"/>
    <w:rsid w:val="007C5683"/>
    <w:rsid w:val="007C56A1"/>
    <w:rsid w:val="007C776B"/>
    <w:rsid w:val="007C7A5C"/>
    <w:rsid w:val="007D0CE4"/>
    <w:rsid w:val="007D1D68"/>
    <w:rsid w:val="007D4666"/>
    <w:rsid w:val="007D6632"/>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897"/>
    <w:rsid w:val="00805BBB"/>
    <w:rsid w:val="0080619A"/>
    <w:rsid w:val="0080634C"/>
    <w:rsid w:val="00811065"/>
    <w:rsid w:val="008129C6"/>
    <w:rsid w:val="008154A5"/>
    <w:rsid w:val="00821B86"/>
    <w:rsid w:val="00822963"/>
    <w:rsid w:val="00822ACE"/>
    <w:rsid w:val="00822D58"/>
    <w:rsid w:val="00822F0A"/>
    <w:rsid w:val="0082335F"/>
    <w:rsid w:val="00830310"/>
    <w:rsid w:val="008310B3"/>
    <w:rsid w:val="00833443"/>
    <w:rsid w:val="008346BA"/>
    <w:rsid w:val="00834AC8"/>
    <w:rsid w:val="00834AF2"/>
    <w:rsid w:val="00835EAD"/>
    <w:rsid w:val="0084160D"/>
    <w:rsid w:val="008426A3"/>
    <w:rsid w:val="00842CEB"/>
    <w:rsid w:val="00846F1C"/>
    <w:rsid w:val="0084713C"/>
    <w:rsid w:val="00847206"/>
    <w:rsid w:val="008505AD"/>
    <w:rsid w:val="00853C04"/>
    <w:rsid w:val="00854680"/>
    <w:rsid w:val="00854C25"/>
    <w:rsid w:val="00854E60"/>
    <w:rsid w:val="00856579"/>
    <w:rsid w:val="00857BFD"/>
    <w:rsid w:val="00860D01"/>
    <w:rsid w:val="0086134E"/>
    <w:rsid w:val="00861587"/>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8722F"/>
    <w:rsid w:val="00890458"/>
    <w:rsid w:val="008908E6"/>
    <w:rsid w:val="00891D36"/>
    <w:rsid w:val="00891F35"/>
    <w:rsid w:val="008946E2"/>
    <w:rsid w:val="00895962"/>
    <w:rsid w:val="00895B40"/>
    <w:rsid w:val="00895E9F"/>
    <w:rsid w:val="00896B55"/>
    <w:rsid w:val="008A0296"/>
    <w:rsid w:val="008A07E9"/>
    <w:rsid w:val="008A0BB2"/>
    <w:rsid w:val="008A14C2"/>
    <w:rsid w:val="008A3E79"/>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0D80"/>
    <w:rsid w:val="008D1DF2"/>
    <w:rsid w:val="008D2FA5"/>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14A"/>
    <w:rsid w:val="008F43E8"/>
    <w:rsid w:val="008F459F"/>
    <w:rsid w:val="008F63E5"/>
    <w:rsid w:val="008F6F55"/>
    <w:rsid w:val="008F7400"/>
    <w:rsid w:val="009009C3"/>
    <w:rsid w:val="00901955"/>
    <w:rsid w:val="00902981"/>
    <w:rsid w:val="00903797"/>
    <w:rsid w:val="00903888"/>
    <w:rsid w:val="00903AFC"/>
    <w:rsid w:val="00903FF2"/>
    <w:rsid w:val="00904765"/>
    <w:rsid w:val="0090533E"/>
    <w:rsid w:val="00911D79"/>
    <w:rsid w:val="00912549"/>
    <w:rsid w:val="00912CE9"/>
    <w:rsid w:val="00913113"/>
    <w:rsid w:val="00913193"/>
    <w:rsid w:val="0091546F"/>
    <w:rsid w:val="0091625B"/>
    <w:rsid w:val="009205FA"/>
    <w:rsid w:val="00921A3F"/>
    <w:rsid w:val="0092228F"/>
    <w:rsid w:val="0092386B"/>
    <w:rsid w:val="009240F9"/>
    <w:rsid w:val="0092517D"/>
    <w:rsid w:val="00926CFA"/>
    <w:rsid w:val="00927349"/>
    <w:rsid w:val="0092741A"/>
    <w:rsid w:val="00927755"/>
    <w:rsid w:val="009322C0"/>
    <w:rsid w:val="0093317B"/>
    <w:rsid w:val="00933216"/>
    <w:rsid w:val="00934942"/>
    <w:rsid w:val="00934FC0"/>
    <w:rsid w:val="009361D1"/>
    <w:rsid w:val="0094362C"/>
    <w:rsid w:val="0094369E"/>
    <w:rsid w:val="009439CD"/>
    <w:rsid w:val="009446CB"/>
    <w:rsid w:val="0094485D"/>
    <w:rsid w:val="00944972"/>
    <w:rsid w:val="00944BD3"/>
    <w:rsid w:val="00944DD7"/>
    <w:rsid w:val="00945242"/>
    <w:rsid w:val="009459C3"/>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3FCB"/>
    <w:rsid w:val="00985EA6"/>
    <w:rsid w:val="00986821"/>
    <w:rsid w:val="00990A36"/>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1E9"/>
    <w:rsid w:val="009A4344"/>
    <w:rsid w:val="009A479E"/>
    <w:rsid w:val="009A4B27"/>
    <w:rsid w:val="009A5BA9"/>
    <w:rsid w:val="009A735B"/>
    <w:rsid w:val="009A7C5E"/>
    <w:rsid w:val="009A7C74"/>
    <w:rsid w:val="009A7EE9"/>
    <w:rsid w:val="009B0561"/>
    <w:rsid w:val="009B0737"/>
    <w:rsid w:val="009B2917"/>
    <w:rsid w:val="009B32E4"/>
    <w:rsid w:val="009B3CDA"/>
    <w:rsid w:val="009B4A60"/>
    <w:rsid w:val="009B73D5"/>
    <w:rsid w:val="009B7F27"/>
    <w:rsid w:val="009C27B3"/>
    <w:rsid w:val="009C2A9E"/>
    <w:rsid w:val="009C5154"/>
    <w:rsid w:val="009C5764"/>
    <w:rsid w:val="009C61C4"/>
    <w:rsid w:val="009D09D6"/>
    <w:rsid w:val="009D30D7"/>
    <w:rsid w:val="009D58B3"/>
    <w:rsid w:val="009D69FB"/>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1ED4"/>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CC2"/>
    <w:rsid w:val="00A67D91"/>
    <w:rsid w:val="00A7120D"/>
    <w:rsid w:val="00A72060"/>
    <w:rsid w:val="00A729DE"/>
    <w:rsid w:val="00A76A18"/>
    <w:rsid w:val="00A77AE4"/>
    <w:rsid w:val="00A81DF2"/>
    <w:rsid w:val="00A82838"/>
    <w:rsid w:val="00A83924"/>
    <w:rsid w:val="00A83EAF"/>
    <w:rsid w:val="00A851EB"/>
    <w:rsid w:val="00A85D08"/>
    <w:rsid w:val="00A9085B"/>
    <w:rsid w:val="00A92040"/>
    <w:rsid w:val="00A9553B"/>
    <w:rsid w:val="00A96242"/>
    <w:rsid w:val="00AA1B34"/>
    <w:rsid w:val="00AA2AAC"/>
    <w:rsid w:val="00AA2F70"/>
    <w:rsid w:val="00AA5FB6"/>
    <w:rsid w:val="00AA7D06"/>
    <w:rsid w:val="00AA7DDE"/>
    <w:rsid w:val="00AB0398"/>
    <w:rsid w:val="00AB15EE"/>
    <w:rsid w:val="00AB26CE"/>
    <w:rsid w:val="00AB2B48"/>
    <w:rsid w:val="00AB7D47"/>
    <w:rsid w:val="00AC0D6A"/>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60E2"/>
    <w:rsid w:val="00AD7C8A"/>
    <w:rsid w:val="00AE0334"/>
    <w:rsid w:val="00AE3FE4"/>
    <w:rsid w:val="00AE7855"/>
    <w:rsid w:val="00AF2001"/>
    <w:rsid w:val="00AF251E"/>
    <w:rsid w:val="00AF2564"/>
    <w:rsid w:val="00AF3CFF"/>
    <w:rsid w:val="00AF5696"/>
    <w:rsid w:val="00AF712B"/>
    <w:rsid w:val="00B005E6"/>
    <w:rsid w:val="00B01199"/>
    <w:rsid w:val="00B02614"/>
    <w:rsid w:val="00B0278B"/>
    <w:rsid w:val="00B03294"/>
    <w:rsid w:val="00B032EC"/>
    <w:rsid w:val="00B03ECA"/>
    <w:rsid w:val="00B04761"/>
    <w:rsid w:val="00B05935"/>
    <w:rsid w:val="00B11073"/>
    <w:rsid w:val="00B111A9"/>
    <w:rsid w:val="00B11208"/>
    <w:rsid w:val="00B1244B"/>
    <w:rsid w:val="00B12A0A"/>
    <w:rsid w:val="00B131D6"/>
    <w:rsid w:val="00B1373C"/>
    <w:rsid w:val="00B13FBC"/>
    <w:rsid w:val="00B2236D"/>
    <w:rsid w:val="00B22817"/>
    <w:rsid w:val="00B22BE0"/>
    <w:rsid w:val="00B25DE6"/>
    <w:rsid w:val="00B27BCC"/>
    <w:rsid w:val="00B31121"/>
    <w:rsid w:val="00B31680"/>
    <w:rsid w:val="00B31B23"/>
    <w:rsid w:val="00B32A4C"/>
    <w:rsid w:val="00B347F3"/>
    <w:rsid w:val="00B37EBC"/>
    <w:rsid w:val="00B409B6"/>
    <w:rsid w:val="00B40DE5"/>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4404"/>
    <w:rsid w:val="00B6562D"/>
    <w:rsid w:val="00B74397"/>
    <w:rsid w:val="00B7767D"/>
    <w:rsid w:val="00B77CB7"/>
    <w:rsid w:val="00B81098"/>
    <w:rsid w:val="00B81703"/>
    <w:rsid w:val="00B81D10"/>
    <w:rsid w:val="00B84631"/>
    <w:rsid w:val="00B85053"/>
    <w:rsid w:val="00B8559F"/>
    <w:rsid w:val="00B85AB6"/>
    <w:rsid w:val="00B8708E"/>
    <w:rsid w:val="00B87D86"/>
    <w:rsid w:val="00B90670"/>
    <w:rsid w:val="00B909D3"/>
    <w:rsid w:val="00B91A2E"/>
    <w:rsid w:val="00B925DA"/>
    <w:rsid w:val="00B92E48"/>
    <w:rsid w:val="00B93C69"/>
    <w:rsid w:val="00B942BA"/>
    <w:rsid w:val="00B95843"/>
    <w:rsid w:val="00BA1418"/>
    <w:rsid w:val="00BA238E"/>
    <w:rsid w:val="00BA2BA1"/>
    <w:rsid w:val="00BA35FC"/>
    <w:rsid w:val="00BA404A"/>
    <w:rsid w:val="00BA4F76"/>
    <w:rsid w:val="00BB0293"/>
    <w:rsid w:val="00BB0A0C"/>
    <w:rsid w:val="00BB4CED"/>
    <w:rsid w:val="00BB601D"/>
    <w:rsid w:val="00BB642E"/>
    <w:rsid w:val="00BB67B0"/>
    <w:rsid w:val="00BB6AA5"/>
    <w:rsid w:val="00BB6C9C"/>
    <w:rsid w:val="00BC174E"/>
    <w:rsid w:val="00BC3498"/>
    <w:rsid w:val="00BC3EB4"/>
    <w:rsid w:val="00BC72B7"/>
    <w:rsid w:val="00BC7867"/>
    <w:rsid w:val="00BC7CF2"/>
    <w:rsid w:val="00BD0968"/>
    <w:rsid w:val="00BD5621"/>
    <w:rsid w:val="00BD6494"/>
    <w:rsid w:val="00BE0875"/>
    <w:rsid w:val="00BF40B4"/>
    <w:rsid w:val="00BF4EE0"/>
    <w:rsid w:val="00BF57C1"/>
    <w:rsid w:val="00BF7D99"/>
    <w:rsid w:val="00BF7EF8"/>
    <w:rsid w:val="00C004F9"/>
    <w:rsid w:val="00C023B2"/>
    <w:rsid w:val="00C02A9A"/>
    <w:rsid w:val="00C02D3D"/>
    <w:rsid w:val="00C06F9E"/>
    <w:rsid w:val="00C07E1D"/>
    <w:rsid w:val="00C1084A"/>
    <w:rsid w:val="00C11116"/>
    <w:rsid w:val="00C11A62"/>
    <w:rsid w:val="00C13461"/>
    <w:rsid w:val="00C1358F"/>
    <w:rsid w:val="00C14C21"/>
    <w:rsid w:val="00C15390"/>
    <w:rsid w:val="00C15CB2"/>
    <w:rsid w:val="00C15EB2"/>
    <w:rsid w:val="00C161A6"/>
    <w:rsid w:val="00C20E45"/>
    <w:rsid w:val="00C259BF"/>
    <w:rsid w:val="00C25D0E"/>
    <w:rsid w:val="00C27917"/>
    <w:rsid w:val="00C303D6"/>
    <w:rsid w:val="00C307E8"/>
    <w:rsid w:val="00C30982"/>
    <w:rsid w:val="00C3104A"/>
    <w:rsid w:val="00C32159"/>
    <w:rsid w:val="00C33340"/>
    <w:rsid w:val="00C35F4F"/>
    <w:rsid w:val="00C36D0B"/>
    <w:rsid w:val="00C37CC8"/>
    <w:rsid w:val="00C37E45"/>
    <w:rsid w:val="00C40171"/>
    <w:rsid w:val="00C41792"/>
    <w:rsid w:val="00C44206"/>
    <w:rsid w:val="00C454C2"/>
    <w:rsid w:val="00C45DCA"/>
    <w:rsid w:val="00C47313"/>
    <w:rsid w:val="00C51015"/>
    <w:rsid w:val="00C51F71"/>
    <w:rsid w:val="00C535A3"/>
    <w:rsid w:val="00C56C28"/>
    <w:rsid w:val="00C61637"/>
    <w:rsid w:val="00C62BE4"/>
    <w:rsid w:val="00C63467"/>
    <w:rsid w:val="00C63D35"/>
    <w:rsid w:val="00C6437B"/>
    <w:rsid w:val="00C6597A"/>
    <w:rsid w:val="00C67536"/>
    <w:rsid w:val="00C72CAC"/>
    <w:rsid w:val="00C74AAD"/>
    <w:rsid w:val="00C75CD6"/>
    <w:rsid w:val="00C760CD"/>
    <w:rsid w:val="00C761AE"/>
    <w:rsid w:val="00C76ADD"/>
    <w:rsid w:val="00C76B98"/>
    <w:rsid w:val="00C76DB3"/>
    <w:rsid w:val="00C7703C"/>
    <w:rsid w:val="00C7785D"/>
    <w:rsid w:val="00C77DBB"/>
    <w:rsid w:val="00C8040E"/>
    <w:rsid w:val="00C82AA0"/>
    <w:rsid w:val="00C82AF3"/>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09AC"/>
    <w:rsid w:val="00CC10ED"/>
    <w:rsid w:val="00CC51F8"/>
    <w:rsid w:val="00CC68B2"/>
    <w:rsid w:val="00CC79EB"/>
    <w:rsid w:val="00CD08A5"/>
    <w:rsid w:val="00CD2BA9"/>
    <w:rsid w:val="00CD4694"/>
    <w:rsid w:val="00CD4E5E"/>
    <w:rsid w:val="00CD5BBC"/>
    <w:rsid w:val="00CE11A4"/>
    <w:rsid w:val="00CE1F20"/>
    <w:rsid w:val="00CE57F6"/>
    <w:rsid w:val="00CE72B1"/>
    <w:rsid w:val="00CE7324"/>
    <w:rsid w:val="00CF0028"/>
    <w:rsid w:val="00CF1ADE"/>
    <w:rsid w:val="00CF1C82"/>
    <w:rsid w:val="00CF221F"/>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54A4"/>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4505C"/>
    <w:rsid w:val="00D47BB8"/>
    <w:rsid w:val="00D5490C"/>
    <w:rsid w:val="00D565EC"/>
    <w:rsid w:val="00D57A43"/>
    <w:rsid w:val="00D60711"/>
    <w:rsid w:val="00D616B7"/>
    <w:rsid w:val="00D61858"/>
    <w:rsid w:val="00D629DE"/>
    <w:rsid w:val="00D630F1"/>
    <w:rsid w:val="00D64D12"/>
    <w:rsid w:val="00D64E25"/>
    <w:rsid w:val="00D653D6"/>
    <w:rsid w:val="00D66604"/>
    <w:rsid w:val="00D72438"/>
    <w:rsid w:val="00D72DF5"/>
    <w:rsid w:val="00D73E1B"/>
    <w:rsid w:val="00D73E69"/>
    <w:rsid w:val="00D75622"/>
    <w:rsid w:val="00D75BF0"/>
    <w:rsid w:val="00D76966"/>
    <w:rsid w:val="00D80177"/>
    <w:rsid w:val="00D80DFF"/>
    <w:rsid w:val="00D81827"/>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A73D6"/>
    <w:rsid w:val="00DB09F2"/>
    <w:rsid w:val="00DB2266"/>
    <w:rsid w:val="00DB37DD"/>
    <w:rsid w:val="00DB6D85"/>
    <w:rsid w:val="00DC01EF"/>
    <w:rsid w:val="00DC08AC"/>
    <w:rsid w:val="00DC0B89"/>
    <w:rsid w:val="00DC0F14"/>
    <w:rsid w:val="00DC0F30"/>
    <w:rsid w:val="00DC14FC"/>
    <w:rsid w:val="00DC1677"/>
    <w:rsid w:val="00DC18F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54ED"/>
    <w:rsid w:val="00DF69AC"/>
    <w:rsid w:val="00DF7464"/>
    <w:rsid w:val="00E032B0"/>
    <w:rsid w:val="00E03724"/>
    <w:rsid w:val="00E03A5B"/>
    <w:rsid w:val="00E0411B"/>
    <w:rsid w:val="00E12076"/>
    <w:rsid w:val="00E12B0E"/>
    <w:rsid w:val="00E20004"/>
    <w:rsid w:val="00E2047A"/>
    <w:rsid w:val="00E213DE"/>
    <w:rsid w:val="00E21765"/>
    <w:rsid w:val="00E240BE"/>
    <w:rsid w:val="00E24B71"/>
    <w:rsid w:val="00E2565B"/>
    <w:rsid w:val="00E26B06"/>
    <w:rsid w:val="00E31DD7"/>
    <w:rsid w:val="00E32EB2"/>
    <w:rsid w:val="00E341DF"/>
    <w:rsid w:val="00E346BE"/>
    <w:rsid w:val="00E34AAE"/>
    <w:rsid w:val="00E352E0"/>
    <w:rsid w:val="00E3651B"/>
    <w:rsid w:val="00E37388"/>
    <w:rsid w:val="00E428A5"/>
    <w:rsid w:val="00E42BE3"/>
    <w:rsid w:val="00E43DBA"/>
    <w:rsid w:val="00E44717"/>
    <w:rsid w:val="00E4479A"/>
    <w:rsid w:val="00E4520D"/>
    <w:rsid w:val="00E4643B"/>
    <w:rsid w:val="00E46533"/>
    <w:rsid w:val="00E46AE5"/>
    <w:rsid w:val="00E46DA8"/>
    <w:rsid w:val="00E508E2"/>
    <w:rsid w:val="00E529B8"/>
    <w:rsid w:val="00E54640"/>
    <w:rsid w:val="00E5487F"/>
    <w:rsid w:val="00E54D9F"/>
    <w:rsid w:val="00E57CB2"/>
    <w:rsid w:val="00E62058"/>
    <w:rsid w:val="00E6310F"/>
    <w:rsid w:val="00E63419"/>
    <w:rsid w:val="00E63ADD"/>
    <w:rsid w:val="00E65F7A"/>
    <w:rsid w:val="00E66182"/>
    <w:rsid w:val="00E67C5F"/>
    <w:rsid w:val="00E70FF1"/>
    <w:rsid w:val="00E71594"/>
    <w:rsid w:val="00E74FA6"/>
    <w:rsid w:val="00E76CE8"/>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132"/>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0713"/>
    <w:rsid w:val="00EC275F"/>
    <w:rsid w:val="00EC2A2B"/>
    <w:rsid w:val="00EC3579"/>
    <w:rsid w:val="00EC4D30"/>
    <w:rsid w:val="00EC6564"/>
    <w:rsid w:val="00ED024A"/>
    <w:rsid w:val="00ED0AD0"/>
    <w:rsid w:val="00ED16F0"/>
    <w:rsid w:val="00ED1CC2"/>
    <w:rsid w:val="00ED2E8C"/>
    <w:rsid w:val="00ED3767"/>
    <w:rsid w:val="00ED3A4E"/>
    <w:rsid w:val="00ED3D19"/>
    <w:rsid w:val="00ED71FD"/>
    <w:rsid w:val="00EE0B9B"/>
    <w:rsid w:val="00EE1081"/>
    <w:rsid w:val="00EE3439"/>
    <w:rsid w:val="00EE63AF"/>
    <w:rsid w:val="00EE72C6"/>
    <w:rsid w:val="00EE76B9"/>
    <w:rsid w:val="00EF1608"/>
    <w:rsid w:val="00EF16FF"/>
    <w:rsid w:val="00EF330B"/>
    <w:rsid w:val="00EF39E8"/>
    <w:rsid w:val="00EF41D9"/>
    <w:rsid w:val="00EF5A1B"/>
    <w:rsid w:val="00EF6E12"/>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4FC7"/>
    <w:rsid w:val="00F152A2"/>
    <w:rsid w:val="00F15354"/>
    <w:rsid w:val="00F1747D"/>
    <w:rsid w:val="00F17D7A"/>
    <w:rsid w:val="00F21571"/>
    <w:rsid w:val="00F21DDF"/>
    <w:rsid w:val="00F230ED"/>
    <w:rsid w:val="00F24B62"/>
    <w:rsid w:val="00F25101"/>
    <w:rsid w:val="00F258EF"/>
    <w:rsid w:val="00F26075"/>
    <w:rsid w:val="00F26143"/>
    <w:rsid w:val="00F27E5C"/>
    <w:rsid w:val="00F316E1"/>
    <w:rsid w:val="00F328BF"/>
    <w:rsid w:val="00F329C9"/>
    <w:rsid w:val="00F33588"/>
    <w:rsid w:val="00F34C15"/>
    <w:rsid w:val="00F3573E"/>
    <w:rsid w:val="00F36EF4"/>
    <w:rsid w:val="00F375BD"/>
    <w:rsid w:val="00F429BF"/>
    <w:rsid w:val="00F42D6C"/>
    <w:rsid w:val="00F42E9B"/>
    <w:rsid w:val="00F503A8"/>
    <w:rsid w:val="00F5260C"/>
    <w:rsid w:val="00F539F9"/>
    <w:rsid w:val="00F540D0"/>
    <w:rsid w:val="00F546A5"/>
    <w:rsid w:val="00F54B93"/>
    <w:rsid w:val="00F55D33"/>
    <w:rsid w:val="00F55FFA"/>
    <w:rsid w:val="00F566EC"/>
    <w:rsid w:val="00F609C8"/>
    <w:rsid w:val="00F61542"/>
    <w:rsid w:val="00F61786"/>
    <w:rsid w:val="00F61A6F"/>
    <w:rsid w:val="00F6208C"/>
    <w:rsid w:val="00F629C5"/>
    <w:rsid w:val="00F65231"/>
    <w:rsid w:val="00F65236"/>
    <w:rsid w:val="00F7025C"/>
    <w:rsid w:val="00F70BEF"/>
    <w:rsid w:val="00F72522"/>
    <w:rsid w:val="00F73AC2"/>
    <w:rsid w:val="00F73B8A"/>
    <w:rsid w:val="00F756E6"/>
    <w:rsid w:val="00F7586C"/>
    <w:rsid w:val="00F76227"/>
    <w:rsid w:val="00F76A3A"/>
    <w:rsid w:val="00F76A5F"/>
    <w:rsid w:val="00F77EB2"/>
    <w:rsid w:val="00F816EB"/>
    <w:rsid w:val="00F81732"/>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181E"/>
    <w:rsid w:val="00FA2BA6"/>
    <w:rsid w:val="00FA3F6F"/>
    <w:rsid w:val="00FA46B7"/>
    <w:rsid w:val="00FA49A6"/>
    <w:rsid w:val="00FA55B5"/>
    <w:rsid w:val="00FA5E76"/>
    <w:rsid w:val="00FA7E5C"/>
    <w:rsid w:val="00FB18DD"/>
    <w:rsid w:val="00FB38A9"/>
    <w:rsid w:val="00FB582D"/>
    <w:rsid w:val="00FB5F1E"/>
    <w:rsid w:val="00FB60C8"/>
    <w:rsid w:val="00FC29B6"/>
    <w:rsid w:val="00FC2F6F"/>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7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06F0A"/>
    <w:pPr>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D450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D4505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numbering" w:customStyle="1" w:styleId="NoList1">
    <w:name w:val="No List1"/>
    <w:next w:val="NoList"/>
    <w:uiPriority w:val="99"/>
    <w:semiHidden/>
    <w:unhideWhenUsed/>
    <w:rsid w:val="00A76A18"/>
  </w:style>
  <w:style w:type="table" w:customStyle="1" w:styleId="TableGrid1">
    <w:name w:val="Table Grid1"/>
    <w:basedOn w:val="TableNormal"/>
    <w:next w:val="TableGrid"/>
    <w:rsid w:val="00A76A18"/>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rsid w:val="00A76A18"/>
    <w:pPr>
      <w:tabs>
        <w:tab w:val="left" w:pos="794"/>
        <w:tab w:val="left" w:pos="1191"/>
        <w:tab w:val="left" w:pos="1588"/>
        <w:tab w:val="left" w:pos="1985"/>
      </w:tabs>
      <w:overflowPunct w:val="0"/>
      <w:autoSpaceDE w:val="0"/>
      <w:autoSpaceDN w:val="0"/>
      <w:adjustRightInd w:val="0"/>
      <w:spacing w:before="12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velopeAddress">
    <w:name w:val="envelope address"/>
    <w:basedOn w:val="Normal"/>
    <w:rsid w:val="00A76A18"/>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eastAsia="SimSun" w:hAnsi="Trebuchet MS" w:cs="Arial"/>
      <w:sz w:val="24"/>
      <w:szCs w:val="24"/>
      <w:lang w:val="en-US" w:eastAsia="zh-CN"/>
    </w:rPr>
  </w:style>
  <w:style w:type="paragraph" w:styleId="EnvelopeReturn">
    <w:name w:val="envelope return"/>
    <w:basedOn w:val="Normal"/>
    <w:rsid w:val="00A76A18"/>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character" w:customStyle="1" w:styleId="BodyTextChar">
    <w:name w:val="Body Text Char"/>
    <w:basedOn w:val="DefaultParagraphFont"/>
    <w:rsid w:val="00A76A18"/>
    <w:rPr>
      <w:rFonts w:eastAsia="Times New Roman"/>
      <w:bCs/>
      <w:sz w:val="22"/>
      <w:lang w:eastAsia="en-US"/>
    </w:rPr>
  </w:style>
  <w:style w:type="paragraph" w:customStyle="1" w:styleId="Paragraphedeliste">
    <w:name w:val="Paragraphe de liste"/>
    <w:basedOn w:val="Normal"/>
    <w:qFormat/>
    <w:rsid w:val="00A76A18"/>
    <w:pPr>
      <w:tabs>
        <w:tab w:val="clear" w:pos="794"/>
        <w:tab w:val="clear" w:pos="1191"/>
        <w:tab w:val="clear" w:pos="1588"/>
        <w:tab w:val="clear" w:pos="1985"/>
      </w:tabs>
      <w:overflowPunct/>
      <w:autoSpaceDE/>
      <w:autoSpaceDN/>
      <w:adjustRightInd/>
      <w:spacing w:after="120"/>
      <w:ind w:left="708"/>
      <w:jc w:val="left"/>
      <w:textAlignment w:val="auto"/>
    </w:pPr>
    <w:rPr>
      <w:rFonts w:ascii="Trebuchet MS" w:eastAsia="SimSun" w:hAnsi="Trebuchet MS"/>
      <w:sz w:val="20"/>
      <w:lang w:val="en-US" w:eastAsia="zh-CN"/>
    </w:rPr>
  </w:style>
  <w:style w:type="character" w:customStyle="1" w:styleId="EndnoteTextChar">
    <w:name w:val="Endnote Text Char"/>
    <w:basedOn w:val="DefaultParagraphFont"/>
    <w:link w:val="EndnoteText"/>
    <w:rsid w:val="00A76A18"/>
    <w:rPr>
      <w:rFonts w:ascii="Arial" w:hAnsi="Arial"/>
      <w:lang w:eastAsia="en-US"/>
    </w:rPr>
  </w:style>
  <w:style w:type="character" w:customStyle="1" w:styleId="CommentTextChar">
    <w:name w:val="Comment Text Char"/>
    <w:basedOn w:val="DefaultParagraphFont"/>
    <w:link w:val="CommentText"/>
    <w:rsid w:val="00A76A18"/>
    <w:rPr>
      <w:rFonts w:ascii="Times New Roman" w:hAnsi="Times New Roman"/>
      <w:lang w:val="en-GB" w:eastAsia="en-US"/>
    </w:rPr>
  </w:style>
  <w:style w:type="paragraph" w:customStyle="1" w:styleId="CommentSubject1">
    <w:name w:val="Comment Subject1"/>
    <w:basedOn w:val="CommentText"/>
    <w:next w:val="CommentText"/>
    <w:semiHidden/>
    <w:rsid w:val="00A76A18"/>
  </w:style>
  <w:style w:type="character" w:customStyle="1" w:styleId="Normalbold">
    <w:name w:val="Normal_bold"/>
    <w:basedOn w:val="DefaultParagraphFont"/>
    <w:rsid w:val="00A76A18"/>
    <w:rPr>
      <w:b/>
    </w:rPr>
  </w:style>
  <w:style w:type="character" w:customStyle="1" w:styleId="Normalital">
    <w:name w:val="Normal_ital"/>
    <w:basedOn w:val="DefaultParagraphFont"/>
    <w:rsid w:val="00A76A18"/>
    <w:rPr>
      <w:i/>
    </w:rPr>
  </w:style>
  <w:style w:type="paragraph" w:styleId="Index7">
    <w:name w:val="index 7"/>
    <w:basedOn w:val="Normal"/>
    <w:next w:val="Normal"/>
    <w:rsid w:val="00A76A18"/>
    <w:pPr>
      <w:ind w:left="1698"/>
      <w:jc w:val="left"/>
    </w:pPr>
    <w:rPr>
      <w:sz w:val="24"/>
      <w:lang w:val="fr-FR"/>
    </w:rPr>
  </w:style>
  <w:style w:type="paragraph" w:styleId="Index6">
    <w:name w:val="index 6"/>
    <w:basedOn w:val="Normal"/>
    <w:next w:val="Normal"/>
    <w:rsid w:val="00A76A18"/>
    <w:pPr>
      <w:ind w:left="1415"/>
      <w:jc w:val="left"/>
    </w:pPr>
    <w:rPr>
      <w:sz w:val="24"/>
      <w:lang w:val="fr-FR"/>
    </w:rPr>
  </w:style>
  <w:style w:type="paragraph" w:styleId="Index5">
    <w:name w:val="index 5"/>
    <w:basedOn w:val="Normal"/>
    <w:next w:val="Normal"/>
    <w:rsid w:val="00A76A18"/>
    <w:pPr>
      <w:ind w:left="1132"/>
      <w:jc w:val="left"/>
    </w:pPr>
    <w:rPr>
      <w:sz w:val="24"/>
      <w:lang w:val="fr-FR"/>
    </w:rPr>
  </w:style>
  <w:style w:type="paragraph" w:styleId="Index4">
    <w:name w:val="index 4"/>
    <w:basedOn w:val="Normal"/>
    <w:next w:val="Normal"/>
    <w:rsid w:val="00A76A18"/>
    <w:pPr>
      <w:ind w:left="849"/>
      <w:jc w:val="left"/>
    </w:pPr>
    <w:rPr>
      <w:sz w:val="24"/>
      <w:lang w:val="fr-FR"/>
    </w:rPr>
  </w:style>
  <w:style w:type="character" w:styleId="LineNumber">
    <w:name w:val="line number"/>
    <w:basedOn w:val="DefaultParagraphFont"/>
    <w:rsid w:val="00A76A18"/>
  </w:style>
  <w:style w:type="paragraph" w:styleId="IndexHeading">
    <w:name w:val="index heading"/>
    <w:basedOn w:val="Normal"/>
    <w:next w:val="Index1"/>
    <w:rsid w:val="00A76A18"/>
    <w:pPr>
      <w:jc w:val="left"/>
    </w:pPr>
    <w:rPr>
      <w:sz w:val="24"/>
      <w:lang w:val="fr-FR"/>
    </w:rPr>
  </w:style>
  <w:style w:type="paragraph" w:styleId="NormalIndent">
    <w:name w:val="Normal Indent"/>
    <w:basedOn w:val="Normal"/>
    <w:rsid w:val="00A76A18"/>
    <w:pPr>
      <w:ind w:left="794"/>
      <w:jc w:val="left"/>
    </w:pPr>
    <w:rPr>
      <w:sz w:val="24"/>
      <w:lang w:val="fr-FR"/>
    </w:rPr>
  </w:style>
  <w:style w:type="paragraph" w:customStyle="1" w:styleId="TableLegend0">
    <w:name w:val="Table_Legend"/>
    <w:basedOn w:val="TableText0"/>
    <w:rsid w:val="00A76A18"/>
    <w:pPr>
      <w:spacing w:before="120"/>
    </w:pPr>
    <w:rPr>
      <w:lang w:val="fr-FR"/>
    </w:rPr>
  </w:style>
  <w:style w:type="paragraph" w:customStyle="1" w:styleId="TableTitle">
    <w:name w:val="Table_Title"/>
    <w:basedOn w:val="Table"/>
    <w:next w:val="TableText0"/>
    <w:rsid w:val="00A76A18"/>
    <w:pPr>
      <w:keepLines/>
      <w:spacing w:before="0"/>
    </w:pPr>
    <w:rPr>
      <w:b/>
      <w:caps w:val="0"/>
    </w:rPr>
  </w:style>
  <w:style w:type="paragraph" w:customStyle="1" w:styleId="Table">
    <w:name w:val="Table_#"/>
    <w:basedOn w:val="Normal"/>
    <w:next w:val="TableTitle"/>
    <w:rsid w:val="00A76A18"/>
    <w:pPr>
      <w:keepNext/>
      <w:spacing w:before="560" w:after="120"/>
      <w:jc w:val="center"/>
    </w:pPr>
    <w:rPr>
      <w:caps/>
      <w:sz w:val="24"/>
      <w:lang w:val="fr-FR"/>
    </w:rPr>
  </w:style>
  <w:style w:type="paragraph" w:customStyle="1" w:styleId="FigureTitle0">
    <w:name w:val="Figure_Title"/>
    <w:basedOn w:val="TableTitle"/>
    <w:next w:val="Normal"/>
    <w:rsid w:val="00A76A18"/>
    <w:pPr>
      <w:keepNext w:val="0"/>
      <w:spacing w:after="480"/>
    </w:pPr>
  </w:style>
  <w:style w:type="paragraph" w:customStyle="1" w:styleId="Annex">
    <w:name w:val="Annex_#"/>
    <w:basedOn w:val="Normal"/>
    <w:next w:val="AnnexRef"/>
    <w:rsid w:val="00A76A18"/>
    <w:pPr>
      <w:keepNext/>
      <w:keepLines/>
      <w:spacing w:before="480" w:after="80"/>
      <w:jc w:val="center"/>
    </w:pPr>
    <w:rPr>
      <w:caps/>
      <w:sz w:val="24"/>
      <w:lang w:val="fr-FR"/>
    </w:rPr>
  </w:style>
  <w:style w:type="paragraph" w:customStyle="1" w:styleId="AnnexRef">
    <w:name w:val="Annex_Ref"/>
    <w:basedOn w:val="Normal"/>
    <w:next w:val="AnnexTitle"/>
    <w:rsid w:val="00A76A18"/>
    <w:pPr>
      <w:keepNext/>
      <w:keepLines/>
      <w:jc w:val="center"/>
    </w:pPr>
    <w:rPr>
      <w:sz w:val="24"/>
      <w:lang w:val="fr-FR"/>
    </w:rPr>
  </w:style>
  <w:style w:type="paragraph" w:customStyle="1" w:styleId="AnnexTitle">
    <w:name w:val="Annex_Title"/>
    <w:basedOn w:val="Normal"/>
    <w:next w:val="Normal"/>
    <w:rsid w:val="00A76A18"/>
    <w:pPr>
      <w:keepNext/>
      <w:keepLines/>
      <w:spacing w:before="240" w:after="280"/>
      <w:jc w:val="center"/>
    </w:pPr>
    <w:rPr>
      <w:b/>
      <w:sz w:val="24"/>
      <w:lang w:val="fr-FR"/>
    </w:rPr>
  </w:style>
  <w:style w:type="paragraph" w:customStyle="1" w:styleId="Appendix">
    <w:name w:val="Appendix_#"/>
    <w:basedOn w:val="Annex"/>
    <w:next w:val="AppendixRef"/>
    <w:rsid w:val="00A76A18"/>
  </w:style>
  <w:style w:type="paragraph" w:customStyle="1" w:styleId="AppendixRef">
    <w:name w:val="Appendix_Ref"/>
    <w:basedOn w:val="AnnexRef"/>
    <w:next w:val="AppendixTitle"/>
    <w:rsid w:val="00A76A18"/>
  </w:style>
  <w:style w:type="paragraph" w:customStyle="1" w:styleId="AppendixTitle">
    <w:name w:val="Appendix_Title"/>
    <w:basedOn w:val="AnnexTitle"/>
    <w:next w:val="Normal"/>
    <w:rsid w:val="00A76A18"/>
  </w:style>
  <w:style w:type="paragraph" w:customStyle="1" w:styleId="RefTitle0">
    <w:name w:val="Ref_Title"/>
    <w:basedOn w:val="Normal"/>
    <w:next w:val="RefText0"/>
    <w:rsid w:val="00A76A18"/>
    <w:pPr>
      <w:spacing w:before="480"/>
      <w:jc w:val="center"/>
    </w:pPr>
    <w:rPr>
      <w:caps/>
      <w:sz w:val="24"/>
      <w:lang w:val="fr-FR"/>
    </w:rPr>
  </w:style>
  <w:style w:type="paragraph" w:customStyle="1" w:styleId="RefText0">
    <w:name w:val="Ref_Text"/>
    <w:basedOn w:val="Normal"/>
    <w:rsid w:val="00A76A18"/>
    <w:pPr>
      <w:ind w:left="794" w:hanging="794"/>
      <w:jc w:val="left"/>
    </w:pPr>
    <w:rPr>
      <w:sz w:val="24"/>
      <w:lang w:val="fr-FR"/>
    </w:rPr>
  </w:style>
  <w:style w:type="paragraph" w:customStyle="1" w:styleId="Head">
    <w:name w:val="Head"/>
    <w:basedOn w:val="Normal"/>
    <w:rsid w:val="00A76A18"/>
    <w:pPr>
      <w:tabs>
        <w:tab w:val="clear" w:pos="794"/>
        <w:tab w:val="clear" w:pos="1191"/>
        <w:tab w:val="clear" w:pos="1588"/>
        <w:tab w:val="clear" w:pos="1985"/>
        <w:tab w:val="left" w:pos="6663"/>
      </w:tabs>
      <w:spacing w:before="0"/>
      <w:jc w:val="left"/>
    </w:pPr>
    <w:rPr>
      <w:sz w:val="24"/>
      <w:lang w:val="fr-FR"/>
    </w:rPr>
  </w:style>
  <w:style w:type="paragraph" w:customStyle="1" w:styleId="call0">
    <w:name w:val="call"/>
    <w:basedOn w:val="Normal"/>
    <w:next w:val="Normal"/>
    <w:rsid w:val="00A76A18"/>
    <w:pPr>
      <w:keepNext/>
      <w:keepLines/>
      <w:spacing w:before="160"/>
      <w:ind w:left="794"/>
      <w:jc w:val="left"/>
    </w:pPr>
    <w:rPr>
      <w:i/>
      <w:sz w:val="24"/>
      <w:lang w:val="fr-FR"/>
    </w:rPr>
  </w:style>
  <w:style w:type="paragraph" w:customStyle="1" w:styleId="Rec">
    <w:name w:val="Rec_#"/>
    <w:basedOn w:val="Normal"/>
    <w:next w:val="RecTitle0"/>
    <w:rsid w:val="00A76A18"/>
    <w:pPr>
      <w:keepNext/>
      <w:keepLines/>
      <w:spacing w:before="480"/>
      <w:jc w:val="center"/>
    </w:pPr>
    <w:rPr>
      <w:caps/>
      <w:sz w:val="24"/>
      <w:lang w:val="fr-FR"/>
    </w:rPr>
  </w:style>
  <w:style w:type="paragraph" w:styleId="List">
    <w:name w:val="List"/>
    <w:basedOn w:val="Normal"/>
    <w:rsid w:val="00A76A18"/>
    <w:pPr>
      <w:tabs>
        <w:tab w:val="clear" w:pos="794"/>
        <w:tab w:val="clear" w:pos="1191"/>
        <w:tab w:val="clear" w:pos="1588"/>
        <w:tab w:val="clear" w:pos="1985"/>
        <w:tab w:val="left" w:pos="1701"/>
        <w:tab w:val="left" w:pos="2127"/>
      </w:tabs>
      <w:ind w:left="2127" w:hanging="2127"/>
      <w:jc w:val="left"/>
    </w:pPr>
    <w:rPr>
      <w:sz w:val="24"/>
      <w:lang w:val="fr-FR"/>
    </w:rPr>
  </w:style>
  <w:style w:type="paragraph" w:customStyle="1" w:styleId="Infodoc">
    <w:name w:val="Infodoc"/>
    <w:basedOn w:val="Normal"/>
    <w:rsid w:val="00A76A18"/>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rsid w:val="00A76A18"/>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rsid w:val="00A76A18"/>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rsid w:val="00A76A18"/>
    <w:pPr>
      <w:tabs>
        <w:tab w:val="clear" w:pos="1191"/>
        <w:tab w:val="clear" w:pos="1588"/>
      </w:tabs>
      <w:ind w:left="794" w:hanging="794"/>
      <w:jc w:val="left"/>
    </w:pPr>
    <w:rPr>
      <w:sz w:val="24"/>
      <w:lang w:val="fr-FR"/>
    </w:rPr>
  </w:style>
  <w:style w:type="paragraph" w:customStyle="1" w:styleId="EquationLegend0">
    <w:name w:val="Equation_Legend"/>
    <w:basedOn w:val="Normal"/>
    <w:rsid w:val="00A76A18"/>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styleId="Signature">
    <w:name w:val="Signature"/>
    <w:basedOn w:val="Normal"/>
    <w:link w:val="SignatureChar"/>
    <w:rsid w:val="00A76A18"/>
    <w:pPr>
      <w:tabs>
        <w:tab w:val="clear" w:pos="794"/>
        <w:tab w:val="clear" w:pos="1191"/>
        <w:tab w:val="clear" w:pos="1588"/>
        <w:tab w:val="clear" w:pos="1985"/>
      </w:tabs>
      <w:spacing w:before="480"/>
      <w:ind w:left="4961"/>
      <w:jc w:val="left"/>
    </w:pPr>
    <w:rPr>
      <w:sz w:val="24"/>
      <w:lang w:val="fr-FR"/>
    </w:rPr>
  </w:style>
  <w:style w:type="character" w:customStyle="1" w:styleId="SignatureChar">
    <w:name w:val="Signature Char"/>
    <w:basedOn w:val="DefaultParagraphFont"/>
    <w:link w:val="Signature"/>
    <w:rsid w:val="00A76A18"/>
    <w:rPr>
      <w:rFonts w:ascii="Times New Roman" w:hAnsi="Times New Roman"/>
      <w:sz w:val="24"/>
      <w:lang w:val="fr-FR" w:eastAsia="en-US"/>
    </w:rPr>
  </w:style>
  <w:style w:type="paragraph" w:customStyle="1" w:styleId="meeting">
    <w:name w:val="meeting"/>
    <w:basedOn w:val="Head"/>
    <w:next w:val="Head"/>
    <w:rsid w:val="00A76A18"/>
    <w:pPr>
      <w:tabs>
        <w:tab w:val="left" w:pos="7371"/>
      </w:tabs>
      <w:spacing w:after="560"/>
    </w:pPr>
  </w:style>
  <w:style w:type="paragraph" w:customStyle="1" w:styleId="BodyText0">
    <w:name w:val="BodyText"/>
    <w:basedOn w:val="Normal"/>
    <w:rsid w:val="00A76A18"/>
    <w:pPr>
      <w:tabs>
        <w:tab w:val="clear" w:pos="794"/>
        <w:tab w:val="clear" w:pos="1191"/>
        <w:tab w:val="clear" w:pos="1588"/>
        <w:tab w:val="clear" w:pos="1985"/>
      </w:tabs>
      <w:spacing w:before="240"/>
      <w:jc w:val="left"/>
    </w:pPr>
    <w:rPr>
      <w:rFonts w:ascii="Arial" w:hAnsi="Arial"/>
      <w:lang w:val="en-US"/>
    </w:rPr>
  </w:style>
  <w:style w:type="paragraph" w:customStyle="1" w:styleId="ITUintr">
    <w:name w:val="ITU_intr"/>
    <w:basedOn w:val="Normal"/>
    <w:next w:val="Normal"/>
    <w:rsid w:val="00A76A18"/>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rsid w:val="00A76A18"/>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rsid w:val="00A76A18"/>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rsid w:val="00A76A18"/>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rsid w:val="00A76A18"/>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rsid w:val="00A76A18"/>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rsid w:val="00A76A18"/>
  </w:style>
  <w:style w:type="paragraph" w:customStyle="1" w:styleId="ITUbureau">
    <w:name w:val="ITU_bureau"/>
    <w:basedOn w:val="Normal"/>
    <w:rsid w:val="00A76A18"/>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rsid w:val="00A76A18"/>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rsid w:val="00A76A18"/>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rsid w:val="00A76A18"/>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rsid w:val="00A76A18"/>
    <w:pPr>
      <w:tabs>
        <w:tab w:val="left" w:pos="1418"/>
        <w:tab w:val="left" w:pos="1985"/>
        <w:tab w:val="left" w:pos="2268"/>
      </w:tabs>
      <w:ind w:firstLine="1304"/>
    </w:pPr>
  </w:style>
  <w:style w:type="paragraph" w:customStyle="1" w:styleId="Tiret">
    <w:name w:val="Tiret"/>
    <w:basedOn w:val="Normal"/>
    <w:rsid w:val="00A76A18"/>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rsid w:val="00A76A18"/>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rsid w:val="00A76A18"/>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rsid w:val="00A76A18"/>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rsid w:val="00A76A18"/>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rsid w:val="00A76A18"/>
    <w:pPr>
      <w:tabs>
        <w:tab w:val="clear" w:pos="1191"/>
        <w:tab w:val="clear" w:pos="1588"/>
        <w:tab w:val="clear" w:pos="1985"/>
        <w:tab w:val="left" w:pos="2127"/>
        <w:tab w:val="left" w:pos="2410"/>
        <w:tab w:val="left" w:pos="2921"/>
        <w:tab w:val="left" w:pos="3261"/>
      </w:tabs>
      <w:ind w:left="0" w:firstLine="0"/>
      <w:jc w:val="left"/>
      <w:outlineLvl w:val="9"/>
    </w:pPr>
    <w:rPr>
      <w:b w:val="0"/>
      <w:i/>
      <w:sz w:val="24"/>
      <w:lang w:val="fr-FR"/>
    </w:rPr>
  </w:style>
  <w:style w:type="paragraph" w:styleId="BodyTextIndent">
    <w:name w:val="Body Text Indent"/>
    <w:basedOn w:val="Normal"/>
    <w:link w:val="BodyTextIndentChar"/>
    <w:rsid w:val="00A76A18"/>
    <w:pPr>
      <w:tabs>
        <w:tab w:val="clear" w:pos="794"/>
        <w:tab w:val="clear" w:pos="1191"/>
        <w:tab w:val="clear" w:pos="1588"/>
        <w:tab w:val="clear" w:pos="1985"/>
      </w:tabs>
      <w:overflowPunct/>
      <w:autoSpaceDE/>
      <w:autoSpaceDN/>
      <w:adjustRightInd/>
      <w:spacing w:after="120"/>
      <w:ind w:left="1440"/>
      <w:jc w:val="left"/>
      <w:textAlignment w:val="auto"/>
    </w:pPr>
    <w:rPr>
      <w:rFonts w:ascii="Arial" w:hAnsi="Arial" w:cs="Arial"/>
      <w:szCs w:val="24"/>
      <w:lang w:val="fr-CH"/>
    </w:rPr>
  </w:style>
  <w:style w:type="character" w:customStyle="1" w:styleId="BodyTextIndentChar">
    <w:name w:val="Body Text Indent Char"/>
    <w:basedOn w:val="DefaultParagraphFont"/>
    <w:link w:val="BodyTextIndent"/>
    <w:rsid w:val="00A76A18"/>
    <w:rPr>
      <w:rFonts w:ascii="Arial" w:hAnsi="Arial" w:cs="Arial"/>
      <w:sz w:val="22"/>
      <w:szCs w:val="24"/>
      <w:lang w:val="fr-CH" w:eastAsia="en-US"/>
    </w:rPr>
  </w:style>
  <w:style w:type="paragraph" w:styleId="BlockText">
    <w:name w:val="Block Text"/>
    <w:basedOn w:val="Normal"/>
    <w:rsid w:val="00A76A18"/>
    <w:pPr>
      <w:spacing w:after="120"/>
      <w:ind w:left="1440" w:right="1440"/>
      <w:jc w:val="left"/>
    </w:pPr>
    <w:rPr>
      <w:sz w:val="24"/>
      <w:lang w:val="fr-FR"/>
    </w:rPr>
  </w:style>
  <w:style w:type="character" w:customStyle="1" w:styleId="BodyText2Char">
    <w:name w:val="Body Text 2 Char"/>
    <w:basedOn w:val="DefaultParagraphFont"/>
    <w:link w:val="BodyText2"/>
    <w:rsid w:val="00A76A18"/>
    <w:rPr>
      <w:rFonts w:ascii="Times New Roman" w:hAnsi="Times New Roman"/>
      <w:b/>
      <w:sz w:val="16"/>
      <w:lang w:val="en-GB" w:eastAsia="en-US"/>
    </w:rPr>
  </w:style>
  <w:style w:type="character" w:customStyle="1" w:styleId="BodyText3Char">
    <w:name w:val="Body Text 3 Char"/>
    <w:basedOn w:val="DefaultParagraphFont"/>
    <w:link w:val="BodyText3"/>
    <w:rsid w:val="00A76A18"/>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A76A18"/>
    <w:pPr>
      <w:spacing w:before="120" w:after="120"/>
      <w:ind w:firstLine="210"/>
      <w:jc w:val="left"/>
    </w:pPr>
    <w:rPr>
      <w:bCs w:val="0"/>
      <w:sz w:val="24"/>
      <w:lang w:val="fr-FR"/>
    </w:rPr>
  </w:style>
  <w:style w:type="character" w:customStyle="1" w:styleId="BodyTextChar1">
    <w:name w:val="Body Text Char1"/>
    <w:basedOn w:val="DefaultParagraphFont"/>
    <w:link w:val="BodyText"/>
    <w:rsid w:val="00A76A18"/>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A76A18"/>
    <w:rPr>
      <w:sz w:val="24"/>
      <w:lang w:val="fr-FR"/>
    </w:rPr>
  </w:style>
  <w:style w:type="paragraph" w:styleId="BodyTextFirstIndent2">
    <w:name w:val="Body Text First Indent 2"/>
    <w:basedOn w:val="BodyTextIndent"/>
    <w:link w:val="BodyTextFirstIndent2Char"/>
    <w:rsid w:val="00A76A18"/>
    <w:pPr>
      <w:tabs>
        <w:tab w:val="left" w:pos="794"/>
        <w:tab w:val="left" w:pos="1191"/>
        <w:tab w:val="left" w:pos="1588"/>
        <w:tab w:val="left" w:pos="1985"/>
      </w:tabs>
      <w:overflowPunct w:val="0"/>
      <w:autoSpaceDE w:val="0"/>
      <w:autoSpaceDN w:val="0"/>
      <w:adjustRightInd w:val="0"/>
      <w:ind w:left="283" w:firstLine="210"/>
      <w:textAlignment w:val="baseline"/>
    </w:pPr>
    <w:rPr>
      <w:rFonts w:ascii="Times New Roman" w:hAnsi="Times New Roman" w:cs="Times New Roman"/>
      <w:sz w:val="24"/>
      <w:szCs w:val="20"/>
      <w:lang w:val="fr-FR"/>
    </w:rPr>
  </w:style>
  <w:style w:type="character" w:customStyle="1" w:styleId="BodyTextFirstIndent2Char">
    <w:name w:val="Body Text First Indent 2 Char"/>
    <w:basedOn w:val="BodyTextIndentChar"/>
    <w:link w:val="BodyTextFirstIndent2"/>
    <w:rsid w:val="00A76A18"/>
    <w:rPr>
      <w:rFonts w:ascii="Times New Roman" w:hAnsi="Times New Roman"/>
      <w:sz w:val="24"/>
      <w:lang w:val="fr-FR"/>
    </w:rPr>
  </w:style>
  <w:style w:type="paragraph" w:styleId="BodyTextIndent2">
    <w:name w:val="Body Text Indent 2"/>
    <w:basedOn w:val="Normal"/>
    <w:link w:val="BodyTextIndent2Char"/>
    <w:rsid w:val="00A76A18"/>
    <w:pPr>
      <w:spacing w:after="120" w:line="480" w:lineRule="auto"/>
      <w:ind w:left="283"/>
      <w:jc w:val="left"/>
    </w:pPr>
    <w:rPr>
      <w:sz w:val="24"/>
      <w:lang w:val="fr-FR"/>
    </w:rPr>
  </w:style>
  <w:style w:type="character" w:customStyle="1" w:styleId="BodyTextIndent2Char">
    <w:name w:val="Body Text Indent 2 Char"/>
    <w:basedOn w:val="DefaultParagraphFont"/>
    <w:link w:val="BodyTextIndent2"/>
    <w:rsid w:val="00A76A18"/>
    <w:rPr>
      <w:rFonts w:ascii="Times New Roman" w:hAnsi="Times New Roman"/>
      <w:sz w:val="24"/>
      <w:lang w:val="fr-FR" w:eastAsia="en-US"/>
    </w:rPr>
  </w:style>
  <w:style w:type="paragraph" w:styleId="BodyTextIndent3">
    <w:name w:val="Body Text Indent 3"/>
    <w:basedOn w:val="Normal"/>
    <w:link w:val="BodyTextIndent3Char"/>
    <w:rsid w:val="00A76A18"/>
    <w:pPr>
      <w:spacing w:after="120"/>
      <w:ind w:left="283"/>
      <w:jc w:val="left"/>
    </w:pPr>
    <w:rPr>
      <w:sz w:val="16"/>
      <w:szCs w:val="16"/>
      <w:lang w:val="fr-FR"/>
    </w:rPr>
  </w:style>
  <w:style w:type="character" w:customStyle="1" w:styleId="BodyTextIndent3Char">
    <w:name w:val="Body Text Indent 3 Char"/>
    <w:basedOn w:val="DefaultParagraphFont"/>
    <w:link w:val="BodyTextIndent3"/>
    <w:rsid w:val="00A76A18"/>
    <w:rPr>
      <w:rFonts w:ascii="Times New Roman" w:hAnsi="Times New Roman"/>
      <w:sz w:val="16"/>
      <w:szCs w:val="16"/>
      <w:lang w:val="fr-FR" w:eastAsia="en-US"/>
    </w:rPr>
  </w:style>
  <w:style w:type="paragraph" w:styleId="Caption">
    <w:name w:val="caption"/>
    <w:basedOn w:val="Normal"/>
    <w:next w:val="Normal"/>
    <w:qFormat/>
    <w:rsid w:val="00A76A18"/>
    <w:pPr>
      <w:spacing w:after="120"/>
      <w:jc w:val="left"/>
    </w:pPr>
    <w:rPr>
      <w:b/>
      <w:bCs/>
      <w:sz w:val="20"/>
      <w:lang w:val="fr-FR"/>
    </w:rPr>
  </w:style>
  <w:style w:type="paragraph" w:styleId="Closing">
    <w:name w:val="Closing"/>
    <w:basedOn w:val="Normal"/>
    <w:link w:val="ClosingChar"/>
    <w:rsid w:val="00A76A18"/>
    <w:pPr>
      <w:ind w:left="4252"/>
      <w:jc w:val="left"/>
    </w:pPr>
    <w:rPr>
      <w:sz w:val="24"/>
      <w:lang w:val="fr-FR"/>
    </w:rPr>
  </w:style>
  <w:style w:type="character" w:customStyle="1" w:styleId="ClosingChar">
    <w:name w:val="Closing Char"/>
    <w:basedOn w:val="DefaultParagraphFont"/>
    <w:link w:val="Closing"/>
    <w:rsid w:val="00A76A18"/>
    <w:rPr>
      <w:rFonts w:ascii="Times New Roman" w:hAnsi="Times New Roman"/>
      <w:sz w:val="24"/>
      <w:lang w:val="fr-FR" w:eastAsia="en-US"/>
    </w:rPr>
  </w:style>
  <w:style w:type="paragraph" w:styleId="Date">
    <w:name w:val="Date"/>
    <w:basedOn w:val="Normal"/>
    <w:next w:val="Normal"/>
    <w:link w:val="DateChar"/>
    <w:rsid w:val="00A76A18"/>
    <w:pPr>
      <w:jc w:val="left"/>
    </w:pPr>
    <w:rPr>
      <w:sz w:val="24"/>
      <w:lang w:val="fr-FR"/>
    </w:rPr>
  </w:style>
  <w:style w:type="character" w:customStyle="1" w:styleId="DateChar">
    <w:name w:val="Date Char"/>
    <w:basedOn w:val="DefaultParagraphFont"/>
    <w:link w:val="Date"/>
    <w:rsid w:val="00A76A18"/>
    <w:rPr>
      <w:rFonts w:ascii="Times New Roman" w:hAnsi="Times New Roman"/>
      <w:sz w:val="24"/>
      <w:lang w:val="fr-FR" w:eastAsia="en-US"/>
    </w:rPr>
  </w:style>
  <w:style w:type="paragraph" w:styleId="DocumentMap">
    <w:name w:val="Document Map"/>
    <w:basedOn w:val="Normal"/>
    <w:link w:val="DocumentMapChar"/>
    <w:rsid w:val="00A76A18"/>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rsid w:val="00A76A18"/>
    <w:rPr>
      <w:rFonts w:ascii="Tahoma" w:hAnsi="Tahoma" w:cs="Tahoma"/>
      <w:sz w:val="24"/>
      <w:shd w:val="clear" w:color="auto" w:fill="000080"/>
      <w:lang w:val="fr-FR" w:eastAsia="en-US"/>
    </w:rPr>
  </w:style>
  <w:style w:type="paragraph" w:styleId="E-mailSignature">
    <w:name w:val="E-mail Signature"/>
    <w:basedOn w:val="Normal"/>
    <w:link w:val="E-mailSignatureChar"/>
    <w:rsid w:val="00A76A18"/>
    <w:pPr>
      <w:jc w:val="left"/>
    </w:pPr>
    <w:rPr>
      <w:sz w:val="24"/>
      <w:lang w:val="fr-FR"/>
    </w:rPr>
  </w:style>
  <w:style w:type="character" w:customStyle="1" w:styleId="E-mailSignatureChar">
    <w:name w:val="E-mail Signature Char"/>
    <w:basedOn w:val="DefaultParagraphFont"/>
    <w:link w:val="E-mailSignature"/>
    <w:rsid w:val="00A76A18"/>
    <w:rPr>
      <w:rFonts w:ascii="Times New Roman" w:hAnsi="Times New Roman"/>
      <w:sz w:val="24"/>
      <w:lang w:val="fr-FR" w:eastAsia="en-US"/>
    </w:rPr>
  </w:style>
  <w:style w:type="paragraph" w:styleId="HTMLAddress">
    <w:name w:val="HTML Address"/>
    <w:basedOn w:val="Normal"/>
    <w:link w:val="HTMLAddressChar"/>
    <w:rsid w:val="00A76A18"/>
    <w:pPr>
      <w:jc w:val="left"/>
    </w:pPr>
    <w:rPr>
      <w:i/>
      <w:iCs/>
      <w:sz w:val="24"/>
      <w:lang w:val="fr-FR"/>
    </w:rPr>
  </w:style>
  <w:style w:type="character" w:customStyle="1" w:styleId="HTMLAddressChar">
    <w:name w:val="HTML Address Char"/>
    <w:basedOn w:val="DefaultParagraphFont"/>
    <w:link w:val="HTMLAddress"/>
    <w:rsid w:val="00A76A18"/>
    <w:rPr>
      <w:rFonts w:ascii="Times New Roman" w:hAnsi="Times New Roman"/>
      <w:i/>
      <w:iCs/>
      <w:sz w:val="24"/>
      <w:lang w:val="fr-FR" w:eastAsia="en-US"/>
    </w:rPr>
  </w:style>
  <w:style w:type="paragraph" w:styleId="HTMLPreformatted">
    <w:name w:val="HTML Preformatted"/>
    <w:basedOn w:val="Normal"/>
    <w:link w:val="HTMLPreformattedChar"/>
    <w:rsid w:val="00A76A18"/>
    <w:pPr>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rsid w:val="00A76A18"/>
    <w:rPr>
      <w:rFonts w:ascii="Courier New" w:hAnsi="Courier New" w:cs="Courier New"/>
      <w:lang w:val="fr-FR" w:eastAsia="en-US"/>
    </w:rPr>
  </w:style>
  <w:style w:type="paragraph" w:styleId="Index8">
    <w:name w:val="index 8"/>
    <w:basedOn w:val="Normal"/>
    <w:next w:val="Normal"/>
    <w:autoRedefine/>
    <w:rsid w:val="00A76A18"/>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rsid w:val="00A76A18"/>
    <w:pPr>
      <w:tabs>
        <w:tab w:val="clear" w:pos="794"/>
        <w:tab w:val="clear" w:pos="1191"/>
        <w:tab w:val="clear" w:pos="1588"/>
        <w:tab w:val="clear" w:pos="1985"/>
      </w:tabs>
      <w:ind w:left="2160" w:hanging="240"/>
      <w:jc w:val="left"/>
    </w:pPr>
    <w:rPr>
      <w:sz w:val="24"/>
      <w:lang w:val="fr-FR"/>
    </w:rPr>
  </w:style>
  <w:style w:type="paragraph" w:styleId="List2">
    <w:name w:val="List 2"/>
    <w:basedOn w:val="Normal"/>
    <w:rsid w:val="00A76A18"/>
    <w:pPr>
      <w:ind w:left="566" w:hanging="283"/>
      <w:jc w:val="left"/>
    </w:pPr>
    <w:rPr>
      <w:sz w:val="24"/>
      <w:lang w:val="fr-FR"/>
    </w:rPr>
  </w:style>
  <w:style w:type="paragraph" w:styleId="List3">
    <w:name w:val="List 3"/>
    <w:basedOn w:val="Normal"/>
    <w:rsid w:val="00A76A18"/>
    <w:pPr>
      <w:ind w:left="849" w:hanging="283"/>
      <w:jc w:val="left"/>
    </w:pPr>
    <w:rPr>
      <w:sz w:val="24"/>
      <w:lang w:val="fr-FR"/>
    </w:rPr>
  </w:style>
  <w:style w:type="paragraph" w:styleId="List4">
    <w:name w:val="List 4"/>
    <w:basedOn w:val="Normal"/>
    <w:rsid w:val="00A76A18"/>
    <w:pPr>
      <w:ind w:left="1132" w:hanging="283"/>
      <w:jc w:val="left"/>
    </w:pPr>
    <w:rPr>
      <w:sz w:val="24"/>
      <w:lang w:val="fr-FR"/>
    </w:rPr>
  </w:style>
  <w:style w:type="paragraph" w:styleId="List5">
    <w:name w:val="List 5"/>
    <w:basedOn w:val="Normal"/>
    <w:rsid w:val="00A76A18"/>
    <w:pPr>
      <w:ind w:left="1415" w:hanging="283"/>
      <w:jc w:val="left"/>
    </w:pPr>
    <w:rPr>
      <w:sz w:val="24"/>
      <w:lang w:val="fr-FR"/>
    </w:rPr>
  </w:style>
  <w:style w:type="paragraph" w:styleId="ListBullet2">
    <w:name w:val="List Bullet 2"/>
    <w:basedOn w:val="Normal"/>
    <w:autoRedefine/>
    <w:rsid w:val="00A76A18"/>
    <w:pPr>
      <w:tabs>
        <w:tab w:val="num" w:pos="643"/>
      </w:tabs>
      <w:ind w:left="643" w:hanging="360"/>
      <w:jc w:val="left"/>
    </w:pPr>
    <w:rPr>
      <w:sz w:val="24"/>
      <w:lang w:val="fr-FR"/>
    </w:rPr>
  </w:style>
  <w:style w:type="paragraph" w:styleId="ListBullet3">
    <w:name w:val="List Bullet 3"/>
    <w:basedOn w:val="Normal"/>
    <w:autoRedefine/>
    <w:rsid w:val="00A76A18"/>
    <w:pPr>
      <w:tabs>
        <w:tab w:val="num" w:pos="926"/>
      </w:tabs>
      <w:ind w:left="926" w:hanging="360"/>
      <w:jc w:val="left"/>
    </w:pPr>
    <w:rPr>
      <w:sz w:val="24"/>
      <w:lang w:val="fr-FR"/>
    </w:rPr>
  </w:style>
  <w:style w:type="paragraph" w:styleId="ListBullet4">
    <w:name w:val="List Bullet 4"/>
    <w:basedOn w:val="Normal"/>
    <w:autoRedefine/>
    <w:rsid w:val="00A76A18"/>
    <w:pPr>
      <w:tabs>
        <w:tab w:val="clear" w:pos="1191"/>
        <w:tab w:val="num" w:pos="1209"/>
      </w:tabs>
      <w:ind w:left="1209" w:hanging="360"/>
      <w:jc w:val="left"/>
    </w:pPr>
    <w:rPr>
      <w:sz w:val="24"/>
      <w:lang w:val="fr-FR"/>
    </w:rPr>
  </w:style>
  <w:style w:type="paragraph" w:styleId="ListBullet5">
    <w:name w:val="List Bullet 5"/>
    <w:basedOn w:val="Normal"/>
    <w:autoRedefine/>
    <w:rsid w:val="00A76A18"/>
    <w:pPr>
      <w:tabs>
        <w:tab w:val="num" w:pos="1492"/>
      </w:tabs>
      <w:ind w:left="1492" w:hanging="360"/>
      <w:jc w:val="left"/>
    </w:pPr>
    <w:rPr>
      <w:sz w:val="24"/>
      <w:lang w:val="fr-FR"/>
    </w:rPr>
  </w:style>
  <w:style w:type="paragraph" w:styleId="ListContinue">
    <w:name w:val="List Continue"/>
    <w:basedOn w:val="Normal"/>
    <w:rsid w:val="00A76A18"/>
    <w:pPr>
      <w:spacing w:after="120"/>
      <w:ind w:left="283"/>
      <w:jc w:val="left"/>
    </w:pPr>
    <w:rPr>
      <w:sz w:val="24"/>
      <w:lang w:val="fr-FR"/>
    </w:rPr>
  </w:style>
  <w:style w:type="paragraph" w:styleId="ListContinue2">
    <w:name w:val="List Continue 2"/>
    <w:basedOn w:val="Normal"/>
    <w:rsid w:val="00A76A18"/>
    <w:pPr>
      <w:spacing w:after="120"/>
      <w:ind w:left="566"/>
      <w:jc w:val="left"/>
    </w:pPr>
    <w:rPr>
      <w:sz w:val="24"/>
      <w:lang w:val="fr-FR"/>
    </w:rPr>
  </w:style>
  <w:style w:type="paragraph" w:styleId="ListContinue3">
    <w:name w:val="List Continue 3"/>
    <w:basedOn w:val="Normal"/>
    <w:rsid w:val="00A76A18"/>
    <w:pPr>
      <w:spacing w:after="120"/>
      <w:ind w:left="849"/>
      <w:jc w:val="left"/>
    </w:pPr>
    <w:rPr>
      <w:sz w:val="24"/>
      <w:lang w:val="fr-FR"/>
    </w:rPr>
  </w:style>
  <w:style w:type="paragraph" w:styleId="ListContinue4">
    <w:name w:val="List Continue 4"/>
    <w:basedOn w:val="Normal"/>
    <w:rsid w:val="00A76A18"/>
    <w:pPr>
      <w:spacing w:after="120"/>
      <w:ind w:left="1132"/>
      <w:jc w:val="left"/>
    </w:pPr>
    <w:rPr>
      <w:sz w:val="24"/>
      <w:lang w:val="fr-FR"/>
    </w:rPr>
  </w:style>
  <w:style w:type="paragraph" w:styleId="ListContinue5">
    <w:name w:val="List Continue 5"/>
    <w:basedOn w:val="Normal"/>
    <w:rsid w:val="00A76A18"/>
    <w:pPr>
      <w:spacing w:after="120"/>
      <w:ind w:left="1415"/>
      <w:jc w:val="left"/>
    </w:pPr>
    <w:rPr>
      <w:sz w:val="24"/>
      <w:lang w:val="fr-FR"/>
    </w:rPr>
  </w:style>
  <w:style w:type="paragraph" w:styleId="ListNumber">
    <w:name w:val="List Number"/>
    <w:basedOn w:val="Normal"/>
    <w:rsid w:val="00A76A18"/>
    <w:pPr>
      <w:tabs>
        <w:tab w:val="num" w:pos="360"/>
      </w:tabs>
      <w:ind w:left="360" w:hanging="360"/>
      <w:jc w:val="left"/>
    </w:pPr>
    <w:rPr>
      <w:sz w:val="24"/>
      <w:lang w:val="fr-FR"/>
    </w:rPr>
  </w:style>
  <w:style w:type="paragraph" w:styleId="ListNumber2">
    <w:name w:val="List Number 2"/>
    <w:basedOn w:val="Normal"/>
    <w:rsid w:val="00A76A18"/>
    <w:pPr>
      <w:tabs>
        <w:tab w:val="num" w:pos="643"/>
      </w:tabs>
      <w:ind w:left="643" w:hanging="360"/>
      <w:jc w:val="left"/>
    </w:pPr>
    <w:rPr>
      <w:sz w:val="24"/>
      <w:lang w:val="fr-FR"/>
    </w:rPr>
  </w:style>
  <w:style w:type="paragraph" w:styleId="ListNumber3">
    <w:name w:val="List Number 3"/>
    <w:basedOn w:val="Normal"/>
    <w:rsid w:val="00A76A18"/>
    <w:pPr>
      <w:tabs>
        <w:tab w:val="num" w:pos="926"/>
      </w:tabs>
      <w:ind w:left="926" w:hanging="360"/>
      <w:jc w:val="left"/>
    </w:pPr>
    <w:rPr>
      <w:sz w:val="24"/>
      <w:lang w:val="fr-FR"/>
    </w:rPr>
  </w:style>
  <w:style w:type="paragraph" w:styleId="ListNumber4">
    <w:name w:val="List Number 4"/>
    <w:basedOn w:val="Normal"/>
    <w:rsid w:val="00A76A18"/>
    <w:pPr>
      <w:tabs>
        <w:tab w:val="clear" w:pos="1191"/>
        <w:tab w:val="num" w:pos="1209"/>
      </w:tabs>
      <w:ind w:left="1209" w:hanging="360"/>
      <w:jc w:val="left"/>
    </w:pPr>
    <w:rPr>
      <w:sz w:val="24"/>
      <w:lang w:val="fr-FR"/>
    </w:rPr>
  </w:style>
  <w:style w:type="paragraph" w:styleId="ListNumber5">
    <w:name w:val="List Number 5"/>
    <w:basedOn w:val="Normal"/>
    <w:rsid w:val="00A76A18"/>
    <w:pPr>
      <w:tabs>
        <w:tab w:val="num" w:pos="1492"/>
      </w:tabs>
      <w:ind w:left="1492" w:hanging="360"/>
      <w:jc w:val="left"/>
    </w:pPr>
    <w:rPr>
      <w:sz w:val="24"/>
      <w:lang w:val="fr-FR"/>
    </w:rPr>
  </w:style>
  <w:style w:type="paragraph" w:styleId="MacroText">
    <w:name w:val="macro"/>
    <w:link w:val="MacroTextChar"/>
    <w:rsid w:val="00A76A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lang w:val="fr-FR" w:eastAsia="en-US"/>
    </w:rPr>
  </w:style>
  <w:style w:type="character" w:customStyle="1" w:styleId="MacroTextChar">
    <w:name w:val="Macro Text Char"/>
    <w:basedOn w:val="DefaultParagraphFont"/>
    <w:link w:val="MacroText"/>
    <w:rsid w:val="00A76A18"/>
    <w:rPr>
      <w:rFonts w:ascii="Courier New" w:hAnsi="Courier New" w:cs="Courier New"/>
      <w:lang w:val="fr-FR" w:eastAsia="en-US"/>
    </w:rPr>
  </w:style>
  <w:style w:type="paragraph" w:styleId="MessageHeader">
    <w:name w:val="Message Header"/>
    <w:basedOn w:val="Normal"/>
    <w:link w:val="MessageHeaderChar"/>
    <w:rsid w:val="00A76A18"/>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lang w:val="fr-FR"/>
    </w:rPr>
  </w:style>
  <w:style w:type="character" w:customStyle="1" w:styleId="MessageHeaderChar">
    <w:name w:val="Message Header Char"/>
    <w:basedOn w:val="DefaultParagraphFont"/>
    <w:link w:val="MessageHeader"/>
    <w:rsid w:val="00A76A18"/>
    <w:rPr>
      <w:rFonts w:ascii="Arial" w:hAnsi="Arial" w:cs="Arial"/>
      <w:sz w:val="24"/>
      <w:szCs w:val="24"/>
      <w:shd w:val="pct20" w:color="auto" w:fill="auto"/>
      <w:lang w:val="fr-FR" w:eastAsia="en-US"/>
    </w:rPr>
  </w:style>
  <w:style w:type="paragraph" w:styleId="NoteHeading">
    <w:name w:val="Note Heading"/>
    <w:basedOn w:val="Normal"/>
    <w:next w:val="Normal"/>
    <w:link w:val="NoteHeadingChar"/>
    <w:rsid w:val="00A76A18"/>
    <w:pPr>
      <w:jc w:val="left"/>
    </w:pPr>
    <w:rPr>
      <w:sz w:val="24"/>
      <w:lang w:val="fr-FR"/>
    </w:rPr>
  </w:style>
  <w:style w:type="character" w:customStyle="1" w:styleId="NoteHeadingChar">
    <w:name w:val="Note Heading Char"/>
    <w:basedOn w:val="DefaultParagraphFont"/>
    <w:link w:val="NoteHeading"/>
    <w:rsid w:val="00A76A18"/>
    <w:rPr>
      <w:rFonts w:ascii="Times New Roman" w:hAnsi="Times New Roman"/>
      <w:sz w:val="24"/>
      <w:lang w:val="fr-FR" w:eastAsia="en-US"/>
    </w:rPr>
  </w:style>
  <w:style w:type="paragraph" w:styleId="PlainText">
    <w:name w:val="Plain Text"/>
    <w:basedOn w:val="Normal"/>
    <w:link w:val="PlainTextChar"/>
    <w:rsid w:val="00A76A18"/>
    <w:pPr>
      <w:jc w:val="left"/>
    </w:pPr>
    <w:rPr>
      <w:rFonts w:ascii="Courier New" w:hAnsi="Courier New" w:cs="Courier New"/>
      <w:sz w:val="20"/>
      <w:lang w:val="fr-FR"/>
    </w:rPr>
  </w:style>
  <w:style w:type="character" w:customStyle="1" w:styleId="PlainTextChar">
    <w:name w:val="Plain Text Char"/>
    <w:basedOn w:val="DefaultParagraphFont"/>
    <w:link w:val="PlainText"/>
    <w:rsid w:val="00A76A18"/>
    <w:rPr>
      <w:rFonts w:ascii="Courier New" w:hAnsi="Courier New" w:cs="Courier New"/>
      <w:lang w:val="fr-FR" w:eastAsia="en-US"/>
    </w:rPr>
  </w:style>
  <w:style w:type="paragraph" w:styleId="Salutation">
    <w:name w:val="Salutation"/>
    <w:basedOn w:val="Normal"/>
    <w:next w:val="Normal"/>
    <w:link w:val="SalutationChar"/>
    <w:rsid w:val="00A76A18"/>
    <w:pPr>
      <w:jc w:val="left"/>
    </w:pPr>
    <w:rPr>
      <w:sz w:val="24"/>
      <w:lang w:val="fr-FR"/>
    </w:rPr>
  </w:style>
  <w:style w:type="character" w:customStyle="1" w:styleId="SalutationChar">
    <w:name w:val="Salutation Char"/>
    <w:basedOn w:val="DefaultParagraphFont"/>
    <w:link w:val="Salutation"/>
    <w:rsid w:val="00A76A18"/>
    <w:rPr>
      <w:rFonts w:ascii="Times New Roman" w:hAnsi="Times New Roman"/>
      <w:sz w:val="24"/>
      <w:lang w:val="fr-FR" w:eastAsia="en-US"/>
    </w:rPr>
  </w:style>
  <w:style w:type="paragraph" w:styleId="Subtitle">
    <w:name w:val="Subtitle"/>
    <w:basedOn w:val="Normal"/>
    <w:link w:val="SubtitleChar"/>
    <w:qFormat/>
    <w:rsid w:val="00A76A18"/>
    <w:pPr>
      <w:spacing w:after="60"/>
      <w:jc w:val="center"/>
      <w:outlineLvl w:val="1"/>
    </w:pPr>
    <w:rPr>
      <w:rFonts w:ascii="Arial" w:hAnsi="Arial" w:cs="Arial"/>
      <w:sz w:val="24"/>
      <w:szCs w:val="24"/>
      <w:lang w:val="fr-FR"/>
    </w:rPr>
  </w:style>
  <w:style w:type="character" w:customStyle="1" w:styleId="SubtitleChar">
    <w:name w:val="Subtitle Char"/>
    <w:basedOn w:val="DefaultParagraphFont"/>
    <w:link w:val="Subtitle"/>
    <w:rsid w:val="00A76A18"/>
    <w:rPr>
      <w:rFonts w:ascii="Arial" w:hAnsi="Arial" w:cs="Arial"/>
      <w:sz w:val="24"/>
      <w:szCs w:val="24"/>
      <w:lang w:val="fr-FR" w:eastAsia="en-US"/>
    </w:rPr>
  </w:style>
  <w:style w:type="paragraph" w:styleId="TableofAuthorities">
    <w:name w:val="table of authorities"/>
    <w:basedOn w:val="Normal"/>
    <w:next w:val="Normal"/>
    <w:rsid w:val="00A76A18"/>
    <w:pPr>
      <w:tabs>
        <w:tab w:val="clear" w:pos="794"/>
        <w:tab w:val="clear" w:pos="1191"/>
        <w:tab w:val="clear" w:pos="1588"/>
        <w:tab w:val="clear" w:pos="1985"/>
      </w:tabs>
      <w:ind w:left="240" w:hanging="240"/>
      <w:jc w:val="left"/>
    </w:pPr>
    <w:rPr>
      <w:sz w:val="24"/>
      <w:lang w:val="fr-FR"/>
    </w:rPr>
  </w:style>
  <w:style w:type="character" w:customStyle="1" w:styleId="TitleChar">
    <w:name w:val="Title Char"/>
    <w:basedOn w:val="DefaultParagraphFont"/>
    <w:link w:val="Title"/>
    <w:rsid w:val="00A76A18"/>
    <w:rPr>
      <w:rFonts w:ascii="Times New Roman" w:hAnsi="Times New Roman"/>
      <w:b/>
      <w:sz w:val="32"/>
      <w:szCs w:val="24"/>
      <w:lang w:eastAsia="en-US"/>
    </w:rPr>
  </w:style>
  <w:style w:type="paragraph" w:styleId="TOAHeading">
    <w:name w:val="toa heading"/>
    <w:basedOn w:val="Normal"/>
    <w:next w:val="Normal"/>
    <w:rsid w:val="00A76A18"/>
    <w:pPr>
      <w:jc w:val="left"/>
    </w:pPr>
    <w:rPr>
      <w:rFonts w:ascii="Arial" w:hAnsi="Arial" w:cs="Arial"/>
      <w:b/>
      <w:bCs/>
      <w:sz w:val="24"/>
      <w:szCs w:val="24"/>
      <w:lang w:val="fr-FR"/>
    </w:rPr>
  </w:style>
  <w:style w:type="paragraph" w:styleId="z-TopofForm">
    <w:name w:val="HTML Top of Form"/>
    <w:basedOn w:val="Normal"/>
    <w:next w:val="Normal"/>
    <w:link w:val="z-TopofFormChar"/>
    <w:hidden/>
    <w:rsid w:val="00A76A18"/>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rsid w:val="00A76A18"/>
    <w:rPr>
      <w:rFonts w:ascii="Arial" w:hAnsi="Arial" w:cs="Arial"/>
      <w:vanish/>
      <w:sz w:val="16"/>
      <w:szCs w:val="16"/>
      <w:lang w:val="fr-FR" w:eastAsia="en-US"/>
    </w:rPr>
  </w:style>
  <w:style w:type="paragraph" w:styleId="z-BottomofForm">
    <w:name w:val="HTML Bottom of Form"/>
    <w:basedOn w:val="Normal"/>
    <w:next w:val="Normal"/>
    <w:link w:val="z-BottomofFormChar"/>
    <w:hidden/>
    <w:rsid w:val="00A76A18"/>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rsid w:val="00A76A18"/>
    <w:rPr>
      <w:rFonts w:ascii="Arial" w:hAnsi="Arial" w:cs="Arial"/>
      <w:vanish/>
      <w:sz w:val="16"/>
      <w:szCs w:val="16"/>
      <w:lang w:val="fr-FR" w:eastAsia="en-US"/>
    </w:rPr>
  </w:style>
  <w:style w:type="character" w:customStyle="1" w:styleId="TabletextChar">
    <w:name w:val="Table_text Char"/>
    <w:basedOn w:val="DefaultParagraphFont"/>
    <w:rsid w:val="00A76A18"/>
    <w:rPr>
      <w:sz w:val="22"/>
      <w:lang w:eastAsia="en-US" w:bidi="ar-SA"/>
    </w:rPr>
  </w:style>
  <w:style w:type="character" w:customStyle="1" w:styleId="sensecontent">
    <w:name w:val="sense_content"/>
    <w:basedOn w:val="DefaultParagraphFont"/>
    <w:rsid w:val="00A76A18"/>
  </w:style>
  <w:style w:type="paragraph" w:customStyle="1" w:styleId="Glossaryterm-text">
    <w:name w:val="Glossary_term-text"/>
    <w:basedOn w:val="Normal"/>
    <w:rsid w:val="00A76A18"/>
    <w:pPr>
      <w:spacing w:before="0"/>
      <w:ind w:right="113"/>
      <w:jc w:val="left"/>
    </w:pPr>
    <w:rPr>
      <w:iCs/>
      <w:sz w:val="19"/>
      <w:lang w:val="en-US"/>
    </w:rPr>
  </w:style>
  <w:style w:type="paragraph" w:customStyle="1" w:styleId="CEONormal">
    <w:name w:val="CEO_Normal"/>
    <w:link w:val="CEONormalChar"/>
    <w:autoRedefine/>
    <w:rsid w:val="00C82AF3"/>
    <w:pPr>
      <w:tabs>
        <w:tab w:val="left" w:pos="567"/>
        <w:tab w:val="left" w:pos="2198"/>
      </w:tabs>
      <w:spacing w:before="120"/>
    </w:pPr>
    <w:rPr>
      <w:rFonts w:ascii="Verdana" w:hAnsi="Verdana"/>
      <w:sz w:val="19"/>
      <w:szCs w:val="19"/>
      <w:lang w:val="en-GB" w:eastAsia="en-US"/>
    </w:rPr>
  </w:style>
  <w:style w:type="paragraph" w:customStyle="1" w:styleId="CEOcontribution-H123">
    <w:name w:val="CEO_contribution-H123"/>
    <w:basedOn w:val="Normal"/>
    <w:rsid w:val="00C82AF3"/>
    <w:pPr>
      <w:numPr>
        <w:numId w:val="20"/>
      </w:numPr>
      <w:tabs>
        <w:tab w:val="clear" w:pos="720"/>
        <w:tab w:val="clear" w:pos="794"/>
        <w:tab w:val="clear" w:pos="1191"/>
        <w:tab w:val="clear" w:pos="1588"/>
        <w:tab w:val="clear" w:pos="1985"/>
        <w:tab w:val="num" w:pos="567"/>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Indent1-123">
    <w:name w:val="CEO_Indent1-123"/>
    <w:basedOn w:val="Normal"/>
    <w:rsid w:val="00C82AF3"/>
    <w:pPr>
      <w:numPr>
        <w:numId w:val="18"/>
      </w:num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Indent-bulletsblackdot">
    <w:name w:val="CEO_Indent-bulletsblackdot"/>
    <w:basedOn w:val="Normal"/>
    <w:rsid w:val="00C82AF3"/>
    <w:pPr>
      <w:numPr>
        <w:numId w:val="19"/>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FigureBody">
    <w:name w:val="Figure Body"/>
    <w:basedOn w:val="Normal"/>
    <w:rsid w:val="00C82AF3"/>
    <w:pPr>
      <w:keepNext/>
      <w:keepLines/>
      <w:shd w:val="clear" w:color="00FFFF" w:fill="E0E0E0"/>
      <w:tabs>
        <w:tab w:val="clear" w:pos="794"/>
        <w:tab w:val="clear" w:pos="1191"/>
        <w:tab w:val="clear" w:pos="1588"/>
        <w:tab w:val="clear" w:pos="1985"/>
        <w:tab w:val="left" w:pos="142"/>
        <w:tab w:val="left" w:pos="4536"/>
      </w:tabs>
      <w:overflowPunct/>
      <w:autoSpaceDE/>
      <w:autoSpaceDN/>
      <w:adjustRightInd/>
      <w:spacing w:before="0"/>
      <w:textAlignment w:val="auto"/>
    </w:pPr>
    <w:rPr>
      <w:rFonts w:ascii="Book Antiqua" w:eastAsia="SimSun" w:hAnsi="Book Antiqua"/>
      <w:sz w:val="18"/>
    </w:rPr>
  </w:style>
  <w:style w:type="paragraph" w:customStyle="1" w:styleId="FigureSubtitle">
    <w:name w:val="Figure Subtitle"/>
    <w:basedOn w:val="Normal"/>
    <w:next w:val="Normal"/>
    <w:rsid w:val="00C82AF3"/>
    <w:pPr>
      <w:keepNext/>
      <w:keepLines/>
      <w:widowControl w:val="0"/>
      <w:shd w:val="clear" w:color="00FFFF" w:fill="E0E0E0"/>
      <w:tabs>
        <w:tab w:val="clear" w:pos="794"/>
        <w:tab w:val="clear" w:pos="1191"/>
        <w:tab w:val="clear" w:pos="1588"/>
        <w:tab w:val="clear" w:pos="1985"/>
        <w:tab w:val="left" w:pos="142"/>
        <w:tab w:val="left" w:pos="170"/>
      </w:tabs>
      <w:overflowPunct/>
      <w:autoSpaceDE/>
      <w:autoSpaceDN/>
      <w:adjustRightInd/>
      <w:spacing w:before="0" w:after="120"/>
      <w:textAlignment w:val="auto"/>
    </w:pPr>
    <w:rPr>
      <w:rFonts w:ascii="Verdana" w:eastAsia="SimSun" w:hAnsi="Verdana"/>
      <w:i/>
      <w:sz w:val="16"/>
    </w:rPr>
  </w:style>
  <w:style w:type="character" w:customStyle="1" w:styleId="headertext1">
    <w:name w:val="headertext1"/>
    <w:basedOn w:val="DefaultParagraphFont"/>
    <w:rsid w:val="00C82AF3"/>
    <w:rPr>
      <w:rFonts w:ascii="Arial" w:hAnsi="Arial" w:cs="Arial"/>
      <w:b/>
      <w:bCs/>
      <w:caps/>
      <w:noProof w:val="0"/>
      <w:color w:val="222222"/>
      <w:spacing w:val="45"/>
      <w:sz w:val="20"/>
      <w:szCs w:val="20"/>
      <w:lang w:val="en-GB"/>
    </w:rPr>
  </w:style>
  <w:style w:type="character" w:customStyle="1" w:styleId="CEONormalChar">
    <w:name w:val="CEO_Normal Char"/>
    <w:basedOn w:val="DefaultParagraphFont"/>
    <w:link w:val="CEONormal"/>
    <w:locked/>
    <w:rsid w:val="00C82AF3"/>
    <w:rPr>
      <w:rFonts w:ascii="Verdana" w:hAnsi="Verdana"/>
      <w:sz w:val="19"/>
      <w:szCs w:val="19"/>
      <w:lang w:val="en-GB" w:eastAsia="en-US"/>
    </w:rPr>
  </w:style>
  <w:style w:type="character" w:styleId="Strong">
    <w:name w:val="Strong"/>
    <w:basedOn w:val="DefaultParagraphFont"/>
    <w:uiPriority w:val="22"/>
    <w:qFormat/>
    <w:rsid w:val="00C82AF3"/>
    <w:rPr>
      <w:rFonts w:ascii="Trebuchet MS" w:hAnsi="Trebuchet MS"/>
      <w:b/>
      <w:bCs/>
      <w:noProof w:val="0"/>
      <w:lang w:val="en-GB"/>
    </w:rPr>
  </w:style>
  <w:style w:type="character" w:customStyle="1" w:styleId="HeaderChar">
    <w:name w:val="Header Char"/>
    <w:basedOn w:val="DefaultParagraphFont"/>
    <w:link w:val="Header"/>
    <w:rsid w:val="00143DA4"/>
    <w:rPr>
      <w:rFonts w:ascii="Times New Roman" w:hAnsi="Times New Roman"/>
      <w:b/>
      <w:sz w:val="22"/>
      <w:lang w:val="en-GB"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en.wikipedia.org/wiki/Videoconferencing" TargetMode="External"/><Relationship Id="rId26" Type="http://schemas.openxmlformats.org/officeDocument/2006/relationships/hyperlink" Target="http://eurlex.europa.eu/LexUriServ/LexUriServ.do?uri=COM:2008:0868:FIN:E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intweb/conf/refinfo/TRAD/F/ITU-D/SG-D/SG01/200/www.srri.net/AboutUs/EconEffectsBB_Research.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wikipedia.org/wiki/Virtual_private_networks" TargetMode="External"/><Relationship Id="rId25" Type="http://schemas.openxmlformats.org/officeDocument/2006/relationships/hyperlink" Target="http://www.itu.int/md/D06-SG01-C-0278/en" TargetMode="External"/><Relationship Id="rId33" Type="http://schemas.openxmlformats.org/officeDocument/2006/relationships/hyperlink" Target="http://www.bls.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Broadband" TargetMode="External"/><Relationship Id="rId29" Type="http://schemas.openxmlformats.org/officeDocument/2006/relationships/hyperlink" Target="http://www.discovery.org/scripts/viewDB/index.php?command=view&amp;id=220&amp;isFello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hyperlink" Target="http://www.uneca.org/codist/codi5/content/Issues_Paper_Impact_ICTs_Employent_Poverty_Alleviation_Africa-Ubaru-EN.ppt" TargetMode="External"/><Relationship Id="rId37"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en.wikipedia.org/wiki/Bankruptcy" TargetMode="External"/><Relationship Id="rId28" Type="http://schemas.openxmlformats.org/officeDocument/2006/relationships/hyperlink" Target="http://www.gsmlaa.org/files/content/0/93/GSM%20LA%20Study_The%20Economic%20Impact_English.pdf"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en.wikipedia.org/wiki/Voice_over_IP" TargetMode="External"/><Relationship Id="rId31" Type="http://schemas.openxmlformats.org/officeDocument/2006/relationships/hyperlink" Target="http://www.itu.int/md/D06-SG01-C-0284/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emf"/><Relationship Id="rId27" Type="http://schemas.openxmlformats.org/officeDocument/2006/relationships/hyperlink" Target="http://www.unionnetwork.org/unitelecom.nsf/7bc3a7f8037b9be5c12568f90032d10f/a7bcfdb71bf0bc29c125692100536529?OpenDocument" TargetMode="External"/><Relationship Id="rId30" Type="http://schemas.openxmlformats.org/officeDocument/2006/relationships/hyperlink" Target="http://www.discovery.org/scripts/viewDB/index.php?command=view&amp;program=DI%20Main%20Page%20-%20News&amp;id=4235" TargetMode="External"/><Relationship Id="rId35" Type="http://schemas.openxmlformats.org/officeDocument/2006/relationships/hyperlink" Target="http://www.vivendi.com/vivendi/Contributions-of-Maroc-Te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md/D06-SG01-C-0278/en" TargetMode="External"/><Relationship Id="rId3" Type="http://schemas.openxmlformats.org/officeDocument/2006/relationships/hyperlink" Target="http://www.uneca.org/codist/codi5/content/Issues_Paper_Impact_ICTs_Employent_Poverty_Alleviation_Africa-Ubaru-EN.ppt" TargetMode="External"/><Relationship Id="rId7" Type="http://schemas.openxmlformats.org/officeDocument/2006/relationships/hyperlink" Target="http://eurlex.europa.eu/LexUriServ/LexUriServ.do?uri=COM:2008:0868:FIN:EN:PDF" TargetMode="External"/><Relationship Id="rId2" Type="http://schemas.openxmlformats.org/officeDocument/2006/relationships/hyperlink" Target="http://www.gsmlaa.org/files/content/0/93/GSM%20LA%20Study_The%20Economic%20Impact_English.pdf" TargetMode="External"/><Relationship Id="rId1" Type="http://schemas.openxmlformats.org/officeDocument/2006/relationships/hyperlink" Target="http://www.discovery.org/scripts/viewDB/index.php?command=view&amp;id=220&amp;isFellow=true" TargetMode="External"/><Relationship Id="rId6" Type="http://schemas.openxmlformats.org/officeDocument/2006/relationships/hyperlink" Target="http://www.unionnetwork.org/unitelecom.nsf/7bc3a7f8037b9be5c12568f90032d10f/a7bcfdb71bf0bc29c125692100536529?OpenDocument" TargetMode="External"/><Relationship Id="rId5" Type="http://schemas.openxmlformats.org/officeDocument/2006/relationships/hyperlink" Target="http://www.bls.gov/" TargetMode="External"/><Relationship Id="rId10" Type="http://schemas.openxmlformats.org/officeDocument/2006/relationships/hyperlink" Target="http://www.vivendi.com/vivendi/Contributions-of-Maroc-Telecom" TargetMode="External"/><Relationship Id="rId4" Type="http://schemas.openxmlformats.org/officeDocument/2006/relationships/hyperlink" Target="http://www.itu.int/md/D06-SG01-C-0284/en" TargetMode="External"/><Relationship Id="rId9" Type="http://schemas.openxmlformats.org/officeDocument/2006/relationships/hyperlink" Target="http://intweb/conf/refinfo/TRAD/F/ITU-D/SG-D/SG01/200/www.srri.net/AboutUs/EconEffectsBB_Researc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3DCB-18D0-4DA3-931B-DF6FB9B9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61</TotalTime>
  <Pages>23</Pages>
  <Words>9247</Words>
  <Characters>52712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61836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clausel</cp:lastModifiedBy>
  <cp:revision>27</cp:revision>
  <cp:lastPrinted>2010-02-10T08:13:00Z</cp:lastPrinted>
  <dcterms:created xsi:type="dcterms:W3CDTF">2010-05-10T11:45:00Z</dcterms:created>
  <dcterms:modified xsi:type="dcterms:W3CDTF">2010-05-25T08:22:00Z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