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3D93" w14:textId="77777777" w:rsidR="00745E9E" w:rsidRPr="00E17456" w:rsidRDefault="00745E9E" w:rsidP="00745E9E">
      <w:pPr>
        <w:pStyle w:val="ResNo"/>
        <w:rPr>
          <w:lang w:val="es-ES_tradnl"/>
        </w:rPr>
      </w:pPr>
      <w:bookmarkStart w:id="0" w:name="_Toc116917070"/>
      <w:bookmarkStart w:id="1" w:name="_Toc116918639"/>
      <w:bookmarkStart w:id="2" w:name="_Toc116919130"/>
      <w:bookmarkStart w:id="3" w:name="_Toc116919617"/>
      <w:r w:rsidRPr="00E17456">
        <w:rPr>
          <w:lang w:val="es-ES_tradnl"/>
        </w:rPr>
        <w:t xml:space="preserve">RESOLUCIÓN </w:t>
      </w:r>
      <w:r w:rsidRPr="00E17456">
        <w:rPr>
          <w:rStyle w:val="href"/>
          <w:lang w:val="es-ES_tradnl"/>
        </w:rPr>
        <w:t>85</w:t>
      </w:r>
      <w:r w:rsidRPr="00E17456">
        <w:rPr>
          <w:lang w:val="es-ES_tradnl"/>
        </w:rPr>
        <w:t xml:space="preserve"> (Rev. Kigali, 2022)</w:t>
      </w:r>
      <w:bookmarkEnd w:id="0"/>
      <w:bookmarkEnd w:id="1"/>
      <w:bookmarkEnd w:id="2"/>
      <w:bookmarkEnd w:id="3"/>
    </w:p>
    <w:p w14:paraId="5B2F06A5" w14:textId="77777777" w:rsidR="00745E9E" w:rsidRPr="00E17456" w:rsidRDefault="00745E9E" w:rsidP="00745E9E">
      <w:pPr>
        <w:pStyle w:val="Restitle"/>
        <w:rPr>
          <w:lang w:val="es-ES_tradnl"/>
        </w:rPr>
      </w:pPr>
      <w:bookmarkStart w:id="4" w:name="_Toc116917071"/>
      <w:bookmarkStart w:id="5" w:name="_Toc116918640"/>
      <w:bookmarkStart w:id="6" w:name="_Toc116919131"/>
      <w:bookmarkStart w:id="7" w:name="_Toc116919618"/>
      <w:r w:rsidRPr="00E17456">
        <w:rPr>
          <w:lang w:val="es-ES_tradnl"/>
        </w:rPr>
        <w:t>Facilitación de la Internet de las cosas y las ciudades y comunidades</w:t>
      </w:r>
      <w:r w:rsidRPr="00E17456">
        <w:rPr>
          <w:lang w:val="es-ES_tradnl"/>
        </w:rPr>
        <w:br/>
        <w:t>inteligentes y sostenibles para el desarrollo mundial</w:t>
      </w:r>
      <w:bookmarkEnd w:id="4"/>
      <w:bookmarkEnd w:id="5"/>
      <w:bookmarkEnd w:id="6"/>
      <w:bookmarkEnd w:id="7"/>
    </w:p>
    <w:p w14:paraId="361EC467" w14:textId="77777777" w:rsidR="00745E9E" w:rsidRPr="00E17456" w:rsidRDefault="00745E9E" w:rsidP="00745E9E">
      <w:pPr>
        <w:pStyle w:val="Normalaftertitle"/>
        <w:keepNext/>
        <w:keepLines/>
        <w:rPr>
          <w:lang w:val="es-ES_tradnl"/>
        </w:rPr>
      </w:pPr>
      <w:r w:rsidRPr="00E17456">
        <w:rPr>
          <w:lang w:val="es-ES_tradnl"/>
        </w:rPr>
        <w:t>La Conferencia Mundial de Desarrollo de las Telecomunicaciones (Kigali, 2022),</w:t>
      </w:r>
    </w:p>
    <w:p w14:paraId="556182CD" w14:textId="77777777" w:rsidR="00745E9E" w:rsidRPr="00E17456" w:rsidRDefault="00745E9E" w:rsidP="00745E9E">
      <w:pPr>
        <w:pStyle w:val="Call"/>
        <w:rPr>
          <w:lang w:val="es-ES_tradnl"/>
        </w:rPr>
      </w:pPr>
      <w:r w:rsidRPr="00E17456">
        <w:rPr>
          <w:lang w:val="es-ES_tradnl"/>
        </w:rPr>
        <w:t>recordando</w:t>
      </w:r>
    </w:p>
    <w:p w14:paraId="18E3D515" w14:textId="77777777" w:rsidR="00745E9E" w:rsidRPr="00E17456" w:rsidRDefault="00745E9E" w:rsidP="00745E9E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i/>
          <w:iCs/>
          <w:lang w:val="es-ES_tradnl"/>
        </w:rPr>
        <w:tab/>
      </w:r>
      <w:r w:rsidRPr="00E17456">
        <w:rPr>
          <w:lang w:val="es-ES_tradnl"/>
        </w:rPr>
        <w:t>la Resolución 197 (Dubái, 2018), Facilitación de la Internet de las cosas y las ciudades y comunidades inteligentes y sostenibles (CCIS), de la Conferencia de Plenipotenciarios;</w:t>
      </w:r>
    </w:p>
    <w:p w14:paraId="77723B9A" w14:textId="77777777" w:rsidR="00745E9E" w:rsidRPr="00E17456" w:rsidRDefault="00745E9E" w:rsidP="00745E9E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i/>
          <w:iCs/>
          <w:lang w:val="es-ES_tradnl"/>
        </w:rPr>
        <w:tab/>
      </w:r>
      <w:r w:rsidRPr="00E17456">
        <w:rPr>
          <w:lang w:val="es-ES_tradnl"/>
        </w:rPr>
        <w:t>la Resolución UIT-R 66-1 (Rev. Sharm el-Sheikh, 2019), Estudios relativos a sistemas y aplicaciones inalámbricos para el desarrollo de Internet de las cosas (IoT), de la Asamblea de Radiocomunicaciones;</w:t>
      </w:r>
    </w:p>
    <w:p w14:paraId="74656CE4" w14:textId="77777777" w:rsidR="00745E9E" w:rsidRPr="00E17456" w:rsidRDefault="00745E9E" w:rsidP="00745E9E">
      <w:pPr>
        <w:rPr>
          <w:lang w:val="es-ES_tradnl"/>
        </w:rPr>
      </w:pPr>
      <w:r w:rsidRPr="00E17456">
        <w:rPr>
          <w:i/>
          <w:iCs/>
          <w:lang w:val="es-ES_tradnl"/>
        </w:rPr>
        <w:t>c)</w:t>
      </w:r>
      <w:r w:rsidRPr="00E17456">
        <w:rPr>
          <w:i/>
          <w:iCs/>
          <w:lang w:val="es-ES_tradnl"/>
        </w:rPr>
        <w:tab/>
      </w:r>
      <w:r w:rsidRPr="00E17456">
        <w:rPr>
          <w:lang w:val="es-ES_tradnl"/>
        </w:rPr>
        <w:t>la Resolución 98 (Rev. Ginebra, 2022), Fortalecimiento de la normalización sobre IoT y las ciudades y comunidades inteligentes (CCI) para el desarrollo mundial, de la Asamblea Mundial de Normalización de las Telecomunicaciones;</w:t>
      </w:r>
    </w:p>
    <w:p w14:paraId="720F6109" w14:textId="77777777" w:rsidR="00745E9E" w:rsidRPr="00E17456" w:rsidRDefault="00745E9E" w:rsidP="00745E9E">
      <w:pPr>
        <w:rPr>
          <w:lang w:val="es-ES_tradnl"/>
        </w:rPr>
      </w:pPr>
      <w:r w:rsidRPr="00E17456">
        <w:rPr>
          <w:i/>
          <w:iCs/>
          <w:lang w:val="es-ES_tradnl"/>
        </w:rPr>
        <w:t>d)</w:t>
      </w:r>
      <w:r w:rsidRPr="00E17456">
        <w:rPr>
          <w:i/>
          <w:iCs/>
          <w:lang w:val="es-ES_tradnl"/>
        </w:rPr>
        <w:tab/>
      </w:r>
      <w:r w:rsidRPr="00E17456">
        <w:rPr>
          <w:lang w:val="es-ES_tradnl"/>
        </w:rPr>
        <w:t>la Resolución 50 (Rev. Kigali, 2022), Integración óptima de las tecnologías de la información y la comunicación (TIC), de la presente Conferencia;</w:t>
      </w:r>
    </w:p>
    <w:p w14:paraId="530A7A00" w14:textId="77777777" w:rsidR="00745E9E" w:rsidRPr="00E17456" w:rsidRDefault="00745E9E" w:rsidP="00745E9E">
      <w:pPr>
        <w:rPr>
          <w:lang w:val="es-ES_tradnl"/>
        </w:rPr>
      </w:pPr>
      <w:r w:rsidRPr="00E17456">
        <w:rPr>
          <w:i/>
          <w:iCs/>
          <w:lang w:val="es-ES_tradnl"/>
        </w:rPr>
        <w:t>e)</w:t>
      </w:r>
      <w:r w:rsidRPr="00E17456">
        <w:rPr>
          <w:lang w:val="es-ES_tradnl"/>
        </w:rPr>
        <w:tab/>
        <w:t>los objetivos del Sector de Desarrollo de las Telecomunicaciones de la UIT (UIT-D), definidos en la Resolución 71 (Rev. Dubái, 2018) de la Conferencia de Plenipotenciarios, Plan Estratégico de la Unión para 2020-2023, y en concreto el Objetivo D.3 en el que se encomienda al UIT</w:t>
      </w:r>
      <w:r w:rsidRPr="00E17456">
        <w:rPr>
          <w:lang w:val="es-ES_tradnl"/>
        </w:rPr>
        <w:noBreakHyphen/>
        <w:t>D la tarea de fomentar un entorno político y reglamentario habilitador que propicie el desarrollo sostenible de las telecomunicaciones/TIC;</w:t>
      </w:r>
    </w:p>
    <w:p w14:paraId="53F722D9" w14:textId="77777777" w:rsidR="00745E9E" w:rsidRPr="00E17456" w:rsidRDefault="00745E9E" w:rsidP="00745E9E">
      <w:pPr>
        <w:rPr>
          <w:lang w:val="es-ES_tradnl"/>
        </w:rPr>
      </w:pPr>
      <w:r w:rsidRPr="00E17456">
        <w:rPr>
          <w:i/>
          <w:iCs/>
          <w:lang w:val="es-ES_tradnl"/>
        </w:rPr>
        <w:t>f)</w:t>
      </w:r>
      <w:r w:rsidRPr="00E17456">
        <w:rPr>
          <w:lang w:val="es-ES_tradnl"/>
        </w:rPr>
        <w:tab/>
        <w:t>la Recomendaci</w:t>
      </w:r>
      <w:r w:rsidRPr="00E17456">
        <w:rPr>
          <w:rFonts w:eastAsia="Helvetica" w:cs="Helvetica"/>
          <w:lang w:val="es-ES_tradnl"/>
        </w:rPr>
        <w:t>ón UIT-D 22</w:t>
      </w:r>
      <w:r w:rsidRPr="00E17456">
        <w:rPr>
          <w:lang w:val="es-ES_tradnl"/>
        </w:rPr>
        <w:t xml:space="preserve"> (Dub</w:t>
      </w:r>
      <w:r w:rsidRPr="00E17456">
        <w:rPr>
          <w:rFonts w:eastAsia="Helvetica" w:cs="Helvetica"/>
          <w:lang w:val="es-ES_tradnl"/>
        </w:rPr>
        <w:t>á</w:t>
      </w:r>
      <w:r w:rsidRPr="00E17456">
        <w:rPr>
          <w:lang w:val="es-ES_tradnl"/>
        </w:rPr>
        <w:t>i, 2014), Reducci</w:t>
      </w:r>
      <w:r w:rsidRPr="00E17456">
        <w:rPr>
          <w:rFonts w:eastAsia="Helvetica" w:cs="Helvetica"/>
          <w:lang w:val="es-ES_tradnl"/>
        </w:rPr>
        <w:t>ón de la brecha de normalización en asociación con los Grupos Regionales de las Comisiones de Estudio, de la Conferencia Mundial de Desarrollo de las Telecomunicaciones (CMDT);</w:t>
      </w:r>
    </w:p>
    <w:p w14:paraId="4B00B84C" w14:textId="77777777" w:rsidR="00745E9E" w:rsidRPr="00E17456" w:rsidRDefault="00745E9E" w:rsidP="00745E9E">
      <w:pPr>
        <w:rPr>
          <w:lang w:val="es-ES_tradnl"/>
        </w:rPr>
      </w:pPr>
      <w:r w:rsidRPr="00E17456">
        <w:rPr>
          <w:i/>
          <w:iCs/>
          <w:lang w:val="es-ES_tradnl"/>
        </w:rPr>
        <w:t>g)</w:t>
      </w:r>
      <w:r w:rsidRPr="00E17456">
        <w:rPr>
          <w:i/>
          <w:iCs/>
          <w:lang w:val="es-ES_tradnl"/>
        </w:rPr>
        <w:tab/>
      </w:r>
      <w:r w:rsidRPr="00E17456">
        <w:rPr>
          <w:lang w:val="es-ES_tradnl"/>
        </w:rPr>
        <w:t>la Resolución 139 (Rev. Dubái, 2018), Utilización de las telecomunicaciones/TIC para reducir la brecha digital y crear una sociedad de la información integradora, de la Conferencia de Plenipotenciarios;</w:t>
      </w:r>
    </w:p>
    <w:p w14:paraId="75AB10CD" w14:textId="77777777" w:rsidR="00745E9E" w:rsidRPr="00E17456" w:rsidRDefault="00745E9E" w:rsidP="00745E9E">
      <w:pPr>
        <w:rPr>
          <w:lang w:val="es-ES_tradnl"/>
        </w:rPr>
      </w:pPr>
      <w:r w:rsidRPr="00E17456">
        <w:rPr>
          <w:i/>
          <w:iCs/>
          <w:lang w:val="es-ES_tradnl"/>
        </w:rPr>
        <w:t>h)</w:t>
      </w:r>
      <w:r w:rsidRPr="00E17456">
        <w:rPr>
          <w:i/>
          <w:iCs/>
          <w:lang w:val="es-ES_tradnl"/>
        </w:rPr>
        <w:tab/>
      </w:r>
      <w:r w:rsidRPr="00E17456">
        <w:rPr>
          <w:lang w:val="es-ES_tradnl"/>
        </w:rPr>
        <w:t>la Resolución 77 (Rev. Buenos Aires, 2017), Tecnología y aplicaciones de banda ancha para un mayor crecimiento y desarrollo de los servicios de telecomunicaciones/TIC y la conectividad de banda ancha, de la CMDT;</w:t>
      </w:r>
    </w:p>
    <w:p w14:paraId="3EB07678" w14:textId="77777777" w:rsidR="00745E9E" w:rsidRPr="00E17456" w:rsidRDefault="00745E9E" w:rsidP="00745E9E">
      <w:pPr>
        <w:rPr>
          <w:i/>
          <w:iCs/>
          <w:lang w:val="es-ES_tradnl"/>
        </w:rPr>
      </w:pPr>
      <w:r w:rsidRPr="00E17456">
        <w:rPr>
          <w:i/>
          <w:iCs/>
          <w:lang w:val="es-ES_tradnl"/>
        </w:rPr>
        <w:br w:type="page"/>
      </w:r>
    </w:p>
    <w:p w14:paraId="12BDA5F3" w14:textId="77777777" w:rsidR="00745E9E" w:rsidRPr="00E17456" w:rsidRDefault="00745E9E" w:rsidP="00745E9E">
      <w:pPr>
        <w:rPr>
          <w:lang w:val="es-ES_tradnl"/>
        </w:rPr>
      </w:pPr>
      <w:r w:rsidRPr="00E17456">
        <w:rPr>
          <w:i/>
          <w:iCs/>
          <w:lang w:val="es-ES_tradnl"/>
        </w:rPr>
        <w:lastRenderedPageBreak/>
        <w:t>i)</w:t>
      </w:r>
      <w:r w:rsidRPr="00E17456">
        <w:rPr>
          <w:i/>
          <w:iCs/>
          <w:lang w:val="es-ES_tradnl"/>
        </w:rPr>
        <w:tab/>
      </w:r>
      <w:r w:rsidRPr="00E17456">
        <w:rPr>
          <w:lang w:val="es-ES_tradnl"/>
        </w:rPr>
        <w:t>la Resolución 200 (Rev. Dubái, 2018), Agenda Conectar 2020 de las telecomunicaciones/TIC, incluida la banda ancha, para el desarrollo sostenible, de la Conferencia de Plenipotenciarios,</w:t>
      </w:r>
    </w:p>
    <w:p w14:paraId="10941247" w14:textId="77777777" w:rsidR="00745E9E" w:rsidRPr="00E17456" w:rsidRDefault="00745E9E" w:rsidP="00745E9E">
      <w:pPr>
        <w:pStyle w:val="Call"/>
        <w:rPr>
          <w:lang w:val="es-ES_tradnl"/>
        </w:rPr>
      </w:pPr>
      <w:r w:rsidRPr="00E17456">
        <w:rPr>
          <w:lang w:val="es-ES_tradnl"/>
        </w:rPr>
        <w:t>observando</w:t>
      </w:r>
    </w:p>
    <w:p w14:paraId="1B8DEDB6" w14:textId="77777777" w:rsidR="00745E9E" w:rsidRPr="00E17456" w:rsidRDefault="00745E9E" w:rsidP="00745E9E">
      <w:pPr>
        <w:rPr>
          <w:lang w:val="es-ES_tradnl"/>
        </w:rPr>
      </w:pPr>
      <w:r w:rsidRPr="00E17456">
        <w:rPr>
          <w:lang w:val="es-ES_tradnl"/>
        </w:rPr>
        <w:t>la labor llevada a cabo en el marco de la iniciativa Unidos por las ciudades inteligentes y sostenibles (U4SSC), puesta en marcha por la UIT y la Comisión Económica para Europa (CEPE) de las Naciones Unidas en mayo de 2016,</w:t>
      </w:r>
    </w:p>
    <w:p w14:paraId="2EE51046" w14:textId="77777777" w:rsidR="00745E9E" w:rsidRPr="00E17456" w:rsidRDefault="00745E9E" w:rsidP="00745E9E">
      <w:pPr>
        <w:pStyle w:val="Call"/>
        <w:rPr>
          <w:lang w:val="es-ES_tradnl"/>
        </w:rPr>
      </w:pPr>
      <w:r w:rsidRPr="00E17456">
        <w:rPr>
          <w:lang w:val="es-ES_tradnl"/>
        </w:rPr>
        <w:t>considerando</w:t>
      </w:r>
    </w:p>
    <w:p w14:paraId="24AE06E7" w14:textId="77777777" w:rsidR="00745E9E" w:rsidRPr="00E17456" w:rsidRDefault="00745E9E" w:rsidP="00745E9E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que el desarrollo de las tecnologías de IoT favorecerá los sectores de las TIC y los que no son de las TIC, incluidos la sanidad, la agricultura, el transporte y la energía, habida cuenta de las aplicaciones provistas;</w:t>
      </w:r>
    </w:p>
    <w:p w14:paraId="434B8B9B" w14:textId="77777777" w:rsidR="00745E9E" w:rsidRPr="00E17456" w:rsidRDefault="00745E9E" w:rsidP="00745E9E">
      <w:pPr>
        <w:rPr>
          <w:lang w:val="es-ES_tradnl"/>
        </w:rPr>
      </w:pPr>
      <w:r w:rsidRPr="00E17456">
        <w:rPr>
          <w:i/>
          <w:iCs/>
          <w:lang w:val="es-ES_tradnl"/>
        </w:rPr>
        <w:t>b)</w:t>
      </w:r>
      <w:r w:rsidRPr="00E17456">
        <w:rPr>
          <w:lang w:val="es-ES_tradnl"/>
        </w:rPr>
        <w:tab/>
        <w:t>que el despliegue de IoT contribuirá considerablemente a la aplicación satisfactoria de la Agenda 2030 para el Desarrollo Sostenible;</w:t>
      </w:r>
    </w:p>
    <w:p w14:paraId="4437A248" w14:textId="77777777" w:rsidR="00745E9E" w:rsidRPr="00E17456" w:rsidRDefault="00745E9E" w:rsidP="00745E9E">
      <w:pPr>
        <w:rPr>
          <w:lang w:val="es-ES_tradnl"/>
        </w:rPr>
      </w:pPr>
      <w:r w:rsidRPr="00E17456">
        <w:rPr>
          <w:i/>
          <w:iCs/>
          <w:lang w:val="es-ES_tradnl"/>
        </w:rPr>
        <w:t>c)</w:t>
      </w:r>
      <w:r w:rsidRPr="00E17456">
        <w:rPr>
          <w:lang w:val="es-ES_tradnl"/>
        </w:rPr>
        <w:tab/>
        <w:t>que el desarrollo y el despliegue de IoT redundará en beneficio de la cooperación a escalas regional y mundial;</w:t>
      </w:r>
    </w:p>
    <w:p w14:paraId="2559905B" w14:textId="77777777" w:rsidR="00745E9E" w:rsidRPr="00E17456" w:rsidRDefault="00745E9E" w:rsidP="00745E9E">
      <w:pPr>
        <w:rPr>
          <w:lang w:val="es-ES_tradnl"/>
        </w:rPr>
      </w:pPr>
      <w:r w:rsidRPr="00E17456">
        <w:rPr>
          <w:i/>
          <w:iCs/>
          <w:lang w:val="es-ES_tradnl"/>
        </w:rPr>
        <w:t>d)</w:t>
      </w:r>
      <w:r w:rsidRPr="00E17456">
        <w:rPr>
          <w:lang w:val="es-ES_tradnl"/>
        </w:rPr>
        <w:tab/>
        <w:t>que el desarrollo y la implantación de IoT y la creación de CCIS dependerá de la participación activa de los gobiernos, la industria y otras organizaciones y partes interesadas pertinentes a escalas internacional y regional;</w:t>
      </w:r>
    </w:p>
    <w:p w14:paraId="7803B19F" w14:textId="77777777" w:rsidR="00745E9E" w:rsidRPr="00E17456" w:rsidRDefault="00745E9E" w:rsidP="00745E9E">
      <w:pPr>
        <w:rPr>
          <w:lang w:val="es-ES_tradnl"/>
        </w:rPr>
      </w:pPr>
      <w:r w:rsidRPr="00E17456">
        <w:rPr>
          <w:i/>
          <w:iCs/>
          <w:lang w:val="es-ES_tradnl"/>
        </w:rPr>
        <w:t>e)</w:t>
      </w:r>
      <w:r w:rsidRPr="00E17456">
        <w:rPr>
          <w:i/>
          <w:iCs/>
          <w:lang w:val="es-ES_tradnl"/>
        </w:rPr>
        <w:tab/>
      </w:r>
      <w:r w:rsidRPr="00E17456">
        <w:rPr>
          <w:lang w:val="es-ES_tradnl"/>
        </w:rPr>
        <w:t>que deberá prestarse apoyo especial a los países en desarrollo</w:t>
      </w:r>
      <w:r>
        <w:rPr>
          <w:rStyle w:val="FootnoteReference"/>
          <w:lang w:val="es-ES_tradnl"/>
        </w:rPr>
        <w:footnoteReference w:customMarkFollows="1" w:id="1"/>
        <w:t>1</w:t>
      </w:r>
      <w:r w:rsidRPr="00E17456">
        <w:rPr>
          <w:lang w:val="es-ES_tradnl"/>
        </w:rPr>
        <w:t>, ya que podrían tener recursos limitados para propiciar una sociedad inclusiva,</w:t>
      </w:r>
    </w:p>
    <w:p w14:paraId="40C2144D" w14:textId="77777777" w:rsidR="00745E9E" w:rsidRPr="00E17456" w:rsidRDefault="00745E9E" w:rsidP="00745E9E">
      <w:pPr>
        <w:pStyle w:val="Call"/>
        <w:rPr>
          <w:lang w:val="es-ES_tradnl"/>
        </w:rPr>
      </w:pPr>
      <w:r w:rsidRPr="00E17456">
        <w:rPr>
          <w:lang w:val="es-ES_tradnl"/>
        </w:rPr>
        <w:t>reconociendo</w:t>
      </w:r>
    </w:p>
    <w:p w14:paraId="7091AB68" w14:textId="77777777" w:rsidR="00745E9E" w:rsidRPr="00E17456" w:rsidRDefault="00745E9E" w:rsidP="00745E9E">
      <w:pPr>
        <w:rPr>
          <w:lang w:val="es-ES_tradnl"/>
        </w:rPr>
      </w:pPr>
      <w:r w:rsidRPr="00E17456">
        <w:rPr>
          <w:i/>
          <w:iCs/>
          <w:lang w:val="es-ES_tradnl"/>
        </w:rPr>
        <w:t>a)</w:t>
      </w:r>
      <w:r w:rsidRPr="00E17456">
        <w:rPr>
          <w:lang w:val="es-ES_tradnl"/>
        </w:rPr>
        <w:tab/>
        <w:t>la función importante que la UIT, y en particular el UIT-D, tiene en el fomento del desarrollo de las telecomunicaciones/TIC a nivel mundial, especialmente la labor correspondiente realizada por las Comisiones de Estudio del UIT-D;</w:t>
      </w:r>
    </w:p>
    <w:p w14:paraId="1F69A207" w14:textId="77777777" w:rsidR="00745E9E" w:rsidRPr="00E17456" w:rsidRDefault="00745E9E" w:rsidP="00745E9E">
      <w:pPr>
        <w:rPr>
          <w:i/>
          <w:iCs/>
          <w:lang w:val="es-ES_tradnl"/>
        </w:rPr>
      </w:pPr>
      <w:r w:rsidRPr="00E17456">
        <w:rPr>
          <w:i/>
          <w:iCs/>
          <w:lang w:val="es-ES_tradnl"/>
        </w:rPr>
        <w:br w:type="page"/>
      </w:r>
    </w:p>
    <w:p w14:paraId="3279BA17" w14:textId="77777777" w:rsidR="00745E9E" w:rsidRPr="00E17456" w:rsidRDefault="00745E9E" w:rsidP="00745E9E">
      <w:pPr>
        <w:rPr>
          <w:lang w:val="es-ES_tradnl"/>
        </w:rPr>
      </w:pPr>
      <w:r w:rsidRPr="00E17456">
        <w:rPr>
          <w:i/>
          <w:iCs/>
          <w:lang w:val="es-ES_tradnl"/>
        </w:rPr>
        <w:lastRenderedPageBreak/>
        <w:t>b)</w:t>
      </w:r>
      <w:r w:rsidRPr="00E17456">
        <w:rPr>
          <w:lang w:val="es-ES_tradnl"/>
        </w:rPr>
        <w:tab/>
        <w:t>la función que el Sector de Normalización de las Telecomunicaciones de la UIT (UIT-T), y en particular la Comisión de Estudio 20 del UIT-T, tiene en la realización de estudios y labores de normalización relativas a la Internet de las cosas y sus aplicaciones, incluidas CCI, y en la coordinación con otras organizaciones que trabajan en esas dos esferas;</w:t>
      </w:r>
    </w:p>
    <w:p w14:paraId="02E4CC24" w14:textId="77777777" w:rsidR="00745E9E" w:rsidRPr="00E17456" w:rsidRDefault="00745E9E" w:rsidP="00745E9E">
      <w:pPr>
        <w:rPr>
          <w:lang w:val="es-ES_tradnl"/>
        </w:rPr>
      </w:pPr>
      <w:r w:rsidRPr="00E17456">
        <w:rPr>
          <w:i/>
          <w:iCs/>
          <w:lang w:val="es-ES_tradnl"/>
        </w:rPr>
        <w:t>c)</w:t>
      </w:r>
      <w:r w:rsidRPr="00E17456">
        <w:rPr>
          <w:lang w:val="es-ES_tradnl"/>
        </w:rPr>
        <w:tab/>
        <w:t>la función que el Sector de Radiocomunicaciones (UIT-R) tiene en la realización de estudios sobre los aspectos técnicos y operacionales de los sistemas y redes radioeléctricos con respecto a IoT;</w:t>
      </w:r>
    </w:p>
    <w:p w14:paraId="1E783501" w14:textId="77777777" w:rsidR="00745E9E" w:rsidRPr="00E17456" w:rsidRDefault="00745E9E" w:rsidP="00745E9E">
      <w:pPr>
        <w:rPr>
          <w:lang w:val="es-ES_tradnl"/>
        </w:rPr>
      </w:pPr>
      <w:r w:rsidRPr="00E17456">
        <w:rPr>
          <w:i/>
          <w:iCs/>
          <w:lang w:val="es-ES_tradnl"/>
        </w:rPr>
        <w:t>d)</w:t>
      </w:r>
      <w:r w:rsidRPr="00E17456">
        <w:rPr>
          <w:lang w:val="es-ES_tradnl"/>
        </w:rPr>
        <w:tab/>
        <w:t>que la iniciativa U4SSC de las Naciones Unidas está coordinada por la UIT, la CEPE y el Programa de las Naciones Unidas para los Asentamientos Humanos (ONU</w:t>
      </w:r>
      <w:r w:rsidRPr="00E17456">
        <w:rPr>
          <w:lang w:val="es-ES_tradnl"/>
        </w:rPr>
        <w:noBreakHyphen/>
        <w:t>Hábitat) y tiene por objeto cumplir el Objetivo de Desarrollo Sostenible (ODS) 11,</w:t>
      </w:r>
    </w:p>
    <w:p w14:paraId="04963C7D" w14:textId="77777777" w:rsidR="00745E9E" w:rsidRPr="00E17456" w:rsidRDefault="00745E9E" w:rsidP="00745E9E">
      <w:pPr>
        <w:pStyle w:val="Call"/>
        <w:rPr>
          <w:lang w:val="es-ES_tradnl"/>
        </w:rPr>
      </w:pPr>
      <w:r w:rsidRPr="00E17456">
        <w:rPr>
          <w:lang w:val="es-ES_tradnl"/>
        </w:rPr>
        <w:t>resuelve</w:t>
      </w:r>
    </w:p>
    <w:p w14:paraId="129B38B7" w14:textId="77777777" w:rsidR="00745E9E" w:rsidRPr="00E17456" w:rsidRDefault="00745E9E" w:rsidP="00745E9E">
      <w:pPr>
        <w:rPr>
          <w:lang w:val="es-ES_tradnl"/>
        </w:rPr>
      </w:pPr>
      <w:r w:rsidRPr="00E17456">
        <w:rPr>
          <w:lang w:val="es-ES_tradnl"/>
        </w:rPr>
        <w:t>que el UIT-D, en estrecha colaboración con el UIT-T y el UIT-R, promueva la adopción de IoT y el desarrollo de las CCIS para aprovechar al máximo las ventajas que brinda la promoción del desarrollo socioeconómico y que contribuya a la consecución de los ODS y al cumplimiento de la Agenda Conectar 2030,</w:t>
      </w:r>
    </w:p>
    <w:p w14:paraId="67DB8BE3" w14:textId="77777777" w:rsidR="00745E9E" w:rsidRPr="00E17456" w:rsidRDefault="00745E9E" w:rsidP="00745E9E">
      <w:pPr>
        <w:pStyle w:val="Call"/>
        <w:rPr>
          <w:i w:val="0"/>
          <w:lang w:val="es-ES_tradnl"/>
        </w:rPr>
      </w:pPr>
      <w:r w:rsidRPr="00E17456">
        <w:rPr>
          <w:lang w:val="es-ES_tradnl"/>
        </w:rPr>
        <w:t>encarga a las Comisiones de Estudio del Sector de Desarrollo de las Telecomunicaciones de la UIT, en función de sus respectivos mandatos</w:t>
      </w:r>
    </w:p>
    <w:p w14:paraId="6C926146" w14:textId="77777777" w:rsidR="00745E9E" w:rsidRPr="00E17456" w:rsidRDefault="00745E9E" w:rsidP="00745E9E">
      <w:pPr>
        <w:rPr>
          <w:lang w:val="es-ES_tradnl"/>
        </w:rPr>
      </w:pPr>
      <w:r w:rsidRPr="00E17456">
        <w:rPr>
          <w:lang w:val="es-ES_tradnl"/>
        </w:rPr>
        <w:t>1</w:t>
      </w:r>
      <w:r w:rsidRPr="00E17456">
        <w:rPr>
          <w:lang w:val="es-ES_tradnl"/>
        </w:rPr>
        <w:tab/>
        <w:t>que obtengan información sobre experiencias a escalas nacional y regional en relación con la adopción de IoT y las CCIS y elaborar directrices para la implantación de IoT y las CCIS sobre la base de las Recomendaciones de la UIT y las contribuciones de otras organizaciones;</w:t>
      </w:r>
    </w:p>
    <w:p w14:paraId="46AAA427" w14:textId="77777777" w:rsidR="00745E9E" w:rsidRPr="00E17456" w:rsidRDefault="00745E9E" w:rsidP="00745E9E">
      <w:pPr>
        <w:rPr>
          <w:lang w:val="es-ES_tradnl"/>
        </w:rPr>
      </w:pPr>
      <w:r w:rsidRPr="00E17456">
        <w:rPr>
          <w:lang w:val="es-ES_tradnl"/>
        </w:rPr>
        <w:t>2</w:t>
      </w:r>
      <w:r w:rsidRPr="00E17456">
        <w:rPr>
          <w:lang w:val="es-ES_tradnl"/>
        </w:rPr>
        <w:tab/>
        <w:t>que realicen estudios sobre las oportunidades y los retos relativos a IoT y las CCIS;</w:t>
      </w:r>
    </w:p>
    <w:p w14:paraId="1B685166" w14:textId="77777777" w:rsidR="00745E9E" w:rsidRPr="00E17456" w:rsidRDefault="00745E9E" w:rsidP="00745E9E">
      <w:pPr>
        <w:rPr>
          <w:lang w:val="es-ES_tradnl"/>
        </w:rPr>
      </w:pPr>
      <w:r w:rsidRPr="00E17456">
        <w:rPr>
          <w:lang w:val="es-ES_tradnl"/>
        </w:rPr>
        <w:t>3</w:t>
      </w:r>
      <w:r w:rsidRPr="00E17456">
        <w:rPr>
          <w:lang w:val="es-ES_tradnl"/>
        </w:rPr>
        <w:tab/>
        <w:t>que identifiquen estudios de caso sobre aplicación de IoT y las CCIS, haciendo hincapié en los factores que determinan el despliegue de la IoT y las CCIS,</w:t>
      </w:r>
    </w:p>
    <w:p w14:paraId="0C0778BF" w14:textId="77777777" w:rsidR="00745E9E" w:rsidRPr="00E17456" w:rsidRDefault="00745E9E" w:rsidP="00745E9E">
      <w:pPr>
        <w:rPr>
          <w:lang w:val="es-ES_tradnl"/>
        </w:rPr>
      </w:pPr>
      <w:r w:rsidRPr="00E17456">
        <w:rPr>
          <w:lang w:val="es-ES_tradnl"/>
        </w:rPr>
        <w:br w:type="page"/>
      </w:r>
    </w:p>
    <w:p w14:paraId="15AFDDD4" w14:textId="77777777" w:rsidR="00745E9E" w:rsidRPr="00E17456" w:rsidRDefault="00745E9E" w:rsidP="00745E9E">
      <w:pPr>
        <w:pStyle w:val="Call"/>
        <w:rPr>
          <w:lang w:val="es-ES_tradnl"/>
        </w:rPr>
      </w:pPr>
      <w:r w:rsidRPr="00E17456">
        <w:rPr>
          <w:lang w:val="es-ES_tradnl"/>
        </w:rPr>
        <w:lastRenderedPageBreak/>
        <w:t>encarga al Director de la Oficina de Desarrollo de las Telecomunicaciones</w:t>
      </w:r>
    </w:p>
    <w:p w14:paraId="16DDC876" w14:textId="77777777" w:rsidR="00745E9E" w:rsidRPr="00E17456" w:rsidRDefault="00745E9E" w:rsidP="00745E9E">
      <w:pPr>
        <w:rPr>
          <w:lang w:val="es-ES_tradnl"/>
        </w:rPr>
      </w:pPr>
      <w:r w:rsidRPr="00E17456">
        <w:rPr>
          <w:lang w:val="es-ES_tradnl"/>
        </w:rPr>
        <w:t>1</w:t>
      </w:r>
      <w:r w:rsidRPr="00E17456">
        <w:rPr>
          <w:lang w:val="es-ES_tradnl"/>
        </w:rPr>
        <w:tab/>
        <w:t>que apoye a los Estados Miembros, en particular a los países en desarrollo, en la adopción de la IoT y las CCIS proporcionando información pertinente, experiencia, creación de capacidades y la acumulación de las prácticas idóneas con las que desarrollar entornos e infraestructuras favorables, atraer inversiones y propiciar ecosistemas de innovación en el ámbito digital;</w:t>
      </w:r>
    </w:p>
    <w:p w14:paraId="5560246B" w14:textId="77777777" w:rsidR="00745E9E" w:rsidRPr="00E17456" w:rsidRDefault="00745E9E" w:rsidP="00745E9E">
      <w:pPr>
        <w:rPr>
          <w:lang w:val="es-ES_tradnl"/>
        </w:rPr>
      </w:pPr>
      <w:r w:rsidRPr="00E17456">
        <w:rPr>
          <w:lang w:val="es-ES_tradnl"/>
        </w:rPr>
        <w:t>2</w:t>
      </w:r>
      <w:r w:rsidRPr="00E17456">
        <w:rPr>
          <w:lang w:val="es-ES_tradnl"/>
        </w:rPr>
        <w:tab/>
        <w:t>que facilite el despliegue y la adopción de la IoT y las CCIS, en particular en los países en desarrollo, mediante proyectos realizados en el marco de sistemas de desarrollo de las Naciones Unidas y en consonancia con lo estipulado en el numero 118 (Artículo 21) de la Constitución de la UIT;</w:t>
      </w:r>
    </w:p>
    <w:p w14:paraId="6461F6A2" w14:textId="77777777" w:rsidR="00745E9E" w:rsidRPr="00E17456" w:rsidRDefault="00745E9E" w:rsidP="00745E9E">
      <w:pPr>
        <w:rPr>
          <w:lang w:val="es-ES_tradnl"/>
        </w:rPr>
      </w:pPr>
      <w:r w:rsidRPr="00E17456">
        <w:rPr>
          <w:lang w:val="es-ES_tradnl"/>
        </w:rPr>
        <w:t>3</w:t>
      </w:r>
      <w:r w:rsidRPr="00E17456">
        <w:rPr>
          <w:lang w:val="es-ES_tradnl"/>
        </w:rPr>
        <w:tab/>
        <w:t>que colabore con los Sectores de la UIT y con organizaciones internacionales y regionales, así como con todas las partes interesadas, para crear un entorno propicio en el que se intercambien conocimientos, experiencia y prácticas idóneas para apoyar el despliegue de la Internet de las cosas y las CCIS, incluidos sus servicios y aplicaciones, organizando talleres y foros a escalas regional e internacional,</w:t>
      </w:r>
    </w:p>
    <w:p w14:paraId="1D3F95EC" w14:textId="77777777" w:rsidR="00745E9E" w:rsidRPr="00E17456" w:rsidRDefault="00745E9E" w:rsidP="00745E9E">
      <w:pPr>
        <w:pStyle w:val="Call"/>
        <w:rPr>
          <w:lang w:val="es-ES_tradnl"/>
        </w:rPr>
      </w:pPr>
      <w:r w:rsidRPr="00E17456">
        <w:rPr>
          <w:lang w:val="es-ES_tradnl"/>
        </w:rPr>
        <w:t>encarga al Director de la Oficina de Desarrollo de las Telecomunicaciones, en colaboración con los Directores de la Oficina de Radiocomunicaciones y de la Oficina de Normalización de las Telecomunicaciones</w:t>
      </w:r>
    </w:p>
    <w:p w14:paraId="2B6735E2" w14:textId="77777777" w:rsidR="00745E9E" w:rsidRPr="00E17456" w:rsidRDefault="00745E9E" w:rsidP="00745E9E">
      <w:pPr>
        <w:rPr>
          <w:szCs w:val="24"/>
          <w:lang w:val="es-ES_tradnl"/>
        </w:rPr>
      </w:pPr>
      <w:r w:rsidRPr="00E17456">
        <w:rPr>
          <w:lang w:val="es-ES_tradnl"/>
        </w:rPr>
        <w:t>1</w:t>
      </w:r>
      <w:r w:rsidRPr="00E17456">
        <w:rPr>
          <w:lang w:val="es-ES_tradnl"/>
        </w:rPr>
        <w:tab/>
        <w:t>que elabore y/o actualice un informe en el que se determinen las necesidades de los países en desarrollo en relación con la IoT y las CCIS, sobre la base de los trabajos llevados a cabo por el UIT-T, el UIT-R y el UIT-D en relación con la iniciativa U4SSC</w:t>
      </w:r>
      <w:r w:rsidRPr="00E17456">
        <w:rPr>
          <w:szCs w:val="24"/>
          <w:lang w:val="es-ES_tradnl"/>
        </w:rPr>
        <w:t>;</w:t>
      </w:r>
    </w:p>
    <w:p w14:paraId="318AECF4" w14:textId="77777777" w:rsidR="00745E9E" w:rsidRPr="00E17456" w:rsidRDefault="00745E9E" w:rsidP="00745E9E">
      <w:pPr>
        <w:rPr>
          <w:lang w:val="es-ES_tradnl"/>
        </w:rPr>
      </w:pPr>
      <w:r w:rsidRPr="00E17456">
        <w:rPr>
          <w:lang w:val="es-ES_tradnl"/>
        </w:rPr>
        <w:t>2</w:t>
      </w:r>
      <w:r w:rsidRPr="00E17456">
        <w:rPr>
          <w:lang w:val="es-ES_tradnl"/>
        </w:rPr>
        <w:tab/>
        <w:t>que fusione los trabajos realizados en la UIT relativos a la IoT y las CCIS, incluidos los estudios sobre tecnología y normas, y las recomendaciones sobre políticas y reglamentos, para facilitar el desarrollo y la adopción de IoT;</w:t>
      </w:r>
    </w:p>
    <w:p w14:paraId="39B11BEA" w14:textId="77777777" w:rsidR="00745E9E" w:rsidRPr="00E17456" w:rsidRDefault="00745E9E" w:rsidP="00745E9E">
      <w:pPr>
        <w:rPr>
          <w:lang w:val="es-ES_tradnl"/>
        </w:rPr>
      </w:pPr>
      <w:r w:rsidRPr="00E17456">
        <w:rPr>
          <w:lang w:val="es-ES_tradnl"/>
        </w:rPr>
        <w:t>3</w:t>
      </w:r>
      <w:r w:rsidRPr="00E17456">
        <w:rPr>
          <w:lang w:val="es-ES_tradnl"/>
        </w:rPr>
        <w:tab/>
        <w:t>que facilite los debates y el intercambio de prácticas idóneas mediante la organización de talleres y programas de formación sobre IoT y CCIS;</w:t>
      </w:r>
    </w:p>
    <w:p w14:paraId="5A88C097" w14:textId="77777777" w:rsidR="00745E9E" w:rsidRPr="00E17456" w:rsidRDefault="00745E9E" w:rsidP="00745E9E">
      <w:pPr>
        <w:rPr>
          <w:lang w:val="es-ES_tradnl"/>
        </w:rPr>
      </w:pPr>
      <w:r w:rsidRPr="00E17456">
        <w:rPr>
          <w:lang w:val="es-ES_tradnl"/>
        </w:rPr>
        <w:t>4</w:t>
      </w:r>
      <w:r w:rsidRPr="00E17456">
        <w:rPr>
          <w:lang w:val="es-ES_tradnl"/>
        </w:rPr>
        <w:tab/>
        <w:t>que fomente la colaboración entre los Sectores de la UIT para examinar la forma en que las tecnologías del ecosistema de la IoT y de las CCIS pueden favorecer el logro de los Objetivos de Desarrollo Sostenible y del marco de la Cumbre Mundial para la Sociedad de la Información;</w:t>
      </w:r>
    </w:p>
    <w:p w14:paraId="4B513FDD" w14:textId="77777777" w:rsidR="00745E9E" w:rsidRPr="00E17456" w:rsidRDefault="00745E9E" w:rsidP="00745E9E">
      <w:pPr>
        <w:rPr>
          <w:lang w:val="es-ES_tradnl"/>
        </w:rPr>
      </w:pPr>
      <w:r w:rsidRPr="00E17456">
        <w:rPr>
          <w:lang w:val="es-ES_tradnl"/>
        </w:rPr>
        <w:br w:type="page"/>
      </w:r>
    </w:p>
    <w:p w14:paraId="070BE76B" w14:textId="77777777" w:rsidR="00745E9E" w:rsidRPr="00E17456" w:rsidRDefault="00745E9E" w:rsidP="00745E9E">
      <w:pPr>
        <w:rPr>
          <w:lang w:val="es-ES_tradnl"/>
        </w:rPr>
      </w:pPr>
      <w:r w:rsidRPr="00E17456">
        <w:rPr>
          <w:lang w:val="es-ES_tradnl"/>
        </w:rPr>
        <w:lastRenderedPageBreak/>
        <w:t>5</w:t>
      </w:r>
      <w:r w:rsidRPr="00E17456">
        <w:rPr>
          <w:lang w:val="es-ES_tradnl"/>
        </w:rPr>
        <w:tab/>
        <w:t>que brinde a los países en desarrollo oportunidades de capacitación en materia de IoT y CCIS,</w:t>
      </w:r>
    </w:p>
    <w:p w14:paraId="6EB99716" w14:textId="77777777" w:rsidR="00745E9E" w:rsidRPr="00E17456" w:rsidRDefault="00745E9E" w:rsidP="00745E9E">
      <w:pPr>
        <w:pStyle w:val="Call"/>
        <w:rPr>
          <w:lang w:val="es-ES_tradnl"/>
        </w:rPr>
      </w:pPr>
      <w:r w:rsidRPr="00E17456">
        <w:rPr>
          <w:lang w:val="es-ES_tradnl"/>
        </w:rPr>
        <w:t>invita a los Estados Miembros, Miembros de Sector, Asociados e Instituciones Académicas</w:t>
      </w:r>
    </w:p>
    <w:p w14:paraId="60E60F11" w14:textId="77777777" w:rsidR="00745E9E" w:rsidRPr="00E17456" w:rsidRDefault="00745E9E" w:rsidP="00745E9E">
      <w:pPr>
        <w:rPr>
          <w:lang w:val="es-ES_tradnl"/>
        </w:rPr>
      </w:pPr>
      <w:r w:rsidRPr="00E17456">
        <w:rPr>
          <w:lang w:val="es-ES_tradnl"/>
        </w:rPr>
        <w:t>1</w:t>
      </w:r>
      <w:r w:rsidRPr="00E17456">
        <w:rPr>
          <w:lang w:val="es-ES_tradnl"/>
        </w:rPr>
        <w:tab/>
        <w:t>a que participen en los estudios de la UIT relativos a IoT y las CCIS, incluidos servicios y aplicaciones, ofreciendo toda la ayuda posible;</w:t>
      </w:r>
    </w:p>
    <w:p w14:paraId="74DCE48D" w14:textId="77777777" w:rsidR="00745E9E" w:rsidRPr="00E17456" w:rsidRDefault="00745E9E" w:rsidP="00745E9E">
      <w:pPr>
        <w:rPr>
          <w:lang w:val="es-ES_tradnl"/>
        </w:rPr>
      </w:pPr>
      <w:r w:rsidRPr="00E17456">
        <w:rPr>
          <w:lang w:val="es-ES_tradnl"/>
        </w:rPr>
        <w:t>2</w:t>
      </w:r>
      <w:r w:rsidRPr="00E17456">
        <w:rPr>
          <w:lang w:val="es-ES_tradnl"/>
        </w:rPr>
        <w:tab/>
        <w:t>a que colaboren e intercambien conocimientos y prácticas idóneas en esa esfera,</w:t>
      </w:r>
    </w:p>
    <w:p w14:paraId="5938EC35" w14:textId="77777777" w:rsidR="00745E9E" w:rsidRPr="00E17456" w:rsidRDefault="00745E9E" w:rsidP="00745E9E">
      <w:pPr>
        <w:pStyle w:val="Call"/>
        <w:rPr>
          <w:lang w:val="es-ES_tradnl"/>
        </w:rPr>
      </w:pPr>
      <w:r w:rsidRPr="00E17456">
        <w:rPr>
          <w:lang w:val="es-ES_tradnl"/>
        </w:rPr>
        <w:t>alienta a los Estados Miembros</w:t>
      </w:r>
    </w:p>
    <w:p w14:paraId="77CA982C" w14:textId="77777777" w:rsidR="00745E9E" w:rsidRPr="00E17456" w:rsidRDefault="00745E9E" w:rsidP="00745E9E">
      <w:pPr>
        <w:rPr>
          <w:szCs w:val="24"/>
          <w:lang w:val="es-ES_tradnl"/>
        </w:rPr>
      </w:pPr>
      <w:r w:rsidRPr="00E17456">
        <w:rPr>
          <w:lang w:val="es-ES_tradnl"/>
        </w:rPr>
        <w:t>1</w:t>
      </w:r>
      <w:r w:rsidRPr="00E17456">
        <w:rPr>
          <w:lang w:val="es-ES_tradnl"/>
        </w:rPr>
        <w:tab/>
        <w:t>a adoptar estrategias, políticas, planes y entornos propicios para facilitar y estimular el desarrollo de IoT y CCIS, incluidos servicios y aplicaciones;</w:t>
      </w:r>
    </w:p>
    <w:p w14:paraId="323CD7E8" w14:textId="77777777" w:rsidR="00745E9E" w:rsidRPr="00E17456" w:rsidRDefault="00745E9E" w:rsidP="00745E9E">
      <w:pPr>
        <w:rPr>
          <w:lang w:val="es-ES_tradnl"/>
        </w:rPr>
      </w:pPr>
      <w:r w:rsidRPr="00E17456">
        <w:rPr>
          <w:bCs/>
          <w:lang w:val="es-ES_tradnl"/>
        </w:rPr>
        <w:t>2</w:t>
      </w:r>
      <w:r w:rsidRPr="00E17456">
        <w:rPr>
          <w:b/>
          <w:lang w:val="es-ES_tradnl"/>
        </w:rPr>
        <w:tab/>
      </w:r>
      <w:r w:rsidRPr="00E17456">
        <w:rPr>
          <w:lang w:val="es-ES_tradnl"/>
        </w:rPr>
        <w:t>a colaborar e intercambiar conocimientos, experiencias y prácticas idóneas sobre IoT y CCIS.</w:t>
      </w:r>
    </w:p>
    <w:p w14:paraId="6333A5F0" w14:textId="77777777" w:rsidR="00745E9E" w:rsidRPr="00E17456" w:rsidRDefault="00745E9E" w:rsidP="00745E9E">
      <w:pPr>
        <w:pStyle w:val="Reasons"/>
        <w:rPr>
          <w:lang w:val="es-ES_tradnl"/>
        </w:rPr>
      </w:pPr>
    </w:p>
    <w:p w14:paraId="4F71CD0A" w14:textId="77777777" w:rsidR="00745E9E" w:rsidRDefault="00745E9E" w:rsidP="00745E9E">
      <w:pPr>
        <w:pStyle w:val="Reasons"/>
        <w:rPr>
          <w:lang w:val="es-ES_tradnl"/>
        </w:rPr>
      </w:pPr>
    </w:p>
    <w:p w14:paraId="5BD3E534" w14:textId="77777777" w:rsidR="00745E9E" w:rsidRDefault="00745E9E" w:rsidP="00745E9E">
      <w:pPr>
        <w:pStyle w:val="Reasons"/>
        <w:rPr>
          <w:lang w:val="es-ES_tradnl"/>
        </w:rPr>
      </w:pPr>
    </w:p>
    <w:p w14:paraId="6B0CDD4C" w14:textId="77777777" w:rsidR="00745E9E" w:rsidRDefault="00745E9E" w:rsidP="00745E9E">
      <w:pPr>
        <w:pStyle w:val="Reasons"/>
        <w:rPr>
          <w:lang w:val="es-ES_tradnl"/>
        </w:rPr>
      </w:pPr>
    </w:p>
    <w:p w14:paraId="67928B8B" w14:textId="77777777" w:rsidR="00745E9E" w:rsidRDefault="00745E9E" w:rsidP="00745E9E">
      <w:pPr>
        <w:pStyle w:val="Reasons"/>
        <w:rPr>
          <w:lang w:val="es-ES_tradnl"/>
        </w:rPr>
      </w:pPr>
    </w:p>
    <w:p w14:paraId="7C0032BA" w14:textId="77777777" w:rsidR="00745E9E" w:rsidRDefault="00745E9E" w:rsidP="00745E9E">
      <w:pPr>
        <w:pStyle w:val="Reasons"/>
        <w:rPr>
          <w:lang w:val="es-ES_tradnl"/>
        </w:rPr>
      </w:pPr>
    </w:p>
    <w:p w14:paraId="2EA7049B" w14:textId="77777777" w:rsidR="00745E9E" w:rsidRDefault="00745E9E" w:rsidP="00745E9E">
      <w:pPr>
        <w:pStyle w:val="Reasons"/>
        <w:rPr>
          <w:lang w:val="es-ES_tradnl"/>
        </w:rPr>
      </w:pPr>
    </w:p>
    <w:p w14:paraId="58686BAC" w14:textId="77777777" w:rsidR="00745E9E" w:rsidRPr="00E17456" w:rsidRDefault="00745E9E" w:rsidP="00745E9E">
      <w:pPr>
        <w:pStyle w:val="Reasons"/>
        <w:rPr>
          <w:lang w:val="es-ES_tradnl"/>
        </w:rPr>
      </w:pPr>
    </w:p>
    <w:p w14:paraId="38F79C9F" w14:textId="77777777" w:rsidR="00745E9E" w:rsidRPr="00E17456" w:rsidRDefault="00745E9E" w:rsidP="00745E9E">
      <w:pPr>
        <w:pStyle w:val="Reasons"/>
        <w:rPr>
          <w:lang w:val="es-ES_tradnl"/>
        </w:rPr>
      </w:pPr>
    </w:p>
    <w:p w14:paraId="2049419A" w14:textId="77777777" w:rsidR="00F16487" w:rsidRDefault="00F16487"/>
    <w:sectPr w:rsidR="00F16487" w:rsidSect="00745E9E">
      <w:headerReference w:type="even" r:id="rId6"/>
      <w:headerReference w:type="default" r:id="rId7"/>
      <w:pgSz w:w="11906" w:h="16838" w:code="9"/>
      <w:pgMar w:top="1418" w:right="1134" w:bottom="1418" w:left="1134" w:header="720" w:footer="72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575B" w14:textId="77777777" w:rsidR="00745E9E" w:rsidRDefault="00745E9E" w:rsidP="00745E9E">
      <w:pPr>
        <w:spacing w:before="0"/>
      </w:pPr>
      <w:r>
        <w:separator/>
      </w:r>
    </w:p>
  </w:endnote>
  <w:endnote w:type="continuationSeparator" w:id="0">
    <w:p w14:paraId="0AEA27DF" w14:textId="77777777" w:rsidR="00745E9E" w:rsidRDefault="00745E9E" w:rsidP="00745E9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170C" w14:textId="77777777" w:rsidR="00745E9E" w:rsidRDefault="00745E9E" w:rsidP="00745E9E">
      <w:pPr>
        <w:spacing w:before="0"/>
      </w:pPr>
      <w:r>
        <w:separator/>
      </w:r>
    </w:p>
  </w:footnote>
  <w:footnote w:type="continuationSeparator" w:id="0">
    <w:p w14:paraId="59D97AC6" w14:textId="77777777" w:rsidR="00745E9E" w:rsidRDefault="00745E9E" w:rsidP="00745E9E">
      <w:pPr>
        <w:spacing w:before="0"/>
      </w:pPr>
      <w:r>
        <w:continuationSeparator/>
      </w:r>
    </w:p>
  </w:footnote>
  <w:footnote w:id="1">
    <w:p w14:paraId="0E405243" w14:textId="77777777" w:rsidR="00745E9E" w:rsidRPr="00EF1565" w:rsidRDefault="00745E9E" w:rsidP="00745E9E">
      <w:pPr>
        <w:pStyle w:val="FootnoteText"/>
        <w:rPr>
          <w:lang w:val="es-ES"/>
        </w:rPr>
      </w:pPr>
      <w:r w:rsidRPr="00E67D13">
        <w:rPr>
          <w:rStyle w:val="FootnoteReference"/>
          <w:lang w:val="fr-FR"/>
        </w:rPr>
        <w:t>1</w:t>
      </w:r>
      <w:r w:rsidRPr="00E67D13">
        <w:rPr>
          <w:lang w:val="fr-FR"/>
        </w:rPr>
        <w:t xml:space="preserve"> </w:t>
      </w:r>
      <w:r>
        <w:rPr>
          <w:lang w:val="es-ES"/>
        </w:rPr>
        <w:tab/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6"/>
        <w:szCs w:val="16"/>
      </w:rPr>
      <w:id w:val="15786403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B8F096" w14:textId="5361830E" w:rsidR="00745E9E" w:rsidRPr="00745E9E" w:rsidRDefault="00745E9E" w:rsidP="00745E9E">
        <w:pPr>
          <w:tabs>
            <w:tab w:val="left" w:pos="284"/>
            <w:tab w:val="left" w:pos="851"/>
          </w:tabs>
          <w:spacing w:before="0" w:after="120"/>
          <w:jc w:val="left"/>
          <w:rPr>
            <w:rFonts w:ascii="Calibri" w:hAnsi="Calibri"/>
            <w:sz w:val="16"/>
            <w:szCs w:val="16"/>
            <w:lang w:val="fr-FR"/>
          </w:rPr>
        </w:pPr>
        <w:r w:rsidRPr="00487B00">
          <w:rPr>
            <w:rFonts w:ascii="Calibri" w:hAnsi="Calibri"/>
            <w:sz w:val="16"/>
            <w:szCs w:val="16"/>
          </w:rPr>
          <w:fldChar w:fldCharType="begin"/>
        </w:r>
        <w:r w:rsidRPr="00487B00">
          <w:rPr>
            <w:rFonts w:ascii="Calibri" w:hAnsi="Calibri"/>
            <w:sz w:val="16"/>
            <w:szCs w:val="16"/>
            <w:lang w:val="fr-FR"/>
          </w:rPr>
          <w:instrText xml:space="preserve"> PAGE   \* MERGEFORMAT </w:instrText>
        </w:r>
        <w:r w:rsidRPr="00487B00">
          <w:rPr>
            <w:rFonts w:ascii="Calibri" w:hAnsi="Calibri"/>
            <w:sz w:val="16"/>
            <w:szCs w:val="16"/>
          </w:rPr>
          <w:fldChar w:fldCharType="separate"/>
        </w:r>
        <w:r>
          <w:rPr>
            <w:rFonts w:ascii="Calibri" w:hAnsi="Calibri"/>
            <w:sz w:val="16"/>
            <w:szCs w:val="16"/>
          </w:rPr>
          <w:t>2</w:t>
        </w:r>
        <w:r w:rsidRPr="00487B00">
          <w:rPr>
            <w:rFonts w:ascii="Calibri" w:hAnsi="Calibri"/>
            <w:noProof/>
            <w:sz w:val="16"/>
            <w:szCs w:val="16"/>
          </w:rPr>
          <w:fldChar w:fldCharType="end"/>
        </w:r>
        <w:r w:rsidRPr="00487B00">
          <w:rPr>
            <w:rFonts w:ascii="Calibri" w:hAnsi="Calibri"/>
            <w:sz w:val="16"/>
            <w:szCs w:val="16"/>
            <w:lang w:val="fr-FR"/>
          </w:rPr>
          <w:tab/>
          <w:t xml:space="preserve">Informe final de la CMDT-22 – Parte IV – Resolución </w:t>
        </w:r>
        <w:r>
          <w:rPr>
            <w:rFonts w:ascii="Calibri" w:hAnsi="Calibri"/>
            <w:sz w:val="16"/>
            <w:szCs w:val="16"/>
            <w:lang w:val="fr-FR"/>
          </w:rPr>
          <w:t>8</w:t>
        </w:r>
        <w:r>
          <w:rPr>
            <w:rFonts w:ascii="Calibri" w:hAnsi="Calibri"/>
            <w:sz w:val="16"/>
            <w:szCs w:val="16"/>
            <w:lang w:val="fr-FR"/>
          </w:rPr>
          <w:t>5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6"/>
        <w:szCs w:val="16"/>
      </w:rPr>
      <w:id w:val="10661526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8F50C8" w14:textId="6C92ABA6" w:rsidR="00745E9E" w:rsidRPr="00745E9E" w:rsidRDefault="00745E9E" w:rsidP="00745E9E">
        <w:pPr>
          <w:tabs>
            <w:tab w:val="left" w:pos="3828"/>
          </w:tabs>
          <w:spacing w:before="0" w:after="120"/>
          <w:jc w:val="right"/>
          <w:rPr>
            <w:rFonts w:ascii="Calibri" w:hAnsi="Calibri"/>
            <w:sz w:val="16"/>
            <w:szCs w:val="16"/>
            <w:lang w:val="fr-FR"/>
          </w:rPr>
        </w:pPr>
        <w:r w:rsidRPr="001F35AD">
          <w:rPr>
            <w:rFonts w:ascii="Calibri" w:hAnsi="Calibri"/>
            <w:sz w:val="16"/>
            <w:szCs w:val="16"/>
            <w:lang w:val="fr-FR"/>
          </w:rPr>
          <w:t xml:space="preserve">Informe final de la CMDT-22 – Parte IV – Resolución </w:t>
        </w:r>
        <w:r>
          <w:rPr>
            <w:rFonts w:ascii="Calibri" w:hAnsi="Calibri"/>
            <w:sz w:val="16"/>
            <w:szCs w:val="16"/>
            <w:lang w:val="fr-FR"/>
          </w:rPr>
          <w:t>8</w:t>
        </w:r>
        <w:r>
          <w:rPr>
            <w:rFonts w:ascii="Calibri" w:hAnsi="Calibri"/>
            <w:sz w:val="16"/>
            <w:szCs w:val="16"/>
            <w:lang w:val="fr-FR"/>
          </w:rPr>
          <w:t>5</w:t>
        </w:r>
        <w:r w:rsidRPr="001F35AD">
          <w:rPr>
            <w:rFonts w:ascii="Calibri" w:hAnsi="Calibri"/>
            <w:sz w:val="16"/>
            <w:szCs w:val="16"/>
            <w:lang w:val="fr-FR"/>
          </w:rPr>
          <w:tab/>
        </w:r>
        <w:r w:rsidRPr="001F35AD">
          <w:rPr>
            <w:rFonts w:ascii="Calibri" w:hAnsi="Calibri"/>
            <w:sz w:val="16"/>
            <w:szCs w:val="16"/>
          </w:rPr>
          <w:fldChar w:fldCharType="begin"/>
        </w:r>
        <w:r w:rsidRPr="001F35AD">
          <w:rPr>
            <w:rFonts w:ascii="Calibri" w:hAnsi="Calibri"/>
            <w:sz w:val="16"/>
            <w:szCs w:val="16"/>
            <w:lang w:val="fr-FR"/>
          </w:rPr>
          <w:instrText xml:space="preserve"> PAGE   \* MERGEFORMAT </w:instrText>
        </w:r>
        <w:r w:rsidRPr="001F35AD">
          <w:rPr>
            <w:rFonts w:ascii="Calibri" w:hAnsi="Calibri"/>
            <w:sz w:val="16"/>
            <w:szCs w:val="16"/>
          </w:rPr>
          <w:fldChar w:fldCharType="separate"/>
        </w:r>
        <w:r>
          <w:rPr>
            <w:rFonts w:ascii="Calibri" w:hAnsi="Calibri"/>
            <w:sz w:val="16"/>
            <w:szCs w:val="16"/>
          </w:rPr>
          <w:t>1</w:t>
        </w:r>
        <w:r w:rsidRPr="001F35AD">
          <w:rPr>
            <w:rFonts w:ascii="Calibri" w:hAnsi="Calibri"/>
            <w:noProof/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9E"/>
    <w:rsid w:val="00400A99"/>
    <w:rsid w:val="0045258F"/>
    <w:rsid w:val="004A0B3D"/>
    <w:rsid w:val="0051703C"/>
    <w:rsid w:val="005C0E4B"/>
    <w:rsid w:val="00600EDA"/>
    <w:rsid w:val="007359FB"/>
    <w:rsid w:val="00745E9E"/>
    <w:rsid w:val="0076311C"/>
    <w:rsid w:val="008630CC"/>
    <w:rsid w:val="00950AD1"/>
    <w:rsid w:val="00DC1DAE"/>
    <w:rsid w:val="00F06AC3"/>
    <w:rsid w:val="00F16487"/>
    <w:rsid w:val="00F7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71EF"/>
  <w15:chartTrackingRefBased/>
  <w15:docId w15:val="{175DB1B6-16E9-4F88-A502-757E7953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E9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Times New Roman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E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745E9E"/>
    <w:pPr>
      <w:keepNext/>
      <w:keepLines/>
      <w:spacing w:before="160"/>
      <w:ind w:left="1134"/>
    </w:pPr>
    <w:rPr>
      <w:i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Italic,Style"/>
    <w:basedOn w:val="DefaultParagraphFont"/>
    <w:qFormat/>
    <w:rsid w:val="00745E9E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E9E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745E9E"/>
    <w:rPr>
      <w:rFonts w:eastAsia="Times New Roman" w:cs="Times New Roman"/>
      <w:szCs w:val="20"/>
      <w:lang w:val="en-GB"/>
    </w:rPr>
  </w:style>
  <w:style w:type="paragraph" w:customStyle="1" w:styleId="Normalaftertitle">
    <w:name w:val="Normal after title"/>
    <w:basedOn w:val="Normal"/>
    <w:next w:val="Normal"/>
    <w:link w:val="NormalaftertitleChar"/>
    <w:rsid w:val="00745E9E"/>
    <w:pPr>
      <w:spacing w:before="280"/>
    </w:pPr>
  </w:style>
  <w:style w:type="paragraph" w:customStyle="1" w:styleId="Reasons">
    <w:name w:val="Reasons"/>
    <w:basedOn w:val="Normal"/>
    <w:qFormat/>
    <w:rsid w:val="00745E9E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745E9E"/>
    <w:pPr>
      <w:spacing w:before="200"/>
      <w:ind w:left="1134" w:hanging="1134"/>
      <w:jc w:val="center"/>
      <w:outlineLvl w:val="0"/>
    </w:pPr>
    <w:rPr>
      <w:rFonts w:asciiTheme="minorHAnsi" w:eastAsia="Times New Roman" w:hAnsiTheme="minorHAnsi" w:cs="Times New Roman"/>
      <w:color w:val="auto"/>
      <w:sz w:val="28"/>
      <w:szCs w:val="20"/>
    </w:rPr>
  </w:style>
  <w:style w:type="paragraph" w:customStyle="1" w:styleId="Restitle">
    <w:name w:val="Res_title"/>
    <w:basedOn w:val="Normal"/>
    <w:next w:val="Normal"/>
    <w:link w:val="RestitleChar"/>
    <w:rsid w:val="00745E9E"/>
    <w:pPr>
      <w:keepNext/>
      <w:keepLines/>
      <w:spacing w:before="240"/>
      <w:jc w:val="center"/>
      <w:outlineLvl w:val="0"/>
    </w:pPr>
    <w:rPr>
      <w:b/>
      <w:sz w:val="28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45E9E"/>
    <w:rPr>
      <w:rFonts w:eastAsia="Times New Roman" w:cs="Times New Roman"/>
      <w:sz w:val="24"/>
      <w:szCs w:val="20"/>
      <w:lang w:val="en-GB"/>
    </w:rPr>
  </w:style>
  <w:style w:type="character" w:customStyle="1" w:styleId="href">
    <w:name w:val="href"/>
    <w:basedOn w:val="DefaultParagraphFont"/>
    <w:rsid w:val="00745E9E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745E9E"/>
    <w:rPr>
      <w:rFonts w:eastAsia="Times New Roman" w:cs="Times New Roman"/>
      <w:i/>
      <w:sz w:val="24"/>
      <w:szCs w:val="20"/>
      <w:lang w:val="en-GB"/>
    </w:rPr>
  </w:style>
  <w:style w:type="character" w:customStyle="1" w:styleId="RestitleChar">
    <w:name w:val="Res_title Char"/>
    <w:basedOn w:val="DefaultParagraphFont"/>
    <w:link w:val="Restitle"/>
    <w:rsid w:val="00745E9E"/>
    <w:rPr>
      <w:rFonts w:eastAsia="Times New Roman" w:cs="Times New Roman"/>
      <w:b/>
      <w:sz w:val="28"/>
      <w:szCs w:val="20"/>
      <w:lang w:val="en-GB"/>
    </w:rPr>
  </w:style>
  <w:style w:type="character" w:customStyle="1" w:styleId="ResNoChar">
    <w:name w:val="Res_No Char"/>
    <w:basedOn w:val="DefaultParagraphFont"/>
    <w:link w:val="ResNo"/>
    <w:rsid w:val="00745E9E"/>
    <w:rPr>
      <w:rFonts w:eastAsia="Times New Roman" w:cs="Times New Roman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E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5E9E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45E9E"/>
    <w:rPr>
      <w:rFonts w:eastAsia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5E9E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45E9E"/>
    <w:rPr>
      <w:rFonts w:eastAsia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1289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85 (Rev. Kigali, 2022)</dc:title>
  <dc:subject/>
  <dc:creator>Saez Grau, Ricardo</dc:creator>
  <cp:keywords/>
  <dc:description/>
  <cp:lastModifiedBy>Saez Grau, Ricardo</cp:lastModifiedBy>
  <cp:revision>1</cp:revision>
  <dcterms:created xsi:type="dcterms:W3CDTF">2023-10-17T11:52:00Z</dcterms:created>
  <dcterms:modified xsi:type="dcterms:W3CDTF">2023-10-17T12:07:00Z</dcterms:modified>
</cp:coreProperties>
</file>