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D7FF" w14:textId="77777777" w:rsidR="00422295" w:rsidRPr="002B2BF7" w:rsidRDefault="00422295" w:rsidP="00422295">
      <w:pPr>
        <w:pStyle w:val="ResNo"/>
        <w:rPr>
          <w:lang w:val="ru-RU"/>
        </w:rPr>
      </w:pPr>
      <w:bookmarkStart w:id="0" w:name="_Toc116554240"/>
      <w:r w:rsidRPr="002B2BF7">
        <w:rPr>
          <w:lang w:val="ru-RU"/>
        </w:rPr>
        <w:t xml:space="preserve">РЕЗОЛЮЦИЯ </w:t>
      </w:r>
      <w:r w:rsidRPr="002B2BF7">
        <w:rPr>
          <w:rStyle w:val="href"/>
          <w:lang w:val="ru-RU"/>
        </w:rPr>
        <w:t>77</w:t>
      </w:r>
      <w:r w:rsidRPr="002B2BF7">
        <w:rPr>
          <w:lang w:val="ru-RU"/>
        </w:rPr>
        <w:t xml:space="preserve"> (Пересм. Буэнос-Айрес, 2017 г.)</w:t>
      </w:r>
      <w:bookmarkEnd w:id="0"/>
    </w:p>
    <w:p w14:paraId="06E513F4" w14:textId="77777777" w:rsidR="00422295" w:rsidRPr="002B2BF7" w:rsidRDefault="00422295" w:rsidP="00422295">
      <w:pPr>
        <w:pStyle w:val="Restitle"/>
        <w:rPr>
          <w:lang w:val="ru-RU"/>
        </w:rPr>
      </w:pPr>
      <w:bookmarkStart w:id="1" w:name="_Toc116554241"/>
      <w:r w:rsidRPr="002B2BF7">
        <w:rPr>
          <w:lang w:val="ru-RU"/>
        </w:rPr>
        <w:t>Технология и приложения широкополосной связи для более активного роста и развития услуг электросвязи/информационно-коммуникационных технологий и широкополосных соединений</w:t>
      </w:r>
      <w:bookmarkEnd w:id="1"/>
    </w:p>
    <w:p w14:paraId="1D3B219A" w14:textId="77777777" w:rsidR="00422295" w:rsidRPr="002B2BF7" w:rsidRDefault="00422295" w:rsidP="00422295">
      <w:pPr>
        <w:pStyle w:val="Normalaftertitle"/>
        <w:rPr>
          <w:lang w:val="ru-RU"/>
        </w:rPr>
      </w:pPr>
      <w:r w:rsidRPr="002B2BF7">
        <w:rPr>
          <w:lang w:val="ru-RU"/>
        </w:rPr>
        <w:t>Всемирная конференция по развитию электросвязи (Буэнос-Айрес, 2017 г.),</w:t>
      </w:r>
    </w:p>
    <w:p w14:paraId="0084E000" w14:textId="77777777" w:rsidR="00422295" w:rsidRPr="002B2BF7" w:rsidRDefault="00422295" w:rsidP="00422295">
      <w:pPr>
        <w:pStyle w:val="Call"/>
        <w:rPr>
          <w:lang w:val="ru-RU"/>
        </w:rPr>
      </w:pPr>
      <w:r w:rsidRPr="002B2BF7">
        <w:rPr>
          <w:lang w:val="ru-RU"/>
        </w:rPr>
        <w:t>напоминая</w:t>
      </w:r>
    </w:p>
    <w:p w14:paraId="04920551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Резолюцию 71 (Пересм. Пусан, 2014 г.) Полномочной конференции о Стратегическом плане Союза;</w:t>
      </w:r>
    </w:p>
    <w:p w14:paraId="70E2B96F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Резолюцию 139 (Пересм. Пусан, 2014 г.) Полномочной конференции об использовании электросвязи/информационно-коммуникационных технологий (ИКТ) для преодоления "цифрового разрыва" и построении открытого для всех информационного общества;</w:t>
      </w:r>
    </w:p>
    <w:p w14:paraId="44F0C7D3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итоговые документы Всемирной встречи на высшем уровне по вопросам информационного общества (ВВУИО) 2005 года;</w:t>
      </w:r>
    </w:p>
    <w:p w14:paraId="642EC4D7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Резолюцию 135 (Пересм. Пусан, 2014 г.) Полномочной конференции о роли МСЭ в развитии электросвязи/ИКТ и о значении электросвязи и ИКТ для экономического и социального прогресса;</w:t>
      </w:r>
    </w:p>
    <w:p w14:paraId="7142481D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Мнение 2 (Женева, 2014 г.) Всемирного форума по политике в области электросвязи/ИКТ об обеспечении благоприятной среды для более активного роста и развития широкополосных соединений;</w:t>
      </w:r>
    </w:p>
    <w:p w14:paraId="16D582D7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f)</w:t>
      </w:r>
      <w:r w:rsidRPr="002B2BF7">
        <w:rPr>
          <w:lang w:val="ru-RU"/>
        </w:rPr>
        <w:tab/>
        <w:t>Резолюцию 20 (Пересм. Буэнос-Айрес, 2017 г.) настоящей Конференции о недискриминационном доступе к современным средствам, услугам и соответствующим приложениям электросвязи/ИКТ;</w:t>
      </w:r>
    </w:p>
    <w:p w14:paraId="180920CA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g)</w:t>
      </w:r>
      <w:r w:rsidRPr="002B2BF7">
        <w:rPr>
          <w:lang w:val="ru-RU"/>
        </w:rPr>
        <w:tab/>
        <w:t>Резолюцию 37 (Пересм. Буэнос-Айрес, 2017 г.) настоящей Конференции о преодолении цифрового разрыва;</w:t>
      </w:r>
    </w:p>
    <w:p w14:paraId="313B9F14" w14:textId="77777777" w:rsidR="00422295" w:rsidRPr="002B2BF7" w:rsidRDefault="00422295" w:rsidP="00422295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h)</w:t>
      </w:r>
      <w:r w:rsidRPr="002B2BF7">
        <w:rPr>
          <w:lang w:val="ru-RU"/>
        </w:rPr>
        <w:tab/>
        <w:t>Резолюцию 43 (Пересм. Буэнос-Айрес, 2017 г.) настоящей Конференции о помощи во внедрении Международной подвижной электросвязи (IMT);</w:t>
      </w:r>
      <w:r w:rsidRPr="002B2BF7">
        <w:rPr>
          <w:i/>
          <w:iCs/>
          <w:lang w:val="ru-RU"/>
        </w:rPr>
        <w:br w:type="page"/>
      </w:r>
    </w:p>
    <w:p w14:paraId="575296DC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i)</w:t>
      </w:r>
      <w:r w:rsidRPr="002B2BF7">
        <w:rPr>
          <w:lang w:val="ru-RU"/>
        </w:rPr>
        <w:tab/>
        <w:t>Резолюцию 203 (Пусан, 2014 г.) Полномочной конференции о возможности установления соединения с сетями широкополосной связи;</w:t>
      </w:r>
    </w:p>
    <w:p w14:paraId="16725289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j)</w:t>
      </w:r>
      <w:r w:rsidRPr="002B2BF7">
        <w:rPr>
          <w:lang w:val="ru-RU"/>
        </w:rPr>
        <w:tab/>
        <w:t>Резолюцию МСЭ-R 65 (Женева, 2015 г.) Ассамблеи радиосвязи о принципах процесса будущего развития систем IMT на период до 2020 года и далее;</w:t>
      </w:r>
    </w:p>
    <w:p w14:paraId="3AD518BA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k)</w:t>
      </w:r>
      <w:r w:rsidRPr="002B2BF7">
        <w:rPr>
          <w:lang w:val="ru-RU"/>
        </w:rPr>
        <w:tab/>
        <w:t>Резолюцию 92 (Хаммамет, 2016 г.) Всемирной ассамблеи по стандартизации электросвязи (ВАСЭ) об активизации деятельности Сектора стандартизации электросвязи МСЭ (МСЭ</w:t>
      </w:r>
      <w:r w:rsidRPr="002B2BF7">
        <w:rPr>
          <w:lang w:val="ru-RU"/>
        </w:rPr>
        <w:noBreakHyphen/>
        <w:t>Т) в области стандартизации не связанных с радио аспектов IMT;</w:t>
      </w:r>
    </w:p>
    <w:p w14:paraId="1C2271F0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l)</w:t>
      </w:r>
      <w:r w:rsidRPr="002B2BF7">
        <w:rPr>
          <w:lang w:val="ru-RU"/>
        </w:rPr>
        <w:tab/>
        <w:t>Резолюцию 93 (Хаммамет, 2016 г.) ВАСЭ о взаимодействии сетей 4G, IMT-2020 и дальнейших поколений;</w:t>
      </w:r>
    </w:p>
    <w:p w14:paraId="7079B9E9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m)</w:t>
      </w:r>
      <w:r w:rsidRPr="002B2BF7">
        <w:rPr>
          <w:lang w:val="ru-RU"/>
        </w:rPr>
        <w:tab/>
        <w:t>Резолюцию 9 (Пересм. Буэнос-Айрес, 2017 г.) настоящей Конференции,</w:t>
      </w:r>
    </w:p>
    <w:p w14:paraId="08DE028E" w14:textId="77777777" w:rsidR="00422295" w:rsidRPr="002B2BF7" w:rsidRDefault="00422295" w:rsidP="00422295">
      <w:pPr>
        <w:pStyle w:val="Call"/>
        <w:rPr>
          <w:iCs/>
          <w:lang w:val="ru-RU"/>
        </w:rPr>
      </w:pPr>
      <w:r w:rsidRPr="002B2BF7">
        <w:rPr>
          <w:lang w:val="ru-RU"/>
        </w:rPr>
        <w:t>учитывая</w:t>
      </w:r>
    </w:p>
    <w:p w14:paraId="4814AC12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роль МСЭ, в частности роль Сектора развития электросвязи МСЭ (МСЭ-D), в развитии средств и услуг электросвязи/ИКТ;</w:t>
      </w:r>
    </w:p>
    <w:p w14:paraId="5C1A0801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потенциальные преимущества от быстрого внедрения новых и различных услуг электросвязи, в том числе услуг, особо отмеченных в резолюции 66/184 Генеральной Ассамблеи Организации Объединенных Наций и соответствующих пункту 54 Тунисской программы для информационного общества, а также роль широкополосных соединений, которые являются ключевыми элементами достижения Целей в области устойчивого развития (ЦУР) ООН;</w:t>
      </w:r>
    </w:p>
    <w:p w14:paraId="6DB1E38E" w14:textId="77777777" w:rsidR="00422295" w:rsidRPr="002B2BF7" w:rsidRDefault="00422295" w:rsidP="00422295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значение возможностей широкополосной связи для содействия предоставлению более широкого диапазона услуг и приложений, поощрения инвестиций и предоставления доступа к интернету по приемлемым ценам как для существующих, так и для новых пользователей в необслуживаемых или обслуживаемых в недостаточной степени сообществах за счет использования технологически нейтрального подхода к преодолению существующего цифрового разрыва;</w:t>
      </w:r>
      <w:r w:rsidRPr="002B2BF7">
        <w:rPr>
          <w:i/>
          <w:iCs/>
          <w:lang w:val="ru-RU"/>
        </w:rPr>
        <w:br w:type="page"/>
      </w:r>
    </w:p>
    <w:p w14:paraId="5C73AC94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d)</w:t>
      </w:r>
      <w:r w:rsidRPr="002B2BF7">
        <w:rPr>
          <w:lang w:val="ru-RU"/>
        </w:rPr>
        <w:tab/>
        <w:t>что новые инновационные наземные системы, системы беспроводного доступа, а также технологии спутниковых систем могут помочь преодолеть цифровой разрыв не только между развивающимися</w:t>
      </w:r>
      <w:r w:rsidRPr="002B2BF7">
        <w:rPr>
          <w:rStyle w:val="FootnoteReference"/>
          <w:lang w:val="ru-RU"/>
        </w:rPr>
        <w:footnoteReference w:id="1"/>
      </w:r>
      <w:r w:rsidRPr="002B2BF7">
        <w:rPr>
          <w:lang w:val="ru-RU"/>
        </w:rPr>
        <w:t xml:space="preserve"> и развитыми странами, но и между городскими, отдаленными и сельскими районами, в которых может не обеспечиваться адекватный охват традиционными услугами фиксированной электросвязи;</w:t>
      </w:r>
    </w:p>
    <w:p w14:paraId="5CB09C7B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что широкополосные наземные и спутниковые системы являются эффективным, а во многих случаях, особенно в сельских районах, наиболее эффективным средством выполнения многих прикладных задач, которое открывает новые перспективы и способствует преодолению цифрового разрыва, а также позволяет развивающимся странам получать доступ к новым технологиям;</w:t>
      </w:r>
    </w:p>
    <w:p w14:paraId="7E6FF80A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f)</w:t>
      </w:r>
      <w:r w:rsidRPr="002B2BF7">
        <w:rPr>
          <w:lang w:val="ru-RU"/>
        </w:rPr>
        <w:tab/>
        <w:t>что МСЭ и Организация Объединенных Наций по вопросам образования, науки и культуры (ЮНЕСКО) создали Комиссию по широкополосной связи в интересах устойчивого развития и договорились о четырех "амбициозных, но достижимых" новых целях, которые страны всего мира должны стремиться достичь, для того чтобы их народы могли в полной мере участвовать в формирующихся обществах завтрашнего дня, основанных на знаниях;</w:t>
      </w:r>
    </w:p>
    <w:p w14:paraId="288BA446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g)</w:t>
      </w:r>
      <w:r w:rsidRPr="002B2BF7">
        <w:rPr>
          <w:lang w:val="ru-RU"/>
        </w:rPr>
        <w:tab/>
        <w:t>что в соответствии с Резолюцией 9 (Пересм. Буэнос-Айрес, 2017 г.) Директор Бюро развития электросвязи (БРЭ) в тесной консультации с Директором Бюро радиосвязи (БР) собирают соответствующую информацию и подготавливают за период между всемирными конференциями по развитию электросвязи (ВКРЭ) соответствующие документы и другие актуальные результаты работы, отвечающие потребностям развивающихся стран, о национальных технических, экономических и финансовых подходах к управлению использованием спектра и контролю за использованием спектра и связанных с этим трудностях,</w:t>
      </w:r>
    </w:p>
    <w:p w14:paraId="1029E906" w14:textId="77777777" w:rsidR="00422295" w:rsidRPr="002B2BF7" w:rsidRDefault="00422295" w:rsidP="00422295">
      <w:pPr>
        <w:pStyle w:val="Call"/>
        <w:rPr>
          <w:lang w:val="ru-RU"/>
        </w:rPr>
      </w:pPr>
      <w:r w:rsidRPr="002B2BF7">
        <w:rPr>
          <w:lang w:val="ru-RU"/>
        </w:rPr>
        <w:t>принимая во внимание</w:t>
      </w:r>
    </w:p>
    <w:p w14:paraId="32DD4B9F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отчет пятой ВКРЭ (Хайдарабад, 2010 г.), в котором подчеркивается значение развития инфраструктуры и технологий электросвязи, в особенности в развивающихся странах, и принимаются региональные инициативы и Хайдарабадский план действий для содействия развивающимся странам в том, чтобы в большей степени обеспечить универсальный доступ к услугам электросвязи;</w:t>
      </w:r>
    </w:p>
    <w:p w14:paraId="6EAACE54" w14:textId="77777777" w:rsidR="00422295" w:rsidRPr="002B2BF7" w:rsidRDefault="00422295" w:rsidP="00422295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многие страны заинтересованы во внедрении всестороннего технологически нейтрального подхода к широкополосным услугам в таких видах деятельности, как электронное здравоохранение, электронное правительство и электронное образование;</w:t>
      </w:r>
      <w:r w:rsidRPr="002B2BF7">
        <w:rPr>
          <w:i/>
          <w:iCs/>
          <w:lang w:val="ru-RU"/>
        </w:rPr>
        <w:br w:type="page"/>
      </w:r>
    </w:p>
    <w:p w14:paraId="29BA55DE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c)</w:t>
      </w:r>
      <w:r w:rsidRPr="002B2BF7">
        <w:rPr>
          <w:lang w:val="ru-RU"/>
        </w:rPr>
        <w:tab/>
        <w:t>что, несмотря на существенные улучшения в области наличия и приемлемости в ценовом отношении широкополосной связи, почти две трети населения мира не имеют доступа к приемлемой в ценовом отношении широкополосной связи;</w:t>
      </w:r>
    </w:p>
    <w:p w14:paraId="6C7CE81C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что неравный доступ к услугам широкополосной электросвязи не содействуют ликвидации социального неравенства и оказывают отрицательное воздействие на социальную и экономическую ситуацию в различных странах и регионах;</w:t>
      </w:r>
    </w:p>
    <w:p w14:paraId="0EE1586F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значение конкуренции в содействии инвестициям, как это отражено в докладе Комиссии по широкополосной связи в интересах цифрового развития</w:t>
      </w:r>
      <w:r w:rsidRPr="002B2BF7">
        <w:rPr>
          <w:rStyle w:val="FootnoteReference"/>
          <w:lang w:val="ru-RU"/>
        </w:rPr>
        <w:footnoteReference w:id="2"/>
      </w:r>
      <w:r w:rsidRPr="002B2BF7">
        <w:rPr>
          <w:lang w:val="ru-RU"/>
        </w:rPr>
        <w:t>;</w:t>
      </w:r>
    </w:p>
    <w:p w14:paraId="760A6147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f)</w:t>
      </w:r>
      <w:r w:rsidRPr="002B2BF7">
        <w:rPr>
          <w:lang w:val="ru-RU"/>
        </w:rPr>
        <w:tab/>
        <w:t>что в рамках работы 3-й Исследовательской комиссии МСЭ</w:t>
      </w:r>
      <w:r w:rsidRPr="002B2BF7">
        <w:rPr>
          <w:lang w:val="ru-RU"/>
        </w:rPr>
        <w:noBreakHyphen/>
        <w:t xml:space="preserve">Т по принципам тарификации и учета, включая соответствующие экономические и стратегические вопросы электросвязи, была создана Группа Докладчика для разработки добавления к Рекомендации МСЭ-Т D.50 для содействия принятию конкретных мер по сокращению затрат на международные интернет-соединения, в особенности для развивающихся стран; </w:t>
      </w:r>
    </w:p>
    <w:p w14:paraId="0742E186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g)</w:t>
      </w:r>
      <w:r w:rsidRPr="002B2BF7">
        <w:rPr>
          <w:lang w:val="ru-RU"/>
        </w:rPr>
        <w:tab/>
        <w:t>что 3-я Исследовательская комиссия МСЭ-Т приняла Рекомендацию МСЭ-Т D.52 о создании и соединении региональных пунктов обмена трафиком интернета (IXP) в целях снижения стоимости международных интернет-соединений, задающую направление региональному сотрудничеству по созданию централизованных узлов или IXP, которые позволяют направлять местный трафик интернета по местным маршрутам, обеспечивая тем самым экономное использование полосы пропускания международного трафика и снижение стоимости международных интернет-соединений,</w:t>
      </w:r>
    </w:p>
    <w:p w14:paraId="2BD2878E" w14:textId="77777777" w:rsidR="00422295" w:rsidRPr="002B2BF7" w:rsidRDefault="00422295" w:rsidP="00422295">
      <w:pPr>
        <w:pStyle w:val="Call"/>
        <w:rPr>
          <w:lang w:val="ru-RU"/>
        </w:rPr>
      </w:pPr>
      <w:r w:rsidRPr="002B2BF7">
        <w:rPr>
          <w:lang w:val="ru-RU"/>
        </w:rPr>
        <w:t>признавая</w:t>
      </w:r>
    </w:p>
    <w:p w14:paraId="46A71D11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важную роль МСЭ-D как координатора рационального использования ресурсов в контексте различных проектов, направленных на более широкое распространение технологически нейтральных услуг электросвязи в различных странах мира;</w:t>
      </w:r>
    </w:p>
    <w:p w14:paraId="1412DDC9" w14:textId="77777777" w:rsidR="00422295" w:rsidRPr="002B2BF7" w:rsidRDefault="00422295" w:rsidP="00422295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связь, обеспечиваемая широкополосными наземными системами, системами беспроводного доступа и спутниковыми системами, представляет собой один из факторов устранения изоляции некоторых категорий населения, проживающих в тех частях страны, где все еще отсутствует адекватный охват традиционными сетями электросвязи и ощущается нехватка ресурсов;</w:t>
      </w:r>
      <w:r w:rsidRPr="002B2BF7">
        <w:rPr>
          <w:i/>
          <w:iCs/>
          <w:lang w:val="ru-RU"/>
        </w:rPr>
        <w:br w:type="page"/>
      </w:r>
    </w:p>
    <w:p w14:paraId="32D31BDF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c)</w:t>
      </w:r>
      <w:r w:rsidRPr="002B2BF7">
        <w:rPr>
          <w:lang w:val="ru-RU"/>
        </w:rPr>
        <w:tab/>
        <w:t>что, согласно исследованиям, уровень проникновения широкополосной связи выше в тех странах, где имеются национальные планы, политика или стратегии в области широкополосной связи, чем в тех странах, где они отсутствуют;</w:t>
      </w:r>
    </w:p>
    <w:p w14:paraId="67E10829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 xml:space="preserve">что в соответствии с пунктом 22 Женевской декларации принципов, принятой на ВВУИО, хорошо развитая инфраструктура информационных и коммуникационных сетей, которая является легкодоступной и приемлемой в ценовом отношении и позволяет в </w:t>
      </w:r>
      <w:r w:rsidRPr="002B2BF7">
        <w:rPr>
          <w:color w:val="000000"/>
          <w:lang w:val="ru-RU"/>
        </w:rPr>
        <w:t>большей степени использовать широкополосную связь</w:t>
      </w:r>
      <w:r w:rsidRPr="002B2BF7">
        <w:rPr>
          <w:lang w:val="ru-RU"/>
        </w:rPr>
        <w:t>, способна ускорить социально-экономический прогресс стран и повысить благосостояние всех людей, сообществ и народов;</w:t>
      </w:r>
    </w:p>
    <w:p w14:paraId="3F02F80B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политические рекомендации, содержащиеся в докладе Комиссии по широкополосной связи в интересах цифрового развития</w:t>
      </w:r>
      <w:r w:rsidRPr="002B2BF7">
        <w:rPr>
          <w:rStyle w:val="FootnoteReference"/>
          <w:lang w:val="ru-RU"/>
        </w:rPr>
        <w:footnoteReference w:id="3"/>
      </w:r>
      <w:r w:rsidRPr="002B2BF7">
        <w:rPr>
          <w:lang w:val="ru-RU"/>
        </w:rPr>
        <w:t>, в которых поддерживается развитие широкополосной инфраструктуры и создание благоприятной среды для инвестиций в инфраструктуру электросвязи и с этой целью настоятельно рекомендуется всем Государствам</w:t>
      </w:r>
      <w:r w:rsidRPr="002B2BF7">
        <w:rPr>
          <w:lang w:val="ru-RU"/>
        </w:rPr>
        <w:noBreakHyphen/>
        <w:t>Членам:</w:t>
      </w:r>
    </w:p>
    <w:p w14:paraId="6FF28E18" w14:textId="77777777" w:rsidR="00422295" w:rsidRPr="002B2BF7" w:rsidRDefault="00422295" w:rsidP="00422295">
      <w:pPr>
        <w:pStyle w:val="enumlev1"/>
        <w:rPr>
          <w:lang w:val="ru-RU"/>
        </w:rPr>
      </w:pPr>
      <w:r w:rsidRPr="002B2BF7">
        <w:rPr>
          <w:lang w:val="ru-RU"/>
        </w:rPr>
        <w:t>i)</w:t>
      </w:r>
      <w:r w:rsidRPr="002B2BF7">
        <w:rPr>
          <w:lang w:val="ru-RU"/>
        </w:rPr>
        <w:tab/>
        <w:t>ввести государственные услуги, которые стимулировали бы спрос на электросвязь и инвестиции в эту сферу, в первую очередь в развивающихся странах;</w:t>
      </w:r>
    </w:p>
    <w:p w14:paraId="47420F3A" w14:textId="77777777" w:rsidR="00422295" w:rsidRPr="002B2BF7" w:rsidRDefault="00422295" w:rsidP="00422295">
      <w:pPr>
        <w:pStyle w:val="enumlev1"/>
        <w:rPr>
          <w:lang w:val="ru-RU"/>
        </w:rPr>
      </w:pPr>
      <w:r w:rsidRPr="002B2BF7">
        <w:rPr>
          <w:lang w:val="ru-RU"/>
        </w:rPr>
        <w:t>ii)</w:t>
      </w:r>
      <w:r w:rsidRPr="002B2BF7">
        <w:rPr>
          <w:lang w:val="ru-RU"/>
        </w:rPr>
        <w:tab/>
        <w:t>разработать программу универсального обслуживания для поддержки инвестиций в инфраструктуру электросвязи;</w:t>
      </w:r>
    </w:p>
    <w:p w14:paraId="4C4EFC1C" w14:textId="77777777" w:rsidR="00422295" w:rsidRPr="002B2BF7" w:rsidRDefault="00422295" w:rsidP="00422295">
      <w:pPr>
        <w:pStyle w:val="enumlev1"/>
        <w:rPr>
          <w:lang w:val="ru-RU"/>
        </w:rPr>
      </w:pPr>
      <w:r w:rsidRPr="002B2BF7">
        <w:rPr>
          <w:lang w:val="ru-RU"/>
        </w:rPr>
        <w:t>iii)</w:t>
      </w:r>
      <w:r w:rsidRPr="002B2BF7">
        <w:rPr>
          <w:lang w:val="ru-RU"/>
        </w:rPr>
        <w:tab/>
        <w:t>поощрять эффективные и инновационные виды практики в области широкополосной связи для новых участников рынка и потребителей;</w:t>
      </w:r>
    </w:p>
    <w:p w14:paraId="0D2AA86C" w14:textId="77777777" w:rsidR="00422295" w:rsidRPr="002B2BF7" w:rsidRDefault="00422295" w:rsidP="00422295">
      <w:pPr>
        <w:pStyle w:val="enumlev1"/>
        <w:rPr>
          <w:lang w:val="ru-RU"/>
        </w:rPr>
      </w:pPr>
      <w:r w:rsidRPr="002B2BF7">
        <w:rPr>
          <w:lang w:val="ru-RU"/>
        </w:rPr>
        <w:t>iv)</w:t>
      </w:r>
      <w:r w:rsidRPr="002B2BF7">
        <w:rPr>
          <w:lang w:val="ru-RU"/>
        </w:rPr>
        <w:tab/>
        <w:t>обеспечить наличие и приемлемость в ценовом отношении услуг, предоставляемых на основе широкополосной связи;</w:t>
      </w:r>
    </w:p>
    <w:p w14:paraId="388C0071" w14:textId="77777777" w:rsidR="00422295" w:rsidRPr="002B2BF7" w:rsidRDefault="00422295" w:rsidP="00422295">
      <w:pPr>
        <w:rPr>
          <w:lang w:val="ru-RU"/>
        </w:rPr>
      </w:pPr>
      <w:r w:rsidRPr="002B2BF7">
        <w:rPr>
          <w:i/>
          <w:iCs/>
          <w:lang w:val="ru-RU"/>
        </w:rPr>
        <w:t>f)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>что разработка и внедрение национальных планов, политики или стратегии в области широкополосной связи имеют важнейшее значение для развития широкополосной связи и экономического роста;</w:t>
      </w:r>
    </w:p>
    <w:p w14:paraId="6DF9B448" w14:textId="77777777" w:rsidR="00422295" w:rsidRPr="002B2BF7" w:rsidRDefault="00422295" w:rsidP="00422295">
      <w:pPr>
        <w:rPr>
          <w:i/>
          <w:lang w:val="ru-RU"/>
        </w:rPr>
      </w:pPr>
      <w:r w:rsidRPr="002B2BF7">
        <w:rPr>
          <w:i/>
          <w:iCs/>
          <w:lang w:val="ru-RU"/>
        </w:rPr>
        <w:t>g)</w:t>
      </w:r>
      <w:r w:rsidRPr="002B2BF7">
        <w:rPr>
          <w:lang w:val="ru-RU"/>
        </w:rPr>
        <w:tab/>
        <w:t xml:space="preserve">деятельность Общества Интернета </w:t>
      </w:r>
      <w:r w:rsidRPr="002B2BF7">
        <w:rPr>
          <w:color w:val="000000"/>
          <w:szCs w:val="24"/>
          <w:lang w:val="ru-RU"/>
        </w:rPr>
        <w:t>(ISOC)</w:t>
      </w:r>
      <w:r w:rsidRPr="002B2BF7">
        <w:rPr>
          <w:lang w:val="ru-RU"/>
        </w:rPr>
        <w:t xml:space="preserve">, Федерации пунктов обмена трафиком интернета </w:t>
      </w:r>
      <w:r w:rsidRPr="002B2BF7">
        <w:rPr>
          <w:color w:val="000000"/>
          <w:szCs w:val="24"/>
          <w:lang w:val="ru-RU"/>
        </w:rPr>
        <w:t xml:space="preserve">(IEF) </w:t>
      </w:r>
      <w:r w:rsidRPr="002B2BF7">
        <w:rPr>
          <w:lang w:val="ru-RU"/>
        </w:rPr>
        <w:t>и региональных ассоциаций IXP, а также других заинтересованных сторон по оказанию помощи в области создания IXP в развивающихся странах для расширения возможности установления соединений,</w:t>
      </w:r>
      <w:r w:rsidRPr="002B2BF7">
        <w:rPr>
          <w:lang w:val="ru-RU"/>
        </w:rPr>
        <w:br w:type="page"/>
      </w:r>
    </w:p>
    <w:p w14:paraId="1F862811" w14:textId="77777777" w:rsidR="00422295" w:rsidRPr="002B2BF7" w:rsidRDefault="00422295" w:rsidP="00422295">
      <w:pPr>
        <w:pStyle w:val="Call"/>
        <w:rPr>
          <w:iCs/>
          <w:lang w:val="ru-RU"/>
        </w:rPr>
      </w:pPr>
      <w:r w:rsidRPr="002B2BF7">
        <w:rPr>
          <w:lang w:val="ru-RU"/>
        </w:rPr>
        <w:lastRenderedPageBreak/>
        <w:t>решает</w:t>
      </w:r>
    </w:p>
    <w:p w14:paraId="78BBDC07" w14:textId="77777777" w:rsidR="00422295" w:rsidRPr="002B2BF7" w:rsidRDefault="00422295" w:rsidP="00422295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настоятельно рекомендовать, чтобы БРЭ продолжило осуществлять координацию и чтобы частный сектор продолжал играть существенную роль в поддержке инициатив, направленных на поощрение доступа к широкополосным соединениям и их внедрение благодаря использованию наиболее подходящих технологий, с целью предоставления гражданам более широкого доступа к приложениям ИКТ в поддержку национальных стратегий в области широкополосной связи;</w:t>
      </w:r>
    </w:p>
    <w:p w14:paraId="59F50029" w14:textId="77777777" w:rsidR="00422295" w:rsidRPr="002B2BF7" w:rsidRDefault="00422295" w:rsidP="00422295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содействовать наличию, доступности, надежности и приемлемости в ценовом отношении широкополосной связи в развивающихся странах, создавая Государствам-Членам благоприятные условия для разработки национальной политики и стратегий в области широкополосной связи для ее внедрения на основе тщательной оценки спроса и предложения, касающихся широкополосной связи;</w:t>
      </w:r>
    </w:p>
    <w:p w14:paraId="27141C68" w14:textId="77777777" w:rsidR="00422295" w:rsidRPr="002B2BF7" w:rsidRDefault="00422295" w:rsidP="00422295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что БРЭ следует поддерживать осуществление региональных и национальных проектов для использования систем наземной спутниковой широкополосной связи, в целях предоставления населению услуг, в том числе таких мобильных услуг и приложений, как электронное правительство, электронное здравоохранение и электронное образование, мобильные платежи, мобильный банкинг, мобильный маркетинг, а также мобильные денежные переводы, а также мобильные платежи и транзакции на основе сотрудничества с заинтересованными Государствами-Членами, соответствующими международными организациями и частным сектором;</w:t>
      </w:r>
    </w:p>
    <w:p w14:paraId="499290C1" w14:textId="77777777" w:rsidR="00422295" w:rsidRPr="002B2BF7" w:rsidRDefault="00422295" w:rsidP="00422295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>что БРЭ, принимая во внимание имеющийся опыт и стратегию для преодоления цифрового разрыва и построения глобального информационного общества, следует сформулировать и реализовать программу в целях разработки предложений и рекомендаций по наиболее эффективному и действенному использованию технологий, включая услуги в области электросвязи, для обеспечения широкополосного соединения на региональном и национальном уровнях, действуя, в зависимости от обстоятельств, совместно с другими инициативами МСЭ, касающимися возможности установления соединений,</w:t>
      </w:r>
    </w:p>
    <w:p w14:paraId="16C82730" w14:textId="77777777" w:rsidR="00422295" w:rsidRPr="002B2BF7" w:rsidRDefault="00422295" w:rsidP="00422295">
      <w:pPr>
        <w:pStyle w:val="Call"/>
        <w:rPr>
          <w:lang w:val="ru-RU"/>
        </w:rPr>
      </w:pPr>
      <w:r w:rsidRPr="002B2BF7">
        <w:rPr>
          <w:lang w:val="ru-RU"/>
        </w:rPr>
        <w:t>поручает Директору Бюро развития электросвязи</w:t>
      </w:r>
    </w:p>
    <w:p w14:paraId="17942592" w14:textId="77777777" w:rsidR="00422295" w:rsidRPr="002B2BF7" w:rsidRDefault="00422295" w:rsidP="00422295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добиваться установления партнерских отношений и налаживания сотрудничества со сторонами, имеющими непосредственное отношение к предоставлению услуг населению с использованием наиболее практичных технологий, средств и сетей электросвязи, в целях обеспечения эффективной реализации соответствующих программ и видов деятельности МСЭ при развитии широкополосных соединений, обеспечения надежного широкополосного доступа по приемлемым ценам как существующим, так и к новым пользователям, в обслуживаемых в недостаточной степени и в необслуживаемых сообществах;</w:t>
      </w:r>
    </w:p>
    <w:p w14:paraId="2972104E" w14:textId="77777777" w:rsidR="00422295" w:rsidRPr="002B2BF7" w:rsidRDefault="00422295" w:rsidP="00422295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установить четкую связь между исследуемым(и) Вопросом(ами), программами и региональными инициативами по широкополосной связи в целях максимально широкого использования людских и финансовых ресурсов и, что самое важное, для более эффективного удовлетворения потребностей развивающихся стран;</w:t>
      </w:r>
      <w:r w:rsidRPr="002B2BF7">
        <w:rPr>
          <w:lang w:val="ru-RU"/>
        </w:rPr>
        <w:br w:type="page"/>
      </w:r>
    </w:p>
    <w:p w14:paraId="17E85801" w14:textId="77777777" w:rsidR="00422295" w:rsidRPr="002B2BF7" w:rsidRDefault="00422295" w:rsidP="00422295">
      <w:pPr>
        <w:rPr>
          <w:lang w:val="ru-RU"/>
        </w:rPr>
      </w:pPr>
      <w:r w:rsidRPr="002B2BF7">
        <w:rPr>
          <w:lang w:val="ru-RU"/>
        </w:rPr>
        <w:lastRenderedPageBreak/>
        <w:t>3</w:t>
      </w:r>
      <w:r w:rsidRPr="002B2BF7">
        <w:rPr>
          <w:lang w:val="ru-RU"/>
        </w:rPr>
        <w:tab/>
        <w:t>оказывать содействие Государствам-Членам, имеющим пункты выхода на берег подводных кабелей, путем создания региональных IXP с целью предоставления помощи в обеспечении соединения стран, не имеющих выхода к морю;</w:t>
      </w:r>
    </w:p>
    <w:p w14:paraId="4784E5C5" w14:textId="77777777" w:rsidR="00422295" w:rsidRPr="002B2BF7" w:rsidRDefault="00422295" w:rsidP="00422295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 xml:space="preserve">работать во взаимодействии с МСЭ-Т, </w:t>
      </w:r>
      <w:r w:rsidRPr="002B2BF7">
        <w:rPr>
          <w:color w:val="000000"/>
          <w:szCs w:val="24"/>
          <w:lang w:val="ru-RU"/>
        </w:rPr>
        <w:t>ISOC</w:t>
      </w:r>
      <w:r w:rsidRPr="002B2BF7">
        <w:rPr>
          <w:lang w:val="ru-RU"/>
        </w:rPr>
        <w:t xml:space="preserve">, </w:t>
      </w:r>
      <w:r w:rsidRPr="002B2BF7">
        <w:rPr>
          <w:color w:val="000000"/>
          <w:szCs w:val="24"/>
          <w:lang w:val="ru-RU"/>
        </w:rPr>
        <w:t>IEF</w:t>
      </w:r>
      <w:r w:rsidRPr="002B2BF7">
        <w:rPr>
          <w:lang w:val="ru-RU"/>
        </w:rPr>
        <w:t xml:space="preserve"> и региональными ассоциациями IXP, а также другими заинтересованными сторонами по оказанию помощи развивающимся странам, в частности развивающимся странам, не имеющим выхода к морю, с целью организации доступа к эффективным консультациям и помощи в создании IXP;</w:t>
      </w:r>
    </w:p>
    <w:p w14:paraId="506F9460" w14:textId="77777777" w:rsidR="00422295" w:rsidRPr="002B2BF7" w:rsidRDefault="00422295" w:rsidP="00422295">
      <w:pPr>
        <w:rPr>
          <w:lang w:val="ru-RU"/>
        </w:rPr>
      </w:pPr>
      <w:r w:rsidRPr="002B2BF7">
        <w:rPr>
          <w:lang w:val="ru-RU"/>
        </w:rPr>
        <w:t>5</w:t>
      </w:r>
      <w:r w:rsidRPr="002B2BF7">
        <w:rPr>
          <w:lang w:val="ru-RU"/>
        </w:rPr>
        <w:tab/>
        <w:t>рассмотреть возможные способы содействия установлению широкополосных соединений в тесном сотрудничестве с Сектором радиосвязи МСЭ (МСЭ-R) и МСЭ-T,</w:t>
      </w:r>
    </w:p>
    <w:p w14:paraId="639C1099" w14:textId="77777777" w:rsidR="00422295" w:rsidRPr="002B2BF7" w:rsidRDefault="00422295" w:rsidP="00422295">
      <w:pPr>
        <w:pStyle w:val="Call"/>
        <w:rPr>
          <w:lang w:val="ru-RU"/>
        </w:rPr>
      </w:pPr>
      <w:r w:rsidRPr="002B2BF7">
        <w:rPr>
          <w:lang w:val="ru-RU"/>
        </w:rPr>
        <w:t>предлагает Государствам-Членам</w:t>
      </w:r>
    </w:p>
    <w:p w14:paraId="7535A2BB" w14:textId="77777777" w:rsidR="00422295" w:rsidRPr="002B2BF7" w:rsidRDefault="00422295" w:rsidP="00422295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создать повсеместный приемлемый в ценовом отношении доступ к инфраструктуре широкополосной связи и содействовать ему путем установления правовой и регуляторной среды, включая доступность спектра частот для новых технологий широкополосного беспроводного доступа и разработку политики в области лицензирования, которая была бы справедливой, прозрачной, стабильной, предсказуемой и не допускающей дискриминации;</w:t>
      </w:r>
    </w:p>
    <w:p w14:paraId="25B0E861" w14:textId="77777777" w:rsidR="00422295" w:rsidRPr="002B2BF7" w:rsidRDefault="00422295" w:rsidP="00422295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принять все меры к обеспечению благоприятной среды для более активного роста и развития технологически нейтральных широкополосных соединений, особенно в развивающихся странах;</w:t>
      </w:r>
    </w:p>
    <w:p w14:paraId="0ECFA23D" w14:textId="77777777" w:rsidR="00422295" w:rsidRPr="002B2BF7" w:rsidRDefault="00422295" w:rsidP="00422295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активно участвовать в работе по исследуемому(ым) Вопросу(ам) в области широкополосной связи;</w:t>
      </w:r>
    </w:p>
    <w:p w14:paraId="4E8FBF33" w14:textId="77777777" w:rsidR="00422295" w:rsidRPr="002B2BF7" w:rsidRDefault="00422295" w:rsidP="00422295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>внедрять результаты работы, осуществленной по исследуемому(ым) Вопросу(ам), включая правовые, регуляторные и рыночные реформы, которые создают благоприятную среду для широкополосной связи путем содействия конкуренции, частным инвестициям и партнерствам государственного и частного секторов;</w:t>
      </w:r>
    </w:p>
    <w:p w14:paraId="7BA6D47A" w14:textId="77777777" w:rsidR="00422295" w:rsidRPr="002B2BF7" w:rsidRDefault="00422295" w:rsidP="00422295">
      <w:pPr>
        <w:rPr>
          <w:lang w:val="ru-RU"/>
        </w:rPr>
      </w:pPr>
      <w:r w:rsidRPr="002B2BF7">
        <w:rPr>
          <w:lang w:val="ru-RU"/>
        </w:rPr>
        <w:t>5</w:t>
      </w:r>
      <w:r w:rsidRPr="002B2BF7">
        <w:rPr>
          <w:lang w:val="ru-RU"/>
        </w:rPr>
        <w:tab/>
        <w:t>внедрять политику и планы, направленные на содействие наличию услуг, приложений и контента, которые стимулируют спрос на широкополосную связь;</w:t>
      </w:r>
    </w:p>
    <w:p w14:paraId="4A323B10" w14:textId="77777777" w:rsidR="00422295" w:rsidRPr="002B2BF7" w:rsidRDefault="00422295" w:rsidP="00422295">
      <w:pPr>
        <w:rPr>
          <w:lang w:val="ru-RU"/>
        </w:rPr>
      </w:pPr>
      <w:r w:rsidRPr="002B2BF7">
        <w:rPr>
          <w:lang w:val="ru-RU"/>
        </w:rPr>
        <w:t>6</w:t>
      </w:r>
      <w:r w:rsidRPr="002B2BF7">
        <w:rPr>
          <w:lang w:val="ru-RU"/>
        </w:rPr>
        <w:tab/>
        <w:t>принять меры, содействующие созданию человеческого потенциала, включая программы цифровой грамотности и техническое образование, с учетом необходимости содействия широкополосному доступу для женщин и девушек, лиц с ограниченными возможностями, жителей сельских и отдаленных районов и коренных народов.</w:t>
      </w:r>
    </w:p>
    <w:p w14:paraId="3FBB6BCD" w14:textId="77777777" w:rsidR="00E45F09" w:rsidRPr="00422295" w:rsidRDefault="00E45F09" w:rsidP="00422295">
      <w:pPr>
        <w:rPr>
          <w:lang w:val="ru-RU"/>
        </w:rPr>
      </w:pPr>
    </w:p>
    <w:sectPr w:rsidR="00E45F09" w:rsidRPr="00422295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  <w:footnote w:id="1">
    <w:p w14:paraId="0410C0A3" w14:textId="77777777" w:rsidR="00422295" w:rsidRPr="00E3202A" w:rsidRDefault="00422295" w:rsidP="0042229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3202A">
        <w:rPr>
          <w:lang w:val="ru-RU"/>
        </w:rPr>
        <w:tab/>
      </w:r>
      <w:r w:rsidRPr="00FE2866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14:paraId="11BAEF4E" w14:textId="77777777" w:rsidR="00422295" w:rsidRPr="004142AD" w:rsidRDefault="00422295" w:rsidP="0042229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4142AD">
        <w:rPr>
          <w:lang w:val="ru-RU"/>
        </w:rPr>
        <w:t xml:space="preserve">"Широкополосная связь: платформа для прогресса". Доклад Комиссии по широкополосной связи в интересах цифрового развития, сентябрь 2010 года (размещен по адресу: </w:t>
      </w:r>
      <w:hyperlink r:id="rId1">
        <w:r w:rsidRPr="004D17C8">
          <w:rPr>
            <w:rStyle w:val="Hyperlink"/>
          </w:rPr>
          <w:t>http</w:t>
        </w:r>
        <w:r w:rsidRPr="004D17C8">
          <w:rPr>
            <w:rStyle w:val="Hyperlink"/>
            <w:lang w:val="ru-RU"/>
          </w:rPr>
          <w:t>://</w:t>
        </w:r>
        <w:r w:rsidRPr="004D17C8">
          <w:rPr>
            <w:rStyle w:val="Hyperlink"/>
          </w:rPr>
          <w:t>www</w:t>
        </w:r>
        <w:r w:rsidRPr="004D17C8">
          <w:rPr>
            <w:rStyle w:val="Hyperlink"/>
            <w:lang w:val="ru-RU"/>
          </w:rPr>
          <w:t>.</w:t>
        </w:r>
        <w:r w:rsidRPr="004D17C8">
          <w:rPr>
            <w:rStyle w:val="Hyperlink"/>
          </w:rPr>
          <w:t>broadbandcommission</w:t>
        </w:r>
        <w:r w:rsidRPr="004D17C8">
          <w:rPr>
            <w:rStyle w:val="Hyperlink"/>
            <w:lang w:val="ru-RU"/>
          </w:rPr>
          <w:t>.</w:t>
        </w:r>
        <w:r w:rsidRPr="004D17C8">
          <w:rPr>
            <w:rStyle w:val="Hyperlink"/>
          </w:rPr>
          <w:t>org</w:t>
        </w:r>
        <w:r w:rsidRPr="004D17C8">
          <w:rPr>
            <w:rStyle w:val="Hyperlink"/>
            <w:lang w:val="ru-RU"/>
          </w:rPr>
          <w:t>/</w:t>
        </w:r>
        <w:r w:rsidRPr="004D17C8">
          <w:rPr>
            <w:rStyle w:val="Hyperlink"/>
          </w:rPr>
          <w:t>Documents</w:t>
        </w:r>
        <w:r w:rsidRPr="004D17C8">
          <w:rPr>
            <w:rStyle w:val="Hyperlink"/>
            <w:lang w:val="ru-RU"/>
          </w:rPr>
          <w:t>/</w:t>
        </w:r>
        <w:r w:rsidRPr="004D17C8">
          <w:rPr>
            <w:rStyle w:val="Hyperlink"/>
          </w:rPr>
          <w:t>publications</w:t>
        </w:r>
        <w:r w:rsidRPr="004D17C8">
          <w:rPr>
            <w:rStyle w:val="Hyperlink"/>
            <w:lang w:val="ru-RU"/>
          </w:rPr>
          <w:t>/</w:t>
        </w:r>
        <w:r w:rsidRPr="004D17C8">
          <w:rPr>
            <w:rStyle w:val="Hyperlink"/>
          </w:rPr>
          <w:t>Report</w:t>
        </w:r>
        <w:r w:rsidRPr="004D17C8">
          <w:rPr>
            <w:rStyle w:val="Hyperlink"/>
            <w:lang w:val="ru-RU"/>
          </w:rPr>
          <w:t>_2.</w:t>
        </w:r>
        <w:r w:rsidRPr="004D17C8">
          <w:rPr>
            <w:rStyle w:val="Hyperlink"/>
          </w:rPr>
          <w:t>pdf</w:t>
        </w:r>
      </w:hyperlink>
      <w:r w:rsidRPr="004142AD">
        <w:rPr>
          <w:lang w:val="ru-RU"/>
        </w:rPr>
        <w:t>).</w:t>
      </w:r>
    </w:p>
  </w:footnote>
  <w:footnote w:id="3">
    <w:p w14:paraId="4B7B3EC1" w14:textId="77777777" w:rsidR="00422295" w:rsidRPr="004142AD" w:rsidRDefault="00422295" w:rsidP="0042229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4142AD">
        <w:rPr>
          <w:lang w:val="ru-RU"/>
        </w:rPr>
        <w:t xml:space="preserve">"Состояние широкополосной связи в 2012 году: Достижение целей охвата всех цифровыми технологиями". Доклад Комиссии по широкополосной связи в интересах цифрового развития, сентябрь 2012 года (размещен по адресу: </w:t>
      </w:r>
      <w:hyperlink r:id="rId2">
        <w:r w:rsidRPr="004D17C8">
          <w:rPr>
            <w:rStyle w:val="Hyperlink"/>
          </w:rPr>
          <w:t>http</w:t>
        </w:r>
        <w:r w:rsidRPr="004D17C8">
          <w:rPr>
            <w:rStyle w:val="Hyperlink"/>
            <w:lang w:val="ru-RU"/>
          </w:rPr>
          <w:t>://</w:t>
        </w:r>
        <w:r w:rsidRPr="004D17C8">
          <w:rPr>
            <w:rStyle w:val="Hyperlink"/>
          </w:rPr>
          <w:t>www</w:t>
        </w:r>
        <w:r w:rsidRPr="004D17C8">
          <w:rPr>
            <w:rStyle w:val="Hyperlink"/>
            <w:lang w:val="ru-RU"/>
          </w:rPr>
          <w:t>.</w:t>
        </w:r>
        <w:r w:rsidRPr="004D17C8">
          <w:rPr>
            <w:rStyle w:val="Hyperlink"/>
          </w:rPr>
          <w:t>broadbandcommission</w:t>
        </w:r>
        <w:r w:rsidRPr="004D17C8">
          <w:rPr>
            <w:rStyle w:val="Hyperlink"/>
            <w:lang w:val="ru-RU"/>
          </w:rPr>
          <w:t>.</w:t>
        </w:r>
        <w:r w:rsidRPr="004D17C8">
          <w:rPr>
            <w:rStyle w:val="Hyperlink"/>
          </w:rPr>
          <w:t>org</w:t>
        </w:r>
        <w:r w:rsidRPr="004D17C8">
          <w:rPr>
            <w:rStyle w:val="Hyperlink"/>
            <w:lang w:val="ru-RU"/>
          </w:rPr>
          <w:t>/</w:t>
        </w:r>
        <w:r w:rsidRPr="004D17C8">
          <w:rPr>
            <w:rStyle w:val="Hyperlink"/>
          </w:rPr>
          <w:t>Documents</w:t>
        </w:r>
        <w:r w:rsidRPr="004D17C8">
          <w:rPr>
            <w:rStyle w:val="Hyperlink"/>
            <w:lang w:val="ru-RU"/>
          </w:rPr>
          <w:t>/</w:t>
        </w:r>
        <w:r w:rsidRPr="004D17C8">
          <w:rPr>
            <w:rStyle w:val="Hyperlink"/>
          </w:rPr>
          <w:t>bb</w:t>
        </w:r>
        <w:r w:rsidRPr="004D17C8">
          <w:rPr>
            <w:rStyle w:val="Hyperlink"/>
            <w:lang w:val="ru-RU"/>
          </w:rPr>
          <w:t>-</w:t>
        </w:r>
        <w:r w:rsidRPr="004D17C8">
          <w:rPr>
            <w:rStyle w:val="Hyperlink"/>
          </w:rPr>
          <w:t>annualreport</w:t>
        </w:r>
        <w:r w:rsidRPr="004D17C8">
          <w:rPr>
            <w:rStyle w:val="Hyperlink"/>
            <w:lang w:val="ru-RU"/>
          </w:rPr>
          <w:t>2012.</w:t>
        </w:r>
        <w:r w:rsidRPr="004D17C8">
          <w:rPr>
            <w:rStyle w:val="Hyperlink"/>
          </w:rPr>
          <w:t>pdf</w:t>
        </w:r>
      </w:hyperlink>
      <w:r w:rsidRPr="004142AD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7DC5C474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422295">
          <w:rPr>
            <w:noProof/>
            <w:szCs w:val="22"/>
          </w:rPr>
          <w:t>77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431035C7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422295">
      <w:rPr>
        <w:noProof/>
        <w:szCs w:val="22"/>
      </w:rPr>
      <w:t>77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D1BE4"/>
    <w:rsid w:val="000F689C"/>
    <w:rsid w:val="00150FA6"/>
    <w:rsid w:val="00155E4F"/>
    <w:rsid w:val="001D38B0"/>
    <w:rsid w:val="00247508"/>
    <w:rsid w:val="00282B03"/>
    <w:rsid w:val="00316908"/>
    <w:rsid w:val="00373FF6"/>
    <w:rsid w:val="003B155A"/>
    <w:rsid w:val="003C2BD9"/>
    <w:rsid w:val="003E584B"/>
    <w:rsid w:val="003E6044"/>
    <w:rsid w:val="00422295"/>
    <w:rsid w:val="004F44FF"/>
    <w:rsid w:val="00523CDB"/>
    <w:rsid w:val="006677D6"/>
    <w:rsid w:val="00686D9E"/>
    <w:rsid w:val="00713A5E"/>
    <w:rsid w:val="00791A97"/>
    <w:rsid w:val="00905C06"/>
    <w:rsid w:val="009D3EFE"/>
    <w:rsid w:val="00B65A4E"/>
    <w:rsid w:val="00B7660C"/>
    <w:rsid w:val="00B95B42"/>
    <w:rsid w:val="00D90490"/>
    <w:rsid w:val="00DD3985"/>
    <w:rsid w:val="00E1417E"/>
    <w:rsid w:val="00E45F09"/>
    <w:rsid w:val="00F4199B"/>
    <w:rsid w:val="00FF162F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styleId="FootnoteReference">
    <w:name w:val="footnote reference"/>
    <w:basedOn w:val="DefaultParagraphFont"/>
    <w:rsid w:val="00791A97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91A97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791A97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enumlev1">
    <w:name w:val="enumlev1"/>
    <w:basedOn w:val="Normal"/>
    <w:link w:val="enumlev1Char"/>
    <w:rsid w:val="00373FF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373FF6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te">
    <w:name w:val="Note"/>
    <w:basedOn w:val="Normal"/>
    <w:next w:val="Normal"/>
    <w:rsid w:val="006677D6"/>
    <w:pPr>
      <w:tabs>
        <w:tab w:val="left" w:pos="284"/>
      </w:tabs>
      <w:spacing w:before="80"/>
    </w:pPr>
  </w:style>
  <w:style w:type="character" w:customStyle="1" w:styleId="Heading1Char">
    <w:name w:val="Heading 1 Char"/>
    <w:basedOn w:val="DefaultParagraphFont"/>
    <w:link w:val="Heading1"/>
    <w:uiPriority w:val="9"/>
    <w:rsid w:val="003E604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AnnexNo">
    <w:name w:val="Annex_No"/>
    <w:basedOn w:val="Normal"/>
    <w:next w:val="Normal"/>
    <w:link w:val="AnnexNoChar"/>
    <w:rsid w:val="003E604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Heading2"/>
    <w:next w:val="Normal"/>
    <w:rsid w:val="003E6044"/>
    <w:pPr>
      <w:spacing w:before="240" w:after="280"/>
    </w:pPr>
    <w:rPr>
      <w:rFonts w:ascii="Calibri" w:eastAsia="Calibri" w:hAnsi="Calibri" w:cs="Times New Roman"/>
      <w:b/>
      <w:iCs/>
      <w:color w:val="auto"/>
      <w:sz w:val="28"/>
      <w:szCs w:val="20"/>
      <w:bdr w:val="none" w:sz="0" w:space="0" w:color="auto" w:frame="1"/>
      <w:lang w:eastAsia="en-GB"/>
    </w:rPr>
  </w:style>
  <w:style w:type="character" w:customStyle="1" w:styleId="AnnexNoChar">
    <w:name w:val="Annex_No Char"/>
    <w:basedOn w:val="DefaultParagraphFont"/>
    <w:link w:val="AnnexNo"/>
    <w:rsid w:val="003E6044"/>
    <w:rPr>
      <w:rFonts w:ascii="Calibri" w:eastAsia="Times New Roman" w:hAnsi="Calibri" w:cs="Times New Roman"/>
      <w:caps/>
      <w:kern w:val="0"/>
      <w:sz w:val="28"/>
      <w:szCs w:val="20"/>
      <w14:ligatures w14:val="none"/>
    </w:rPr>
  </w:style>
  <w:style w:type="character" w:styleId="Hyperlink">
    <w:name w:val="Hyperlink"/>
    <w:rsid w:val="00713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adbandcommission.org/Documents/bb-annualreport2012.pdf" TargetMode="External"/><Relationship Id="rId1" Type="http://schemas.openxmlformats.org/officeDocument/2006/relationships/hyperlink" Target="http://www.broadbandcommission.org/Documents/publications/Report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2161</Words>
  <Characters>12324</Characters>
  <Application>Microsoft Office Word</Application>
  <DocSecurity>0</DocSecurity>
  <Lines>102</Lines>
  <Paragraphs>28</Paragraphs>
  <ScaleCrop>false</ScaleCrop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28</cp:revision>
  <dcterms:created xsi:type="dcterms:W3CDTF">2023-10-16T12:49:00Z</dcterms:created>
  <dcterms:modified xsi:type="dcterms:W3CDTF">2023-10-16T14:06:00Z</dcterms:modified>
</cp:coreProperties>
</file>