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D7FF" w14:textId="77777777" w:rsidR="00422295" w:rsidRPr="002B2BF7" w:rsidRDefault="00422295" w:rsidP="00422295">
      <w:pPr>
        <w:pStyle w:val="ResNo"/>
        <w:rPr>
          <w:lang w:val="ru-RU"/>
        </w:rPr>
      </w:pPr>
      <w:bookmarkStart w:id="0" w:name="_Toc116554240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77</w:t>
      </w:r>
      <w:r w:rsidRPr="002B2BF7">
        <w:rPr>
          <w:lang w:val="ru-RU"/>
        </w:rPr>
        <w:t xml:space="preserve"> (Пересм. Буэнос-Айрес, 2017 г.)</w:t>
      </w:r>
      <w:bookmarkEnd w:id="0"/>
    </w:p>
    <w:p w14:paraId="06E513F4" w14:textId="77777777" w:rsidR="00422295" w:rsidRPr="002B2BF7" w:rsidRDefault="00422295" w:rsidP="00422295">
      <w:pPr>
        <w:pStyle w:val="Restitle"/>
        <w:rPr>
          <w:lang w:val="ru-RU"/>
        </w:rPr>
      </w:pPr>
      <w:bookmarkStart w:id="1" w:name="_Toc116554241"/>
      <w:r w:rsidRPr="002B2BF7">
        <w:rPr>
          <w:lang w:val="ru-RU"/>
        </w:rPr>
        <w:t>Технология и приложения широкополосной связи для более активного роста и развития услуг электросвязи/информационно-коммуникационных технологий и широкополосных соединений</w:t>
      </w:r>
      <w:bookmarkEnd w:id="1"/>
    </w:p>
    <w:p w14:paraId="1D3B219A" w14:textId="77777777" w:rsidR="00422295" w:rsidRPr="002B2BF7" w:rsidRDefault="00422295" w:rsidP="00422295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(Буэнос-Айрес, 2017 г.),</w:t>
      </w:r>
    </w:p>
    <w:p w14:paraId="0084E000" w14:textId="77777777" w:rsidR="00422295" w:rsidRPr="002B2BF7" w:rsidRDefault="00422295" w:rsidP="00422295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04920551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Резолюцию 71 (Пересм. Пусан, 2014 г.) Полномочной конференции о Стратегическом плане Союза;</w:t>
      </w:r>
    </w:p>
    <w:p w14:paraId="70E2B96F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Резолюцию 139 (Пересм. Пусан, 2014 г.) Полномочной конференции об использовании электросвязи/информационно-коммуникационных технологий (ИКТ) для преодоления "цифрового разрыва" и построении открытого для всех информационного общества;</w:t>
      </w:r>
    </w:p>
    <w:p w14:paraId="44F0C7D3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итоговые документы Всемирной встречи на высшем уровне по вопросам информационного общества (ВВУИО) 2005 года;</w:t>
      </w:r>
    </w:p>
    <w:p w14:paraId="642EC4D7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Резолюцию 135 (Пересм. Пусан, 2014 г.) Полномочной конференции о роли МСЭ в развитии электросвязи/ИКТ и о значении электросвязи и ИКТ для экономического и социального прогресса;</w:t>
      </w:r>
    </w:p>
    <w:p w14:paraId="7142481D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Мнение 2 (Женева, 2014 г.) Всемирного форума по политике в области электросвязи/ИКТ об обеспечении благоприятной среды для более активного роста и развития широкополосных соединений;</w:t>
      </w:r>
    </w:p>
    <w:p w14:paraId="16D582D7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Резолюцию 20 (Пересм. Буэнос-Айрес, 2017 г.) настоящей Конференции о недискриминационном доступе к современным средствам, услугам и соответствующим приложениям электросвязи/ИКТ;</w:t>
      </w:r>
    </w:p>
    <w:p w14:paraId="180920CA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Резолюцию 37 (Пересм. Буэнос-Айрес, 2017 г.) настоящей Конференции о преодолении цифрового разрыва;</w:t>
      </w:r>
    </w:p>
    <w:p w14:paraId="313B9F14" w14:textId="77777777" w:rsidR="00422295" w:rsidRPr="002B2BF7" w:rsidRDefault="00422295" w:rsidP="00422295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Резолюцию 43 (Пересм. Буэнос-Айрес, 2017 г.) настоящей Конференции о помощи во внедрении Международной подвижной электросвязи (IMT);</w:t>
      </w:r>
      <w:r w:rsidRPr="002B2BF7">
        <w:rPr>
          <w:i/>
          <w:iCs/>
          <w:lang w:val="ru-RU"/>
        </w:rPr>
        <w:br w:type="page"/>
      </w:r>
    </w:p>
    <w:p w14:paraId="575296DC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i)</w:t>
      </w:r>
      <w:r w:rsidRPr="002B2BF7">
        <w:rPr>
          <w:lang w:val="ru-RU"/>
        </w:rPr>
        <w:tab/>
        <w:t>Резолюцию 203 (Пусан, 2014 г.) Полномочной конференции о возможности установления соединения с сетями широкополосной связи;</w:t>
      </w:r>
    </w:p>
    <w:p w14:paraId="16725289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j)</w:t>
      </w:r>
      <w:r w:rsidRPr="002B2BF7">
        <w:rPr>
          <w:lang w:val="ru-RU"/>
        </w:rPr>
        <w:tab/>
        <w:t>Резолюцию МСЭ-R 65 (Женева, 2015 г.) Ассамблеи радиосвязи о принципах процесса будущего развития систем IMT на период до 2020 года и далее;</w:t>
      </w:r>
    </w:p>
    <w:p w14:paraId="3AD518BA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lang w:val="ru-RU"/>
        </w:rPr>
        <w:tab/>
        <w:t>Резолюцию 92 (Хаммамет, 2016 г.) Всемирной ассамблеи по стандартизации электросвязи (ВАСЭ) об активизации деятельности Сектора стандартизации электросвязи МСЭ (МСЭ</w:t>
      </w:r>
      <w:r w:rsidRPr="002B2BF7">
        <w:rPr>
          <w:lang w:val="ru-RU"/>
        </w:rPr>
        <w:noBreakHyphen/>
        <w:t>Т) в области стандартизации не связанных с радио аспектов IMT;</w:t>
      </w:r>
    </w:p>
    <w:p w14:paraId="1C2271F0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l)</w:t>
      </w:r>
      <w:r w:rsidRPr="002B2BF7">
        <w:rPr>
          <w:lang w:val="ru-RU"/>
        </w:rPr>
        <w:tab/>
        <w:t>Резолюцию 93 (Хаммамет, 2016 г.) ВАСЭ о взаимодействии сетей 4G, IMT-2020 и дальнейших поколений;</w:t>
      </w:r>
    </w:p>
    <w:p w14:paraId="7079B9E9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m)</w:t>
      </w:r>
      <w:r w:rsidRPr="002B2BF7">
        <w:rPr>
          <w:lang w:val="ru-RU"/>
        </w:rPr>
        <w:tab/>
        <w:t>Резолюцию 9 (Пересм. Буэнос-Айрес, 2017 г.) настоящей Конференции,</w:t>
      </w:r>
    </w:p>
    <w:p w14:paraId="08DE028E" w14:textId="77777777" w:rsidR="00422295" w:rsidRPr="002B2BF7" w:rsidRDefault="00422295" w:rsidP="00422295">
      <w:pPr>
        <w:pStyle w:val="Call"/>
        <w:rPr>
          <w:iCs/>
          <w:lang w:val="ru-RU"/>
        </w:rPr>
      </w:pPr>
      <w:r w:rsidRPr="002B2BF7">
        <w:rPr>
          <w:lang w:val="ru-RU"/>
        </w:rPr>
        <w:t>учитывая</w:t>
      </w:r>
    </w:p>
    <w:p w14:paraId="4814AC12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роль МСЭ, в частности роль Сектора развития электросвязи МСЭ (МСЭ-D), в развитии средств и услуг электросвязи/ИКТ;</w:t>
      </w:r>
    </w:p>
    <w:p w14:paraId="5C1A0801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потенциальные преимущества от быстрого внедрения новых и различных услуг электросвязи, в том числе услуг, особо отмеченных в резолюции 66/184 Генеральной Ассамблеи Организации Объединенных Наций и соответствующих пункту 54 Тунисской программы для информационного общества, а также роль широкополосных соединений, которые являются ключевыми элементами достижения Целей в области устойчивого развития (ЦУР) ООН;</w:t>
      </w:r>
    </w:p>
    <w:p w14:paraId="6DB1E38E" w14:textId="77777777" w:rsidR="00422295" w:rsidRPr="002B2BF7" w:rsidRDefault="00422295" w:rsidP="00422295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значение возможностей широкополосной связи для содействия предоставлению более широкого диапазона услуг и приложений, поощрения инвестиций и предоставления доступа к интернету по приемлемым ценам как для существующих, так и для новых пользователей в необслуживаемых или обслуживаемых в недостаточной степени сообществах за счет использования технологически нейтрального подхода к преодолению существующего цифрового разрыва;</w:t>
      </w:r>
      <w:r w:rsidRPr="002B2BF7">
        <w:rPr>
          <w:i/>
          <w:iCs/>
          <w:lang w:val="ru-RU"/>
        </w:rPr>
        <w:br w:type="page"/>
      </w:r>
    </w:p>
    <w:p w14:paraId="5C73AC94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d)</w:t>
      </w:r>
      <w:r w:rsidRPr="002B2BF7">
        <w:rPr>
          <w:lang w:val="ru-RU"/>
        </w:rPr>
        <w:tab/>
        <w:t>что новые инновационные наземные системы, системы беспроводного доступа, а также технологии спутниковых систем могут помочь преодолеть цифровой разрыв не только между развивающимися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и развитыми странами, но и между городскими, отдаленными и сельскими районами, в которых может не обеспечиваться адекватный охват традиционными услугами фиксированной электросвязи;</w:t>
      </w:r>
    </w:p>
    <w:p w14:paraId="5CB09C7B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широкополосные наземные и спутниковые системы являются эффективным, а во многих случаях, особенно в сельских районах, наиболее эффективным средством выполнения многих прикладных задач, которое открывает новые перспективы и способствует преодолению цифрового разрыва, а также позволяет развивающимся странам получать доступ к новым технологиям;</w:t>
      </w:r>
    </w:p>
    <w:p w14:paraId="7E6FF80A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МСЭ и Организация Объединенных Наций по вопросам образования, науки и культуры (ЮНЕСКО) создали Комиссию по широкополосной связи в интересах устойчивого развития и договорились о четырех "амбициозных, но достижимых" новых целях, которые страны всего мира должны стремиться достичь, для того чтобы их народы могли в полной мере участвовать в формирующихся обществах завтрашнего дня, основанных на знаниях;</w:t>
      </w:r>
    </w:p>
    <w:p w14:paraId="288BA446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в соответствии с Резолюцией 9 (Пересм. Буэнос-Айрес, 2017 г.) Директор Бюро развития электросвязи (БРЭ) в тесной консультации с Директором Бюро радиосвязи (БР) собирают соответствующую информацию и подготавливают за период между всемирными конференциями по развитию электросвязи (ВКРЭ) соответствующие документы и другие актуальные результаты работы, отвечающие потребностям развивающихся стран, о национальных технических, экономических и финансовых подходах к управлению использованием спектра и контролю за использованием спектра и связанных с этим трудностях,</w:t>
      </w:r>
    </w:p>
    <w:p w14:paraId="1029E906" w14:textId="77777777" w:rsidR="00422295" w:rsidRPr="002B2BF7" w:rsidRDefault="00422295" w:rsidP="00422295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</w:p>
    <w:p w14:paraId="32DD4B9F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отчет пятой ВКРЭ (Хайдарабад, 2010 г.), в котором подчеркивается значение развития инфраструктуры и технологий электросвязи, в особенности в развивающихся странах, и принимаются региональные инициативы и Хайдарабадский план действий для содействия развивающимся странам в том, чтобы в большей степени обеспечить универсальный доступ к услугам электросвязи;</w:t>
      </w:r>
    </w:p>
    <w:p w14:paraId="6EAACE54" w14:textId="77777777" w:rsidR="00422295" w:rsidRPr="002B2BF7" w:rsidRDefault="00422295" w:rsidP="00422295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многие страны заинтересованы во внедрении всестороннего технологически нейтрального подхода к широкополосным услугам в таких видах деятельности, как электронное здравоохранение, электронное правительство и электронное образование;</w:t>
      </w:r>
      <w:r w:rsidRPr="002B2BF7">
        <w:rPr>
          <w:i/>
          <w:iCs/>
          <w:lang w:val="ru-RU"/>
        </w:rPr>
        <w:br w:type="page"/>
      </w:r>
    </w:p>
    <w:p w14:paraId="29BA55DE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>что, несмотря на существенные улучшения в области наличия и приемлемости в ценовом отношении широкополосной связи, почти две трети населения мира не имеют доступа к приемлемой в ценовом отношении широкополосной связи;</w:t>
      </w:r>
    </w:p>
    <w:p w14:paraId="6C7CE81C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неравный доступ к услугам широкополосной электросвязи не содействуют ликвидации социального неравенства и оказывают отрицательное воздействие на социальную и экономическую ситуацию в различных странах и регионах;</w:t>
      </w:r>
    </w:p>
    <w:p w14:paraId="0EE1586F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значение конкуренции в содействии инвестициям, как это отражено в докладе Комиссии по широкополосной связи в интересах цифрового развития</w:t>
      </w:r>
      <w:r w:rsidRPr="002B2BF7">
        <w:rPr>
          <w:rStyle w:val="FootnoteReference"/>
          <w:lang w:val="ru-RU"/>
        </w:rPr>
        <w:footnoteReference w:id="2"/>
      </w:r>
      <w:r w:rsidRPr="002B2BF7">
        <w:rPr>
          <w:lang w:val="ru-RU"/>
        </w:rPr>
        <w:t>;</w:t>
      </w:r>
    </w:p>
    <w:p w14:paraId="760A6147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в рамках работы 3-й Исследовательской комиссии МСЭ</w:t>
      </w:r>
      <w:r w:rsidRPr="002B2BF7">
        <w:rPr>
          <w:lang w:val="ru-RU"/>
        </w:rPr>
        <w:noBreakHyphen/>
        <w:t xml:space="preserve">Т по принципам тарификации и учета, включая соответствующие экономические и стратегические вопросы электросвязи, была создана Группа Докладчика для разработки добавления к Рекомендации МСЭ-Т D.50 для содействия принятию конкретных мер по сокращению затрат на международные интернет-соединения, в особенности для развивающихся стран; </w:t>
      </w:r>
    </w:p>
    <w:p w14:paraId="0742E186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3-я Исследовательская комиссия МСЭ-Т приняла Рекомендацию МСЭ-Т D.52 о создании и соединении региональных пунктов обмена трафиком интернета (IXP) в целях снижения стоимости международных интернет-соединений, задающую направление региональному сотрудничеству по созданию централизованных узлов или IXP, которые позволяют направлять местный трафик интернета по местным маршрутам, обеспечивая тем самым экономное использование полосы пропускания международного трафика и снижение стоимости международных интернет-соединений,</w:t>
      </w:r>
    </w:p>
    <w:p w14:paraId="2BD2878E" w14:textId="77777777" w:rsidR="00422295" w:rsidRPr="002B2BF7" w:rsidRDefault="00422295" w:rsidP="00422295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</w:p>
    <w:p w14:paraId="46A71D11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важную роль МСЭ-D как координатора рационального использования ресурсов в контексте различных проектов, направленных на более широкое распространение технологически нейтральных услуг электросвязи в различных странах мира;</w:t>
      </w:r>
    </w:p>
    <w:p w14:paraId="1412DDC9" w14:textId="77777777" w:rsidR="00422295" w:rsidRPr="002B2BF7" w:rsidRDefault="00422295" w:rsidP="00422295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связь, обеспечиваемая широкополосными наземными системами, системами беспроводного доступа и спутниковыми системами, представляет собой один из факторов устранения изоляции некоторых категорий населения, проживающих в тех частях страны, где все еще отсутствует адекватный охват традиционными сетями электросвязи и ощущается нехватка ресурсов;</w:t>
      </w:r>
      <w:r w:rsidRPr="002B2BF7">
        <w:rPr>
          <w:i/>
          <w:iCs/>
          <w:lang w:val="ru-RU"/>
        </w:rPr>
        <w:br w:type="page"/>
      </w:r>
    </w:p>
    <w:p w14:paraId="32D31BDF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>что, согласно исследованиям, уровень проникновения широкополосной связи выше в тех странах, где имеются национальные планы, политика или стратегии в области широкополосной связи, чем в тех странах, где они отсутствуют;</w:t>
      </w:r>
    </w:p>
    <w:p w14:paraId="67E10829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что в соответствии с пунктом 22 Женевской декларации принципов, принятой на ВВУИО, хорошо развитая инфраструктура информационных и коммуникационных сетей, которая является легкодоступной и приемлемой в ценовом отношении и позволяет в </w:t>
      </w:r>
      <w:r w:rsidRPr="002B2BF7">
        <w:rPr>
          <w:color w:val="000000"/>
          <w:lang w:val="ru-RU"/>
        </w:rPr>
        <w:t>большей степени использовать широкополосную связь</w:t>
      </w:r>
      <w:r w:rsidRPr="002B2BF7">
        <w:rPr>
          <w:lang w:val="ru-RU"/>
        </w:rPr>
        <w:t>, способна ускорить социально-экономический прогресс стран и повысить благосостояние всех людей, сообществ и народов;</w:t>
      </w:r>
    </w:p>
    <w:p w14:paraId="3F02F80B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политические рекомендации, содержащиеся в докладе Комиссии по широкополосной связи в интересах цифрового развития</w:t>
      </w:r>
      <w:r w:rsidRPr="002B2BF7">
        <w:rPr>
          <w:rStyle w:val="FootnoteReference"/>
          <w:lang w:val="ru-RU"/>
        </w:rPr>
        <w:footnoteReference w:id="3"/>
      </w:r>
      <w:r w:rsidRPr="002B2BF7">
        <w:rPr>
          <w:lang w:val="ru-RU"/>
        </w:rPr>
        <w:t>, в которых поддерживается развитие широкополосной инфраструктуры и создание благоприятной среды для инвестиций в инфраструктуру электросвязи и с этой целью настоятельно рекомендуется всем Государствам</w:t>
      </w:r>
      <w:r w:rsidRPr="002B2BF7">
        <w:rPr>
          <w:lang w:val="ru-RU"/>
        </w:rPr>
        <w:noBreakHyphen/>
        <w:t>Членам:</w:t>
      </w:r>
    </w:p>
    <w:p w14:paraId="6FF28E18" w14:textId="77777777" w:rsidR="00422295" w:rsidRPr="002B2BF7" w:rsidRDefault="00422295" w:rsidP="00422295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>ввести государственные услуги, которые стимулировали бы спрос на электросвязь и инвестиции в эту сферу, в первую очередь в развивающихся странах;</w:t>
      </w:r>
    </w:p>
    <w:p w14:paraId="47420F3A" w14:textId="77777777" w:rsidR="00422295" w:rsidRPr="002B2BF7" w:rsidRDefault="00422295" w:rsidP="00422295">
      <w:pPr>
        <w:pStyle w:val="enumlev1"/>
        <w:rPr>
          <w:lang w:val="ru-RU"/>
        </w:rPr>
      </w:pPr>
      <w:r w:rsidRPr="002B2BF7">
        <w:rPr>
          <w:lang w:val="ru-RU"/>
        </w:rPr>
        <w:t>ii)</w:t>
      </w:r>
      <w:r w:rsidRPr="002B2BF7">
        <w:rPr>
          <w:lang w:val="ru-RU"/>
        </w:rPr>
        <w:tab/>
        <w:t>разработать программу универсального обслуживания для поддержки инвестиций в инфраструктуру электросвязи;</w:t>
      </w:r>
    </w:p>
    <w:p w14:paraId="4C4EFC1C" w14:textId="77777777" w:rsidR="00422295" w:rsidRPr="002B2BF7" w:rsidRDefault="00422295" w:rsidP="00422295">
      <w:pPr>
        <w:pStyle w:val="enumlev1"/>
        <w:rPr>
          <w:lang w:val="ru-RU"/>
        </w:rPr>
      </w:pPr>
      <w:r w:rsidRPr="002B2BF7">
        <w:rPr>
          <w:lang w:val="ru-RU"/>
        </w:rPr>
        <w:t>iii)</w:t>
      </w:r>
      <w:r w:rsidRPr="002B2BF7">
        <w:rPr>
          <w:lang w:val="ru-RU"/>
        </w:rPr>
        <w:tab/>
        <w:t>поощрять эффективные и инновационные виды практики в области широкополосной связи для новых участников рынка и потребителей;</w:t>
      </w:r>
    </w:p>
    <w:p w14:paraId="0D2AA86C" w14:textId="77777777" w:rsidR="00422295" w:rsidRPr="002B2BF7" w:rsidRDefault="00422295" w:rsidP="00422295">
      <w:pPr>
        <w:pStyle w:val="enumlev1"/>
        <w:rPr>
          <w:lang w:val="ru-RU"/>
        </w:rPr>
      </w:pPr>
      <w:r w:rsidRPr="002B2BF7">
        <w:rPr>
          <w:lang w:val="ru-RU"/>
        </w:rPr>
        <w:t>iv)</w:t>
      </w:r>
      <w:r w:rsidRPr="002B2BF7">
        <w:rPr>
          <w:lang w:val="ru-RU"/>
        </w:rPr>
        <w:tab/>
        <w:t>обеспечить наличие и приемлемость в ценовом отношении услуг, предоставляемых на основе широкополосной связи;</w:t>
      </w:r>
    </w:p>
    <w:p w14:paraId="388C0071" w14:textId="77777777" w:rsidR="00422295" w:rsidRPr="002B2BF7" w:rsidRDefault="00422295" w:rsidP="00422295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разработка и внедрение национальных планов, политики или стратегии в области широкополосной связи имеют важнейшее значение для развития широкополосной связи и экономического роста;</w:t>
      </w:r>
    </w:p>
    <w:p w14:paraId="6DF9B448" w14:textId="77777777" w:rsidR="00422295" w:rsidRPr="002B2BF7" w:rsidRDefault="00422295" w:rsidP="00422295">
      <w:pPr>
        <w:rPr>
          <w:i/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 xml:space="preserve">деятельность Общества Интернета </w:t>
      </w:r>
      <w:r w:rsidRPr="002B2BF7">
        <w:rPr>
          <w:color w:val="000000"/>
          <w:szCs w:val="24"/>
          <w:lang w:val="ru-RU"/>
        </w:rPr>
        <w:t>(ISOC)</w:t>
      </w:r>
      <w:r w:rsidRPr="002B2BF7">
        <w:rPr>
          <w:lang w:val="ru-RU"/>
        </w:rPr>
        <w:t xml:space="preserve">, Федерации пунктов обмена трафиком интернета </w:t>
      </w:r>
      <w:r w:rsidRPr="002B2BF7">
        <w:rPr>
          <w:color w:val="000000"/>
          <w:szCs w:val="24"/>
          <w:lang w:val="ru-RU"/>
        </w:rPr>
        <w:t xml:space="preserve">(IEF) </w:t>
      </w:r>
      <w:r w:rsidRPr="002B2BF7">
        <w:rPr>
          <w:lang w:val="ru-RU"/>
        </w:rPr>
        <w:t>и региональных ассоциаций IXP, а также других заинтересованных сторон по оказанию помощи в области создания IXP в развивающихся странах для расширения возможности установления соединений,</w:t>
      </w:r>
      <w:r w:rsidRPr="002B2BF7">
        <w:rPr>
          <w:lang w:val="ru-RU"/>
        </w:rPr>
        <w:br w:type="page"/>
      </w:r>
    </w:p>
    <w:p w14:paraId="1F862811" w14:textId="77777777" w:rsidR="00422295" w:rsidRPr="002B2BF7" w:rsidRDefault="00422295" w:rsidP="00422295">
      <w:pPr>
        <w:pStyle w:val="Call"/>
        <w:rPr>
          <w:iCs/>
          <w:lang w:val="ru-RU"/>
        </w:rPr>
      </w:pPr>
      <w:r w:rsidRPr="002B2BF7">
        <w:rPr>
          <w:lang w:val="ru-RU"/>
        </w:rPr>
        <w:lastRenderedPageBreak/>
        <w:t>решает</w:t>
      </w:r>
    </w:p>
    <w:p w14:paraId="78BBDC07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настоятельно рекомендовать, чтобы БРЭ продолжило осуществлять координацию и чтобы частный сектор продолжал играть существенную роль в поддержке инициатив, направленных на поощрение доступа к широкополосным соединениям и их внедрение благодаря использованию наиболее подходящих технологий, с целью предоставления гражданам более широкого доступа к приложениям ИКТ в поддержку национальных стратегий в области широкополосной связи;</w:t>
      </w:r>
    </w:p>
    <w:p w14:paraId="59F50029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содействовать наличию, доступности, надежности и приемлемости в ценовом отношении широкополосной связи в развивающихся странах, создавая Государствам-Членам благоприятные условия для разработки национальной политики и стратегий в области широкополосной связи для ее внедрения на основе тщательной оценки спроса и предложения, касающихся широкополосной связи;</w:t>
      </w:r>
    </w:p>
    <w:p w14:paraId="27141C68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что БРЭ следует поддерживать осуществление региональных и национальных проектов для использования систем наземной спутниковой широкополосной связи, в целях предоставления населению услуг, в том числе таких мобильных услуг и приложений, как электронное правительство, электронное здравоохранение и электронное образование, мобильные платежи, мобильный банкинг, мобильный маркетинг, а также мобильные денежные переводы, а также мобильные платежи и транзакции на основе сотрудничества с заинтересованными Государствами-Членами, соответствующими международными организациями и частным сектором;</w:t>
      </w:r>
    </w:p>
    <w:p w14:paraId="499290C1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что БРЭ, принимая во внимание имеющийся опыт и стратегию для преодоления цифрового разрыва и построения глобального информационного общества, следует сформулировать и реализовать программу в целях разработки предложений и рекомендаций по наиболее эффективному и действенному использованию технологий, включая услуги в области электросвязи, для обеспечения широкополосного соединения на региональном и национальном уровнях, действуя, в зависимости от обстоятельств, совместно с другими инициативами МСЭ, касающимися возможности установления соединений,</w:t>
      </w:r>
    </w:p>
    <w:p w14:paraId="16C82730" w14:textId="77777777" w:rsidR="00422295" w:rsidRPr="002B2BF7" w:rsidRDefault="00422295" w:rsidP="00422295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17942592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добиваться установления партнерских отношений и налаживания сотрудничества со сторонами, имеющими непосредственное отношение к предоставлению услуг населению с использованием наиболее практичных технологий, средств и сетей электросвязи, в целях обеспечения эффективной реализации соответствующих программ и видов деятельности МСЭ при развитии широкополосных соединений, обеспечения надежного широкополосного доступа по приемлемым ценам как существующим, так и к новым пользователям, в обслуживаемых в недостаточной степени и в необслуживаемых сообществах;</w:t>
      </w:r>
    </w:p>
    <w:p w14:paraId="2972104E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установить четкую связь между исследуемым(и) Вопросом(ами), программами и региональными инициативами по широкополосной связи в целях максимально широкого использования людских и финансовых ресурсов и, что самое важное, для более эффективного удовлетворения потребностей развивающихся стран;</w:t>
      </w:r>
      <w:r w:rsidRPr="002B2BF7">
        <w:rPr>
          <w:lang w:val="ru-RU"/>
        </w:rPr>
        <w:br w:type="page"/>
      </w:r>
    </w:p>
    <w:p w14:paraId="17E85801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lastRenderedPageBreak/>
        <w:t>3</w:t>
      </w:r>
      <w:r w:rsidRPr="002B2BF7">
        <w:rPr>
          <w:lang w:val="ru-RU"/>
        </w:rPr>
        <w:tab/>
        <w:t>оказывать содействие Государствам-Членам, имеющим пункты выхода на берег подводных кабелей, путем создания региональных IXP с целью предоставления помощи в обеспечении соединения стран, не имеющих выхода к морю;</w:t>
      </w:r>
    </w:p>
    <w:p w14:paraId="4784E5C5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работать во взаимодействии с МСЭ-Т, </w:t>
      </w:r>
      <w:r w:rsidRPr="002B2BF7">
        <w:rPr>
          <w:color w:val="000000"/>
          <w:szCs w:val="24"/>
          <w:lang w:val="ru-RU"/>
        </w:rPr>
        <w:t>ISOC</w:t>
      </w:r>
      <w:r w:rsidRPr="002B2BF7">
        <w:rPr>
          <w:lang w:val="ru-RU"/>
        </w:rPr>
        <w:t xml:space="preserve">, </w:t>
      </w:r>
      <w:r w:rsidRPr="002B2BF7">
        <w:rPr>
          <w:color w:val="000000"/>
          <w:szCs w:val="24"/>
          <w:lang w:val="ru-RU"/>
        </w:rPr>
        <w:t>IEF</w:t>
      </w:r>
      <w:r w:rsidRPr="002B2BF7">
        <w:rPr>
          <w:lang w:val="ru-RU"/>
        </w:rPr>
        <w:t xml:space="preserve"> и региональными ассоциациями IXP, а также другими заинтересованными сторонами по оказанию помощи развивающимся странам, в частности развивающимся странам, не имеющим выхода к морю, с целью организации доступа к эффективным консультациям и помощи в создании IXP;</w:t>
      </w:r>
    </w:p>
    <w:p w14:paraId="506F9460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рассмотреть возможные способы содействия установлению широкополосных соединений в тесном сотрудничестве с Сектором радиосвязи МСЭ (МСЭ-R) и МСЭ-T,</w:t>
      </w:r>
    </w:p>
    <w:p w14:paraId="639C1099" w14:textId="77777777" w:rsidR="00422295" w:rsidRPr="002B2BF7" w:rsidRDefault="00422295" w:rsidP="00422295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</w:t>
      </w:r>
    </w:p>
    <w:p w14:paraId="7535A2BB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создать повсеместный приемлемый в ценовом отношении доступ к инфраструктуре широкополосной связи и содействовать ему путем установления правовой и регуляторной среды, включая доступность спектра частот для новых технологий широкополосного беспроводного доступа и разработку политики в области лицензирования, которая была бы справедливой, прозрачной, стабильной, предсказуемой и не допускающей дискриминации;</w:t>
      </w:r>
    </w:p>
    <w:p w14:paraId="25B0E861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принять все меры к обеспечению благоприятной среды для более активного роста и развития технологически нейтральных широкополосных соединений, особенно в развивающихся странах;</w:t>
      </w:r>
    </w:p>
    <w:p w14:paraId="0ECFA23D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активно участвовать в работе по исследуемому(ым) Вопросу(ам) в области широкополосной связи;</w:t>
      </w:r>
    </w:p>
    <w:p w14:paraId="4E8FBF33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внедрять результаты работы, осуществленной по исследуемому(ым) Вопросу(ам), включая правовые, регуляторные и рыночные реформы, которые создают благоприятную среду для широкополосной связи путем содействия конкуренции, частным инвестициям и партнерствам государственного и частного секторов;</w:t>
      </w:r>
    </w:p>
    <w:p w14:paraId="7BA6D47A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внедрять политику и планы, направленные на содействие наличию услуг, приложений и контента, которые стимулируют спрос на широкополосную связь;</w:t>
      </w:r>
    </w:p>
    <w:p w14:paraId="4A323B10" w14:textId="77777777" w:rsidR="00422295" w:rsidRPr="002B2BF7" w:rsidRDefault="00422295" w:rsidP="00422295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принять меры, содействующие созданию человеческого потенциала, включая программы цифровой грамотности и техническое образование, с учетом необходимости содействия широкополосному доступу для женщин и девушек, лиц с ограниченными возможностями, жителей сельских и отдаленных районов и коренных народов.</w:t>
      </w:r>
    </w:p>
    <w:p w14:paraId="3FBB6BCD" w14:textId="77777777" w:rsidR="00E45F09" w:rsidRPr="00422295" w:rsidRDefault="00E45F09" w:rsidP="00422295">
      <w:pPr>
        <w:rPr>
          <w:lang w:val="ru-RU"/>
        </w:rPr>
      </w:pPr>
    </w:p>
    <w:sectPr w:rsidR="00E45F09" w:rsidRPr="00422295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0410C0A3" w14:textId="77777777" w:rsidR="00422295" w:rsidRPr="00E3202A" w:rsidRDefault="00422295" w:rsidP="0042229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3202A"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11BAEF4E" w14:textId="77777777" w:rsidR="00422295" w:rsidRPr="004142AD" w:rsidRDefault="00422295" w:rsidP="0042229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4142AD">
        <w:rPr>
          <w:lang w:val="ru-RU"/>
        </w:rPr>
        <w:t xml:space="preserve">"Широкополосная связь: платформа для прогресса". Доклад Комиссии по широкополосной связи в интересах цифрового развития, сентябрь 2010 года (размещен по адресу: </w:t>
      </w:r>
      <w:hyperlink r:id="rId1">
        <w:r w:rsidRPr="004D17C8">
          <w:rPr>
            <w:rStyle w:val="Hyperlink"/>
          </w:rPr>
          <w:t>http</w:t>
        </w:r>
        <w:r w:rsidRPr="004D17C8">
          <w:rPr>
            <w:rStyle w:val="Hyperlink"/>
            <w:lang w:val="ru-RU"/>
          </w:rPr>
          <w:t>://</w:t>
        </w:r>
        <w:r w:rsidRPr="004D17C8">
          <w:rPr>
            <w:rStyle w:val="Hyperlink"/>
          </w:rPr>
          <w:t>www</w:t>
        </w:r>
        <w:r w:rsidRPr="004D17C8">
          <w:rPr>
            <w:rStyle w:val="Hyperlink"/>
            <w:lang w:val="ru-RU"/>
          </w:rPr>
          <w:t>.</w:t>
        </w:r>
        <w:r w:rsidRPr="004D17C8">
          <w:rPr>
            <w:rStyle w:val="Hyperlink"/>
          </w:rPr>
          <w:t>broadbandcommission</w:t>
        </w:r>
        <w:r w:rsidRPr="004D17C8">
          <w:rPr>
            <w:rStyle w:val="Hyperlink"/>
            <w:lang w:val="ru-RU"/>
          </w:rPr>
          <w:t>.</w:t>
        </w:r>
        <w:r w:rsidRPr="004D17C8">
          <w:rPr>
            <w:rStyle w:val="Hyperlink"/>
          </w:rPr>
          <w:t>org</w:t>
        </w:r>
        <w:r w:rsidRPr="004D17C8">
          <w:rPr>
            <w:rStyle w:val="Hyperlink"/>
            <w:lang w:val="ru-RU"/>
          </w:rPr>
          <w:t>/</w:t>
        </w:r>
        <w:r w:rsidRPr="004D17C8">
          <w:rPr>
            <w:rStyle w:val="Hyperlink"/>
          </w:rPr>
          <w:t>Documents</w:t>
        </w:r>
        <w:r w:rsidRPr="004D17C8">
          <w:rPr>
            <w:rStyle w:val="Hyperlink"/>
            <w:lang w:val="ru-RU"/>
          </w:rPr>
          <w:t>/</w:t>
        </w:r>
        <w:r w:rsidRPr="004D17C8">
          <w:rPr>
            <w:rStyle w:val="Hyperlink"/>
          </w:rPr>
          <w:t>publications</w:t>
        </w:r>
        <w:r w:rsidRPr="004D17C8">
          <w:rPr>
            <w:rStyle w:val="Hyperlink"/>
            <w:lang w:val="ru-RU"/>
          </w:rPr>
          <w:t>/</w:t>
        </w:r>
        <w:r w:rsidRPr="004D17C8">
          <w:rPr>
            <w:rStyle w:val="Hyperlink"/>
          </w:rPr>
          <w:t>Report</w:t>
        </w:r>
        <w:r w:rsidRPr="004D17C8">
          <w:rPr>
            <w:rStyle w:val="Hyperlink"/>
            <w:lang w:val="ru-RU"/>
          </w:rPr>
          <w:t>_2.</w:t>
        </w:r>
        <w:r w:rsidRPr="004D17C8">
          <w:rPr>
            <w:rStyle w:val="Hyperlink"/>
          </w:rPr>
          <w:t>pdf</w:t>
        </w:r>
      </w:hyperlink>
      <w:r w:rsidRPr="004142AD">
        <w:rPr>
          <w:lang w:val="ru-RU"/>
        </w:rPr>
        <w:t>).</w:t>
      </w:r>
    </w:p>
  </w:footnote>
  <w:footnote w:id="3">
    <w:p w14:paraId="4B7B3EC1" w14:textId="77777777" w:rsidR="00422295" w:rsidRPr="004142AD" w:rsidRDefault="00422295" w:rsidP="0042229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4142AD">
        <w:rPr>
          <w:lang w:val="ru-RU"/>
        </w:rPr>
        <w:t xml:space="preserve">"Состояние широкополосной связи в 2012 году: Достижение целей охвата всех цифровыми технологиями". Доклад Комиссии по широкополосной связи в интересах цифрового развития, сентябрь 2012 года (размещен по адресу: </w:t>
      </w:r>
      <w:hyperlink r:id="rId2">
        <w:r w:rsidRPr="004D17C8">
          <w:rPr>
            <w:rStyle w:val="Hyperlink"/>
          </w:rPr>
          <w:t>http</w:t>
        </w:r>
        <w:r w:rsidRPr="004D17C8">
          <w:rPr>
            <w:rStyle w:val="Hyperlink"/>
            <w:lang w:val="ru-RU"/>
          </w:rPr>
          <w:t>://</w:t>
        </w:r>
        <w:r w:rsidRPr="004D17C8">
          <w:rPr>
            <w:rStyle w:val="Hyperlink"/>
          </w:rPr>
          <w:t>www</w:t>
        </w:r>
        <w:r w:rsidRPr="004D17C8">
          <w:rPr>
            <w:rStyle w:val="Hyperlink"/>
            <w:lang w:val="ru-RU"/>
          </w:rPr>
          <w:t>.</w:t>
        </w:r>
        <w:r w:rsidRPr="004D17C8">
          <w:rPr>
            <w:rStyle w:val="Hyperlink"/>
          </w:rPr>
          <w:t>broadbandcommission</w:t>
        </w:r>
        <w:r w:rsidRPr="004D17C8">
          <w:rPr>
            <w:rStyle w:val="Hyperlink"/>
            <w:lang w:val="ru-RU"/>
          </w:rPr>
          <w:t>.</w:t>
        </w:r>
        <w:r w:rsidRPr="004D17C8">
          <w:rPr>
            <w:rStyle w:val="Hyperlink"/>
          </w:rPr>
          <w:t>org</w:t>
        </w:r>
        <w:r w:rsidRPr="004D17C8">
          <w:rPr>
            <w:rStyle w:val="Hyperlink"/>
            <w:lang w:val="ru-RU"/>
          </w:rPr>
          <w:t>/</w:t>
        </w:r>
        <w:r w:rsidRPr="004D17C8">
          <w:rPr>
            <w:rStyle w:val="Hyperlink"/>
          </w:rPr>
          <w:t>Documents</w:t>
        </w:r>
        <w:r w:rsidRPr="004D17C8">
          <w:rPr>
            <w:rStyle w:val="Hyperlink"/>
            <w:lang w:val="ru-RU"/>
          </w:rPr>
          <w:t>/</w:t>
        </w:r>
        <w:r w:rsidRPr="004D17C8">
          <w:rPr>
            <w:rStyle w:val="Hyperlink"/>
          </w:rPr>
          <w:t>bb</w:t>
        </w:r>
        <w:r w:rsidRPr="004D17C8">
          <w:rPr>
            <w:rStyle w:val="Hyperlink"/>
            <w:lang w:val="ru-RU"/>
          </w:rPr>
          <w:t>-</w:t>
        </w:r>
        <w:r w:rsidRPr="004D17C8">
          <w:rPr>
            <w:rStyle w:val="Hyperlink"/>
          </w:rPr>
          <w:t>annualreport</w:t>
        </w:r>
        <w:r w:rsidRPr="004D17C8">
          <w:rPr>
            <w:rStyle w:val="Hyperlink"/>
            <w:lang w:val="ru-RU"/>
          </w:rPr>
          <w:t>2012.</w:t>
        </w:r>
        <w:r w:rsidRPr="004D17C8">
          <w:rPr>
            <w:rStyle w:val="Hyperlink"/>
          </w:rPr>
          <w:t>pdf</w:t>
        </w:r>
      </w:hyperlink>
      <w:r w:rsidRPr="004142AD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7DC5C474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422295">
          <w:rPr>
            <w:noProof/>
            <w:szCs w:val="22"/>
          </w:rPr>
          <w:t>77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31035C7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422295">
      <w:rPr>
        <w:noProof/>
        <w:szCs w:val="22"/>
      </w:rPr>
      <w:t>77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B155A"/>
    <w:rsid w:val="003C2BD9"/>
    <w:rsid w:val="003E584B"/>
    <w:rsid w:val="003E6044"/>
    <w:rsid w:val="00422295"/>
    <w:rsid w:val="004F44FF"/>
    <w:rsid w:val="00523CDB"/>
    <w:rsid w:val="006677D6"/>
    <w:rsid w:val="00686D9E"/>
    <w:rsid w:val="00713A5E"/>
    <w:rsid w:val="00791A97"/>
    <w:rsid w:val="00905C06"/>
    <w:rsid w:val="009D3EFE"/>
    <w:rsid w:val="00B65A4E"/>
    <w:rsid w:val="00B7660C"/>
    <w:rsid w:val="00B95B42"/>
    <w:rsid w:val="00D90490"/>
    <w:rsid w:val="00DD3985"/>
    <w:rsid w:val="00E1417E"/>
    <w:rsid w:val="00E45F09"/>
    <w:rsid w:val="00F4199B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bandcommission.org/Documents/bb-annualreport2012.pdf" TargetMode="External"/><Relationship Id="rId1" Type="http://schemas.openxmlformats.org/officeDocument/2006/relationships/hyperlink" Target="http://www.broadbandcommission.org/Documents/publications/Report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28</cp:revision>
  <dcterms:created xsi:type="dcterms:W3CDTF">2023-10-16T12:49:00Z</dcterms:created>
  <dcterms:modified xsi:type="dcterms:W3CDTF">2023-10-16T14:06:00Z</dcterms:modified>
</cp:coreProperties>
</file>