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DBD0" w14:textId="77777777" w:rsidR="00010F4E" w:rsidRPr="007D4F79" w:rsidRDefault="00010F4E" w:rsidP="00010F4E">
      <w:pPr>
        <w:pStyle w:val="ResNo"/>
        <w:rPr>
          <w:lang w:val="fr-FR"/>
        </w:rPr>
      </w:pPr>
      <w:bookmarkStart w:id="0" w:name="_Toc116542422"/>
      <w:r w:rsidRPr="007D4F79">
        <w:rPr>
          <w:lang w:val="fr-FR"/>
        </w:rPr>
        <w:t>RÉSOLUTION 77 (</w:t>
      </w:r>
      <w:r w:rsidRPr="007D4F79">
        <w:rPr>
          <w:caps w:val="0"/>
          <w:lang w:val="fr-FR"/>
        </w:rPr>
        <w:t>Rév. Buenos Aires</w:t>
      </w:r>
      <w:r w:rsidRPr="007D4F79">
        <w:rPr>
          <w:lang w:val="fr-FR"/>
        </w:rPr>
        <w:t>, 2017)</w:t>
      </w:r>
      <w:bookmarkEnd w:id="0"/>
    </w:p>
    <w:p w14:paraId="2D5C7B01" w14:textId="77777777" w:rsidR="00010F4E" w:rsidRPr="007D4F79" w:rsidRDefault="00010F4E" w:rsidP="00010F4E">
      <w:pPr>
        <w:pStyle w:val="Restitle"/>
        <w:rPr>
          <w:lang w:val="fr-FR"/>
        </w:rPr>
      </w:pPr>
      <w:bookmarkStart w:id="1" w:name="_Toc116542423"/>
      <w:r w:rsidRPr="007D4F79">
        <w:rPr>
          <w:lang w:val="fr-FR"/>
        </w:rPr>
        <w:t>Les technologies et les applications large bande au service de la croissance et du développement accrus des services de télécommunication/d'information et de communication et de la connectivité large bande</w:t>
      </w:r>
      <w:bookmarkEnd w:id="1"/>
    </w:p>
    <w:p w14:paraId="4FE790EF" w14:textId="77777777" w:rsidR="00010F4E" w:rsidRPr="007D4F79" w:rsidRDefault="00010F4E" w:rsidP="00010F4E">
      <w:pPr>
        <w:pStyle w:val="Normalaftertitle"/>
        <w:rPr>
          <w:lang w:val="fr-FR"/>
        </w:rPr>
      </w:pPr>
      <w:r w:rsidRPr="007D4F79">
        <w:rPr>
          <w:lang w:val="fr-FR"/>
        </w:rPr>
        <w:t>La Conférence mondiale de développement des télécommunications (Buenos Aires, 2017),</w:t>
      </w:r>
    </w:p>
    <w:p w14:paraId="01AFFAD1" w14:textId="77777777" w:rsidR="00010F4E" w:rsidRPr="007D4F79" w:rsidRDefault="00010F4E" w:rsidP="00010F4E">
      <w:pPr>
        <w:pStyle w:val="Call"/>
        <w:rPr>
          <w:lang w:val="fr-FR"/>
        </w:rPr>
      </w:pPr>
      <w:r w:rsidRPr="007D4F79">
        <w:rPr>
          <w:lang w:val="fr-FR"/>
        </w:rPr>
        <w:t>rappelant</w:t>
      </w:r>
    </w:p>
    <w:p w14:paraId="5735DD2B" w14:textId="77777777" w:rsidR="00010F4E" w:rsidRPr="007D4F79" w:rsidRDefault="00010F4E" w:rsidP="00010F4E">
      <w:pPr>
        <w:rPr>
          <w:lang w:val="fr-FR"/>
        </w:rPr>
      </w:pPr>
      <w:r w:rsidRPr="007D4F79">
        <w:rPr>
          <w:i/>
          <w:iCs/>
          <w:lang w:val="fr-FR"/>
        </w:rPr>
        <w:t>a)</w:t>
      </w:r>
      <w:r w:rsidRPr="007D4F79">
        <w:rPr>
          <w:lang w:val="fr-FR"/>
        </w:rPr>
        <w:tab/>
        <w:t>la Résolution 71 (Rév. Busan, 2014) de la Conférence de plénipotentiaires relative au Plan stratégique de l'Union;</w:t>
      </w:r>
    </w:p>
    <w:p w14:paraId="4872B222" w14:textId="77777777" w:rsidR="00010F4E" w:rsidRPr="007D4F79" w:rsidRDefault="00010F4E" w:rsidP="00010F4E">
      <w:pPr>
        <w:rPr>
          <w:lang w:val="fr-FR"/>
        </w:rPr>
      </w:pPr>
      <w:r w:rsidRPr="007D4F79">
        <w:rPr>
          <w:i/>
          <w:iCs/>
          <w:lang w:val="fr-FR"/>
        </w:rPr>
        <w:t>b)</w:t>
      </w:r>
      <w:r w:rsidRPr="007D4F79">
        <w:rPr>
          <w:lang w:val="fr-FR"/>
        </w:rPr>
        <w:tab/>
        <w:t>la Résolution 139 (Rév. Busan, 2014) de la Conférence de plénipotentiaires sur les télécommunications et les technologies de l'information et de la communication (TIC) pour réduire la fracture numérique et édifier une société de l'information inclusive;</w:t>
      </w:r>
    </w:p>
    <w:p w14:paraId="7328A853" w14:textId="77777777" w:rsidR="00010F4E" w:rsidRPr="007D4F79" w:rsidRDefault="00010F4E" w:rsidP="00010F4E">
      <w:pPr>
        <w:rPr>
          <w:lang w:val="fr-FR"/>
        </w:rPr>
      </w:pPr>
      <w:r w:rsidRPr="007D4F79">
        <w:rPr>
          <w:i/>
          <w:iCs/>
          <w:lang w:val="fr-FR"/>
        </w:rPr>
        <w:t>c)</w:t>
      </w:r>
      <w:r w:rsidRPr="007D4F79">
        <w:rPr>
          <w:i/>
          <w:iCs/>
          <w:lang w:val="fr-FR"/>
        </w:rPr>
        <w:tab/>
      </w:r>
      <w:r w:rsidRPr="007D4F79">
        <w:rPr>
          <w:lang w:val="fr-FR"/>
        </w:rPr>
        <w:t>les documents finals issus de la Phase de 2005 du Sommet mondial sur la société de l'information (SMSI);</w:t>
      </w:r>
    </w:p>
    <w:p w14:paraId="79CE8085" w14:textId="77777777" w:rsidR="00010F4E" w:rsidRPr="007D4F79" w:rsidRDefault="00010F4E" w:rsidP="00010F4E">
      <w:pPr>
        <w:rPr>
          <w:lang w:val="fr-FR"/>
        </w:rPr>
      </w:pPr>
      <w:r w:rsidRPr="007D4F79">
        <w:rPr>
          <w:i/>
          <w:iCs/>
          <w:lang w:val="fr-FR"/>
        </w:rPr>
        <w:t>d)</w:t>
      </w:r>
      <w:r w:rsidRPr="007D4F79">
        <w:rPr>
          <w:lang w:val="fr-FR"/>
        </w:rPr>
        <w:tab/>
        <w:t>la Résolution 135 (Rév. Busan, 2014) de la Conférence de plénipotentiaires concernant le rôle de l'UIT dans le développement des télécommunications et des TIC, et l'importance des télécommunications et des TIC pour le progrès économique et social;</w:t>
      </w:r>
    </w:p>
    <w:p w14:paraId="02255EA3" w14:textId="77777777" w:rsidR="00010F4E" w:rsidRPr="007D4F79" w:rsidRDefault="00010F4E" w:rsidP="00010F4E">
      <w:pPr>
        <w:rPr>
          <w:lang w:val="fr-FR"/>
        </w:rPr>
      </w:pPr>
      <w:r w:rsidRPr="007D4F79">
        <w:rPr>
          <w:i/>
          <w:iCs/>
          <w:lang w:val="fr-FR"/>
        </w:rPr>
        <w:t>e)</w:t>
      </w:r>
      <w:r w:rsidRPr="007D4F79">
        <w:rPr>
          <w:lang w:val="fr-FR"/>
        </w:rPr>
        <w:tab/>
        <w:t>l'Avis 2 (Genève, 2014) du Forum mondial des politiques de télécommunication/TIC sur la promotion d'un environnement propice à la croissance et au développement accrus de la connectivité large bande;</w:t>
      </w:r>
    </w:p>
    <w:p w14:paraId="6EAC517A" w14:textId="77777777" w:rsidR="00010F4E" w:rsidRPr="007D4F79" w:rsidRDefault="00010F4E" w:rsidP="00010F4E">
      <w:pPr>
        <w:rPr>
          <w:lang w:val="fr-FR"/>
        </w:rPr>
      </w:pPr>
      <w:r w:rsidRPr="007D4F79">
        <w:rPr>
          <w:i/>
          <w:iCs/>
          <w:lang w:val="fr-FR"/>
        </w:rPr>
        <w:t>f)</w:t>
      </w:r>
      <w:r w:rsidRPr="007D4F79">
        <w:rPr>
          <w:lang w:val="fr-FR"/>
        </w:rPr>
        <w:tab/>
        <w:t>la Résolution 20 (Rév. Buenos Aires, 2017) de la présente Conférence sur l'accès non discriminatoire aux moyens, services et applications connexes modernes reposant sur les télécommunications et les TIC;</w:t>
      </w:r>
    </w:p>
    <w:p w14:paraId="63BEB35A" w14:textId="77777777" w:rsidR="00010F4E" w:rsidRPr="007D4F79" w:rsidRDefault="00010F4E" w:rsidP="00010F4E">
      <w:pPr>
        <w:rPr>
          <w:lang w:val="fr-FR"/>
        </w:rPr>
      </w:pPr>
      <w:r w:rsidRPr="007D4F79">
        <w:rPr>
          <w:i/>
          <w:iCs/>
          <w:lang w:val="fr-FR"/>
        </w:rPr>
        <w:t>g)</w:t>
      </w:r>
      <w:r w:rsidRPr="007D4F79">
        <w:rPr>
          <w:lang w:val="fr-FR"/>
        </w:rPr>
        <w:tab/>
        <w:t xml:space="preserve">la Résolution 37 (Rév. Buenos Aires, 2017) de la présente </w:t>
      </w:r>
      <w:r w:rsidRPr="007D4F79">
        <w:rPr>
          <w:szCs w:val="24"/>
          <w:lang w:val="fr-FR"/>
        </w:rPr>
        <w:t>Conférence sur la réduction de la fracture numérique;</w:t>
      </w:r>
    </w:p>
    <w:p w14:paraId="25F3622F" w14:textId="77777777" w:rsidR="00010F4E" w:rsidRPr="007D4F79" w:rsidRDefault="00010F4E" w:rsidP="00010F4E">
      <w:pPr>
        <w:rPr>
          <w:lang w:val="fr-FR"/>
        </w:rPr>
      </w:pPr>
      <w:r w:rsidRPr="007D4F79">
        <w:rPr>
          <w:i/>
          <w:iCs/>
          <w:lang w:val="fr-FR"/>
        </w:rPr>
        <w:t>h)</w:t>
      </w:r>
      <w:r w:rsidRPr="007D4F79">
        <w:rPr>
          <w:lang w:val="fr-FR"/>
        </w:rPr>
        <w:tab/>
        <w:t>la Résolution 43 (Rév. Buenos Aires, 2017) de la présente Conférence sur l'assistance à fournir pour la mise en œuvre des Télécommunications mobiles internationales (IMT);</w:t>
      </w:r>
    </w:p>
    <w:p w14:paraId="050A5A6D" w14:textId="77777777" w:rsidR="00010F4E" w:rsidRDefault="00010F4E" w:rsidP="00010F4E">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793BC7A8" w14:textId="77777777" w:rsidR="00010F4E" w:rsidRPr="007D4F79" w:rsidRDefault="00010F4E" w:rsidP="00010F4E">
      <w:pPr>
        <w:rPr>
          <w:lang w:val="fr-FR"/>
        </w:rPr>
      </w:pPr>
      <w:r w:rsidRPr="007D4F79">
        <w:rPr>
          <w:i/>
          <w:iCs/>
          <w:lang w:val="fr-FR"/>
        </w:rPr>
        <w:lastRenderedPageBreak/>
        <w:t>i)</w:t>
      </w:r>
      <w:r w:rsidRPr="007D4F79">
        <w:rPr>
          <w:i/>
          <w:iCs/>
          <w:lang w:val="fr-FR"/>
        </w:rPr>
        <w:tab/>
      </w:r>
      <w:r w:rsidRPr="007D4F79">
        <w:rPr>
          <w:lang w:val="fr-FR"/>
        </w:rPr>
        <w:t>la Résolution 203 (Busan, 2014) de la Conférence de plénipotentiaires sur la connectivité aux réseaux large bande;</w:t>
      </w:r>
    </w:p>
    <w:p w14:paraId="056783DA" w14:textId="77777777" w:rsidR="00010F4E" w:rsidRPr="007D4F79" w:rsidRDefault="00010F4E" w:rsidP="00010F4E">
      <w:pPr>
        <w:rPr>
          <w:lang w:val="fr-FR"/>
        </w:rPr>
      </w:pPr>
      <w:r w:rsidRPr="007D4F79">
        <w:rPr>
          <w:i/>
          <w:iCs/>
          <w:lang w:val="fr-FR"/>
        </w:rPr>
        <w:t>j)</w:t>
      </w:r>
      <w:r w:rsidRPr="007D4F79">
        <w:rPr>
          <w:i/>
          <w:iCs/>
          <w:lang w:val="fr-FR"/>
        </w:rPr>
        <w:tab/>
      </w:r>
      <w:r w:rsidRPr="007D4F79">
        <w:rPr>
          <w:lang w:val="fr-FR"/>
        </w:rPr>
        <w:t>la Résolution UIT-R 65 (Genève, 2015) de l'Assemblée des radiocommunications sur les principes applicables au processus de développement futur des IMT à l'horizon 2020 et au-delà;</w:t>
      </w:r>
    </w:p>
    <w:p w14:paraId="6F39F392" w14:textId="77777777" w:rsidR="00010F4E" w:rsidRPr="007D4F79" w:rsidRDefault="00010F4E" w:rsidP="00010F4E">
      <w:pPr>
        <w:rPr>
          <w:lang w:val="fr-FR"/>
        </w:rPr>
      </w:pPr>
      <w:r w:rsidRPr="007D4F79">
        <w:rPr>
          <w:i/>
          <w:iCs/>
          <w:lang w:val="fr-FR"/>
        </w:rPr>
        <w:t>k)</w:t>
      </w:r>
      <w:r w:rsidRPr="007D4F79">
        <w:rPr>
          <w:lang w:val="fr-FR"/>
        </w:rPr>
        <w:tab/>
        <w:t>la Résolution 92 (Hammamet, 2016) de l'Assemblée mondiale de normalisation des télécommunications (AMNT) sur le renforcement des travaux de normalisation relatifs aux aspects non radioélectriques des IMT au sein du Secteur de la normalisation des télécommunications de l'UIT (UIT</w:t>
      </w:r>
      <w:r w:rsidRPr="007D4F79">
        <w:rPr>
          <w:lang w:val="fr-FR"/>
        </w:rPr>
        <w:noBreakHyphen/>
        <w:t>T);</w:t>
      </w:r>
    </w:p>
    <w:p w14:paraId="1D421CC8" w14:textId="77777777" w:rsidR="00010F4E" w:rsidRPr="007D4F79" w:rsidRDefault="00010F4E" w:rsidP="00010F4E">
      <w:pPr>
        <w:rPr>
          <w:lang w:val="fr-FR"/>
        </w:rPr>
      </w:pPr>
      <w:r w:rsidRPr="007D4F79">
        <w:rPr>
          <w:i/>
          <w:iCs/>
          <w:lang w:val="fr-FR"/>
        </w:rPr>
        <w:t>l)</w:t>
      </w:r>
      <w:r w:rsidRPr="007D4F79">
        <w:rPr>
          <w:lang w:val="fr-FR"/>
        </w:rPr>
        <w:tab/>
        <w:t>la Résolution 93 (Hammamet, 2016) de l'AMNT intitulée "Interconnexion des réseaux 4G, des réseaux IMT-2020 et des réseaux ultérieurs";</w:t>
      </w:r>
    </w:p>
    <w:p w14:paraId="0C56D823" w14:textId="77777777" w:rsidR="00010F4E" w:rsidRPr="007D4F79" w:rsidRDefault="00010F4E" w:rsidP="00010F4E">
      <w:pPr>
        <w:rPr>
          <w:lang w:val="fr-FR"/>
        </w:rPr>
      </w:pPr>
      <w:r w:rsidRPr="007D4F79">
        <w:rPr>
          <w:i/>
          <w:iCs/>
          <w:lang w:val="fr-FR"/>
        </w:rPr>
        <w:t>m)</w:t>
      </w:r>
      <w:r w:rsidRPr="007D4F79">
        <w:rPr>
          <w:lang w:val="fr-FR"/>
        </w:rPr>
        <w:tab/>
        <w:t>la Résolution 9 (Rév. Buenos Aires, 2017) de la présente Conférence,</w:t>
      </w:r>
    </w:p>
    <w:p w14:paraId="7AAE6205" w14:textId="77777777" w:rsidR="00010F4E" w:rsidRPr="007D4F79" w:rsidRDefault="00010F4E" w:rsidP="00010F4E">
      <w:pPr>
        <w:pStyle w:val="Call"/>
        <w:tabs>
          <w:tab w:val="left" w:pos="6371"/>
        </w:tabs>
        <w:rPr>
          <w:lang w:val="fr-FR"/>
        </w:rPr>
      </w:pPr>
      <w:r w:rsidRPr="007D4F79">
        <w:rPr>
          <w:lang w:val="fr-FR"/>
        </w:rPr>
        <w:t>considérant</w:t>
      </w:r>
    </w:p>
    <w:p w14:paraId="0EF35993" w14:textId="77777777" w:rsidR="00010F4E" w:rsidRPr="007D4F79" w:rsidRDefault="00010F4E" w:rsidP="00010F4E">
      <w:pPr>
        <w:rPr>
          <w:lang w:val="fr-FR"/>
        </w:rPr>
      </w:pPr>
      <w:r w:rsidRPr="007D4F79">
        <w:rPr>
          <w:i/>
          <w:iCs/>
          <w:lang w:val="fr-FR"/>
        </w:rPr>
        <w:t>a)</w:t>
      </w:r>
      <w:r w:rsidRPr="007D4F79">
        <w:rPr>
          <w:lang w:val="fr-FR"/>
        </w:rPr>
        <w:tab/>
        <w:t>le rôle de l'UIT, et celui que joue en particulier le Secteur du développement des télécommunications de l'UIT (UIT-D), dans le développement des installations et services de télécommunication/TIC;</w:t>
      </w:r>
    </w:p>
    <w:p w14:paraId="28C00457" w14:textId="77777777" w:rsidR="00010F4E" w:rsidRPr="007D4F79" w:rsidRDefault="00010F4E" w:rsidP="00010F4E">
      <w:pPr>
        <w:rPr>
          <w:lang w:val="fr-FR"/>
        </w:rPr>
      </w:pPr>
      <w:r w:rsidRPr="007D4F79">
        <w:rPr>
          <w:i/>
          <w:iCs/>
          <w:lang w:val="fr-FR"/>
        </w:rPr>
        <w:t>b)</w:t>
      </w:r>
      <w:r w:rsidRPr="007D4F79">
        <w:rPr>
          <w:lang w:val="fr-FR"/>
        </w:rPr>
        <w:tab/>
        <w:t>que les avantages que pourrait offrir la mise en œuvre rapide de services de télécommunication nouveaux et divers, notamment ceux qui ont été mis en évidence dans la Résolution 66/184 de l'Assemblée générale des Nations Unies, conformément au paragraphe 54 de l'Agenda de Tunis pour la société de l'information, ainsi que le rôle de la connectivité large bande sont des facteurs essentiels pour la réalisation des Objectifs de développement durable (ODD) énoncés par les Nations Unies;</w:t>
      </w:r>
    </w:p>
    <w:p w14:paraId="69735053" w14:textId="77777777" w:rsidR="00010F4E" w:rsidRPr="007D4F79" w:rsidRDefault="00010F4E" w:rsidP="00010F4E">
      <w:pPr>
        <w:rPr>
          <w:lang w:val="fr-FR"/>
        </w:rPr>
      </w:pPr>
      <w:r w:rsidRPr="007D4F79">
        <w:rPr>
          <w:i/>
          <w:iCs/>
          <w:lang w:val="fr-FR"/>
        </w:rPr>
        <w:t>c)</w:t>
      </w:r>
      <w:r w:rsidRPr="007D4F79">
        <w:rPr>
          <w:lang w:val="fr-FR"/>
        </w:rPr>
        <w:tab/>
        <w:t>l'importance de capacités large bande pour faciliter la fourniture d'une gamme plus complète de services et d'applications, promouvoir les investissements et fournir un accès à l'Internet à des prix abordables, tant aux utilisateurs existants qu'aux nouveaux utilisateurs dans les communautés mal desservies ou non desservies, moyennant l'adoption d'une approche technologiquement neutre pour réduire la fracture numérique existante;</w:t>
      </w:r>
    </w:p>
    <w:p w14:paraId="07DD6E60" w14:textId="77777777" w:rsidR="00010F4E" w:rsidRPr="007D4F79" w:rsidRDefault="00010F4E" w:rsidP="00010F4E">
      <w:pPr>
        <w:rPr>
          <w:i/>
          <w:iCs/>
          <w:lang w:val="fr-FR"/>
        </w:rPr>
      </w:pPr>
      <w:r w:rsidRPr="007D4F79">
        <w:rPr>
          <w:i/>
          <w:iCs/>
          <w:lang w:val="fr-FR"/>
        </w:rPr>
        <w:br w:type="page"/>
      </w:r>
    </w:p>
    <w:p w14:paraId="54E013C5" w14:textId="77777777" w:rsidR="00010F4E" w:rsidRPr="007D4F79" w:rsidRDefault="00010F4E" w:rsidP="00010F4E">
      <w:pPr>
        <w:rPr>
          <w:lang w:val="fr-FR"/>
        </w:rPr>
      </w:pPr>
      <w:r w:rsidRPr="007D4F79">
        <w:rPr>
          <w:i/>
          <w:iCs/>
          <w:lang w:val="fr-FR"/>
        </w:rPr>
        <w:lastRenderedPageBreak/>
        <w:t>d)</w:t>
      </w:r>
      <w:r w:rsidRPr="007D4F79">
        <w:rPr>
          <w:lang w:val="fr-FR"/>
        </w:rPr>
        <w:tab/>
        <w:t>que des systèmes d'accès hertzien et de Terre et des technologies utilisant des systèmes à satellites, nouveaux et innovants peuvent contribuer à réduire la fracture numérique, non seulement entre pays en développement</w:t>
      </w:r>
      <w:r>
        <w:rPr>
          <w:rStyle w:val="FootnoteReference"/>
          <w:lang w:val="fr-FR"/>
        </w:rPr>
        <w:footnoteReference w:customMarkFollows="1" w:id="1"/>
        <w:t>1</w:t>
      </w:r>
      <w:r w:rsidRPr="007D4F79">
        <w:rPr>
          <w:lang w:val="fr-FR"/>
        </w:rPr>
        <w:t xml:space="preserve"> et pays développés, mais aussi entre zones urbaines, zones isolées et zones rurales, lorsque la couverture assurée par des services de télécommunication fixes classiques peut se révéler insuffisante;</w:t>
      </w:r>
    </w:p>
    <w:p w14:paraId="33633D91" w14:textId="77777777" w:rsidR="00010F4E" w:rsidRPr="007D4F79" w:rsidRDefault="00010F4E" w:rsidP="00010F4E">
      <w:pPr>
        <w:rPr>
          <w:lang w:val="fr-FR"/>
        </w:rPr>
      </w:pPr>
      <w:r w:rsidRPr="007D4F79">
        <w:rPr>
          <w:i/>
          <w:iCs/>
          <w:lang w:val="fr-FR"/>
        </w:rPr>
        <w:t>e)</w:t>
      </w:r>
      <w:r w:rsidRPr="007D4F79">
        <w:rPr>
          <w:lang w:val="fr-FR"/>
        </w:rPr>
        <w:tab/>
        <w:t>que les systèmes large bande de Terre et par satellite sont un moyen efficace, et bien souvent, en particulier pour les zones rurales, le moyen le plus efficace d'effectuer un grand nombre de tâches concrètes permettant d'ouvrir de nouvelles perspectives pour contribuer à réduire la fracture numérique, et d'offrir aux pays en développement un accès aux nouvelles technologies;</w:t>
      </w:r>
    </w:p>
    <w:p w14:paraId="013DA4B8" w14:textId="77777777" w:rsidR="00010F4E" w:rsidRPr="007D4F79" w:rsidRDefault="00010F4E" w:rsidP="00010F4E">
      <w:pPr>
        <w:rPr>
          <w:lang w:val="fr-FR"/>
        </w:rPr>
      </w:pPr>
      <w:r w:rsidRPr="007D4F79">
        <w:rPr>
          <w:i/>
          <w:iCs/>
          <w:lang w:val="fr-FR"/>
        </w:rPr>
        <w:t>f)</w:t>
      </w:r>
      <w:r w:rsidRPr="007D4F79">
        <w:rPr>
          <w:lang w:val="fr-FR"/>
        </w:rPr>
        <w:tab/>
        <w:t xml:space="preserve">que l'UIT et l'Organisation des Nations Unies pour l'éducation, la science et la culture (UNESCO) ont créé la </w:t>
      </w:r>
      <w:r w:rsidRPr="007D4F79">
        <w:rPr>
          <w:color w:val="000000"/>
          <w:lang w:val="fr-FR"/>
        </w:rPr>
        <w:t>Commission "Le large bande au service du développement durable",</w:t>
      </w:r>
      <w:r w:rsidRPr="007D4F79">
        <w:rPr>
          <w:lang w:val="fr-FR"/>
        </w:rPr>
        <w:t xml:space="preserve"> qui a adopté quatre objectifs ambitieux mais réalisables que les pays du monde entier devront s'efforcer d'atteindre pour faire en sorte que leur population participe pleinement aux sociétés du savoir de demain;</w:t>
      </w:r>
    </w:p>
    <w:p w14:paraId="34E4CD6F" w14:textId="77777777" w:rsidR="00010F4E" w:rsidRPr="007D4F79" w:rsidRDefault="00010F4E" w:rsidP="00010F4E">
      <w:pPr>
        <w:rPr>
          <w:lang w:val="fr-FR"/>
        </w:rPr>
      </w:pPr>
      <w:r w:rsidRPr="007D4F79">
        <w:rPr>
          <w:i/>
          <w:iCs/>
          <w:lang w:val="fr-FR"/>
        </w:rPr>
        <w:t>g)</w:t>
      </w:r>
      <w:r w:rsidRPr="007D4F79">
        <w:rPr>
          <w:lang w:val="fr-FR"/>
        </w:rPr>
        <w:tab/>
        <w:t>que, conformément à la Résolution 9 (Rév. Buenos Aires, 2017), le Directeur du</w:t>
      </w:r>
      <w:r w:rsidRPr="007D4F79">
        <w:rPr>
          <w:szCs w:val="24"/>
          <w:lang w:val="fr-FR"/>
        </w:rPr>
        <w:t xml:space="preserve"> Bureau de développement des télécommunications (BDT), en étroite concertation avec le Directeur du Bureau des radiocommunications (BR), recueille des informations pertinentes et élabore, au cours de la période comprise entre deux Conférence mondiale de développement des télécommunications (CMDT), des documents appropriés et d'autres produits pertinents qui répondent aux besoins particuliers des pays en développement sur les méthodes économiques, réglementaires et financières de gestion nationale du spectre et de contrôle national des émissions et les problèmes qui se posent dans ce domaine,</w:t>
      </w:r>
    </w:p>
    <w:p w14:paraId="48A9E3B5" w14:textId="77777777" w:rsidR="00010F4E" w:rsidRPr="007D4F79" w:rsidRDefault="00010F4E" w:rsidP="00010F4E">
      <w:pPr>
        <w:pStyle w:val="Call"/>
        <w:rPr>
          <w:lang w:val="fr-FR"/>
        </w:rPr>
      </w:pPr>
      <w:r w:rsidRPr="007D4F79">
        <w:rPr>
          <w:lang w:val="fr-FR"/>
        </w:rPr>
        <w:t>tenant compte</w:t>
      </w:r>
    </w:p>
    <w:p w14:paraId="38916791" w14:textId="77777777" w:rsidR="00010F4E" w:rsidRPr="007D4F79" w:rsidRDefault="00010F4E" w:rsidP="00010F4E">
      <w:pPr>
        <w:rPr>
          <w:lang w:val="fr-FR"/>
        </w:rPr>
      </w:pPr>
      <w:r w:rsidRPr="007D4F79">
        <w:rPr>
          <w:i/>
          <w:iCs/>
          <w:lang w:val="fr-FR"/>
        </w:rPr>
        <w:t>a)</w:t>
      </w:r>
      <w:r w:rsidRPr="007D4F79">
        <w:rPr>
          <w:lang w:val="fr-FR"/>
        </w:rPr>
        <w:tab/>
        <w:t>du rapport de la cinquième CMDT (Hyderabad, 2010), qui met l'accent sur l'importance du développement des infrastructures et des techniques de télécommunication, en particulier dans les pays en développement, ainsi que de l'adoption des initiatives régionales et du Plan d'action d'Hyderabad, afin d'aider les pays en développement à faire progresser l'accès universel aux services de télécommunication;</w:t>
      </w:r>
    </w:p>
    <w:p w14:paraId="3D3EE883" w14:textId="77777777" w:rsidR="00010F4E" w:rsidRPr="007D4F79" w:rsidRDefault="00010F4E" w:rsidP="00010F4E">
      <w:pPr>
        <w:rPr>
          <w:lang w:val="fr-FR"/>
        </w:rPr>
      </w:pPr>
      <w:r w:rsidRPr="007D4F79">
        <w:rPr>
          <w:i/>
          <w:iCs/>
          <w:lang w:val="fr-FR"/>
        </w:rPr>
        <w:t>b)</w:t>
      </w:r>
      <w:r w:rsidRPr="007D4F79">
        <w:rPr>
          <w:lang w:val="fr-FR"/>
        </w:rPr>
        <w:tab/>
        <w:t>du fait que de nombreux pays souhaitent adopter une approche globale, technologiquement neutre pour les services large bande dans des domaines tels que la cybersanté, l'administration publique en ligne et le cyberenseignement;</w:t>
      </w:r>
    </w:p>
    <w:p w14:paraId="316AC454" w14:textId="77777777" w:rsidR="00010F4E" w:rsidRDefault="00010F4E" w:rsidP="00010F4E">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67FAA314" w14:textId="77777777" w:rsidR="00010F4E" w:rsidRPr="007D4F79" w:rsidRDefault="00010F4E" w:rsidP="00010F4E">
      <w:pPr>
        <w:rPr>
          <w:lang w:val="fr-FR"/>
        </w:rPr>
      </w:pPr>
      <w:r w:rsidRPr="007D4F79">
        <w:rPr>
          <w:i/>
          <w:iCs/>
          <w:lang w:val="fr-FR"/>
        </w:rPr>
        <w:lastRenderedPageBreak/>
        <w:t>c)</w:t>
      </w:r>
      <w:r w:rsidRPr="007D4F79">
        <w:rPr>
          <w:lang w:val="fr-FR"/>
        </w:rPr>
        <w:tab/>
        <w:t>du fait que, malgré des progrès considérables sur le plan de la disponibilité et de l'accessibilité économique du large bande, près des deux tiers de la population mondiale sont privés d'un accès financièrement abordable au large bande;</w:t>
      </w:r>
    </w:p>
    <w:p w14:paraId="154F2AEF" w14:textId="77777777" w:rsidR="00010F4E" w:rsidRPr="007D4F79" w:rsidRDefault="00010F4E" w:rsidP="00010F4E">
      <w:pPr>
        <w:rPr>
          <w:lang w:val="fr-FR"/>
        </w:rPr>
      </w:pPr>
      <w:r w:rsidRPr="007D4F79">
        <w:rPr>
          <w:i/>
          <w:iCs/>
          <w:lang w:val="fr-FR"/>
        </w:rPr>
        <w:t>d)</w:t>
      </w:r>
      <w:r w:rsidRPr="007D4F79">
        <w:rPr>
          <w:i/>
          <w:iCs/>
          <w:lang w:val="fr-FR"/>
        </w:rPr>
        <w:tab/>
      </w:r>
      <w:r w:rsidRPr="007D4F79">
        <w:rPr>
          <w:lang w:val="fr-FR"/>
        </w:rPr>
        <w:t xml:space="preserve">du fait que l'inégalité d'accès aux services de télécommunication large bande ne contribue en rien à l'élimination des inégalités sociales et </w:t>
      </w:r>
      <w:proofErr w:type="gramStart"/>
      <w:r w:rsidRPr="007D4F79">
        <w:rPr>
          <w:lang w:val="fr-FR"/>
        </w:rPr>
        <w:t>a</w:t>
      </w:r>
      <w:proofErr w:type="gramEnd"/>
      <w:r w:rsidRPr="007D4F79">
        <w:rPr>
          <w:lang w:val="fr-FR"/>
        </w:rPr>
        <w:t xml:space="preserve"> des conséquences négatives sur la situation économique et sociale de différents pays et différentes régions;</w:t>
      </w:r>
    </w:p>
    <w:p w14:paraId="192EBF2F" w14:textId="77777777" w:rsidR="00010F4E" w:rsidRPr="007D4F79" w:rsidRDefault="00010F4E" w:rsidP="00010F4E">
      <w:pPr>
        <w:rPr>
          <w:lang w:val="fr-FR"/>
        </w:rPr>
      </w:pPr>
      <w:r w:rsidRPr="007D4F79">
        <w:rPr>
          <w:i/>
          <w:iCs/>
          <w:lang w:val="fr-FR"/>
        </w:rPr>
        <w:t>e)</w:t>
      </w:r>
      <w:r w:rsidRPr="007D4F79">
        <w:rPr>
          <w:i/>
          <w:iCs/>
          <w:lang w:val="fr-FR"/>
        </w:rPr>
        <w:tab/>
      </w:r>
      <w:r w:rsidRPr="007D4F79">
        <w:rPr>
          <w:lang w:val="fr-FR"/>
        </w:rPr>
        <w:t>de l'importance de la concurrence pour promouvoir les investissements, comme indiqué dans le rapport de la Commission "Le large bande au service du développement numérique"</w:t>
      </w:r>
      <w:r>
        <w:rPr>
          <w:rStyle w:val="FootnoteReference"/>
          <w:lang w:val="fr-FR"/>
        </w:rPr>
        <w:footnoteReference w:customMarkFollows="1" w:id="2"/>
        <w:t>2</w:t>
      </w:r>
      <w:r w:rsidRPr="007D4F79">
        <w:rPr>
          <w:lang w:val="fr-FR"/>
        </w:rPr>
        <w:t>;</w:t>
      </w:r>
    </w:p>
    <w:p w14:paraId="316935EF" w14:textId="77777777" w:rsidR="00010F4E" w:rsidRPr="007D4F79" w:rsidRDefault="00010F4E" w:rsidP="00010F4E">
      <w:pPr>
        <w:rPr>
          <w:lang w:val="fr-FR"/>
        </w:rPr>
      </w:pPr>
      <w:r w:rsidRPr="007D4F79">
        <w:rPr>
          <w:rFonts w:cs="Calibri"/>
          <w:i/>
          <w:iCs/>
          <w:color w:val="000000"/>
          <w:szCs w:val="24"/>
          <w:lang w:val="fr-FR"/>
        </w:rPr>
        <w:t>f)</w:t>
      </w:r>
      <w:r w:rsidRPr="007D4F79">
        <w:rPr>
          <w:rFonts w:cs="Calibri"/>
          <w:color w:val="000000"/>
          <w:szCs w:val="24"/>
          <w:lang w:val="fr-FR"/>
        </w:rPr>
        <w:tab/>
      </w:r>
      <w:r w:rsidRPr="007D4F79">
        <w:rPr>
          <w:lang w:val="fr-FR"/>
        </w:rPr>
        <w:t>du fait que, dans le cadre des travaux menés par la Commission d'études 3 de l'UIT-T sur les principes de tarification et de comptabilité et les questions connexes de politique générale et d'économie des télécommunications, un groupe du rapporteur a été créé en vue de rédiger un Supplément à la Recommandation UIT-T D.50, destiné à faciliter l'adoption de mesures concrètes pour réduire les coûts de la connexion Internet internationale, notamment dans les pays en développement;</w:t>
      </w:r>
    </w:p>
    <w:p w14:paraId="2C46CCB8" w14:textId="77777777" w:rsidR="00010F4E" w:rsidRPr="007D4F79" w:rsidRDefault="00010F4E" w:rsidP="00010F4E">
      <w:pPr>
        <w:rPr>
          <w:rFonts w:cs="Calibri"/>
          <w:color w:val="000000"/>
          <w:szCs w:val="24"/>
          <w:lang w:val="fr-FR"/>
        </w:rPr>
      </w:pPr>
      <w:r w:rsidRPr="007D4F79">
        <w:rPr>
          <w:i/>
          <w:iCs/>
          <w:lang w:val="fr-FR"/>
        </w:rPr>
        <w:t>g)</w:t>
      </w:r>
      <w:r w:rsidRPr="007D4F79">
        <w:rPr>
          <w:lang w:val="fr-FR"/>
        </w:rPr>
        <w:tab/>
        <w:t>du fait que la Commission d'études 3 de l'UIT-T a adopté la Recommandation UIT</w:t>
      </w:r>
      <w:r w:rsidRPr="007D4F79">
        <w:rPr>
          <w:lang w:val="fr-FR"/>
        </w:rPr>
        <w:noBreakHyphen/>
        <w:t>T D.52, intitulée "Création et raccordement de points d'échange Internet (IXP) régionaux pour réduire les coûts de la connectivité Internet internationale", qui sert de base à la collaboration régionale en vue d'établir des plates-formes centralisées ou points IXP permettant d'acheminer localement le trafic Internet local afin d'économiser la bande passante internationale, et de diminuer les coûts de la connectivité Internet internationale",</w:t>
      </w:r>
    </w:p>
    <w:p w14:paraId="33287FD8" w14:textId="77777777" w:rsidR="00010F4E" w:rsidRPr="007D4F79" w:rsidRDefault="00010F4E" w:rsidP="00010F4E">
      <w:pPr>
        <w:pStyle w:val="Call"/>
        <w:rPr>
          <w:lang w:val="fr-FR"/>
        </w:rPr>
      </w:pPr>
      <w:r w:rsidRPr="007D4F79">
        <w:rPr>
          <w:lang w:val="fr-FR"/>
        </w:rPr>
        <w:t>reconnaissant</w:t>
      </w:r>
    </w:p>
    <w:p w14:paraId="33BD4282" w14:textId="77777777" w:rsidR="00010F4E" w:rsidRPr="007D4F79" w:rsidRDefault="00010F4E" w:rsidP="00010F4E">
      <w:pPr>
        <w:rPr>
          <w:lang w:val="fr-FR"/>
        </w:rPr>
      </w:pPr>
      <w:r w:rsidRPr="007D4F79">
        <w:rPr>
          <w:i/>
          <w:iCs/>
          <w:lang w:val="fr-FR"/>
        </w:rPr>
        <w:t>a)</w:t>
      </w:r>
      <w:r w:rsidRPr="007D4F79">
        <w:rPr>
          <w:lang w:val="fr-FR"/>
        </w:rPr>
        <w:tab/>
        <w:t>le rôle important que joue l'UIT-D en coordonnant l'utilisation rationnelle des ressources dans le cadre de divers projets visant à généraliser le déploiement de services de télécommunication technologiquement neutres dans différents pays du monde;</w:t>
      </w:r>
    </w:p>
    <w:p w14:paraId="7EAD422D" w14:textId="77777777" w:rsidR="00010F4E" w:rsidRPr="007D4F79" w:rsidRDefault="00010F4E" w:rsidP="00010F4E">
      <w:pPr>
        <w:rPr>
          <w:lang w:val="fr-FR"/>
        </w:rPr>
      </w:pPr>
      <w:r w:rsidRPr="007D4F79">
        <w:rPr>
          <w:i/>
          <w:iCs/>
          <w:lang w:val="fr-FR"/>
        </w:rPr>
        <w:t>b)</w:t>
      </w:r>
      <w:r w:rsidRPr="007D4F79">
        <w:rPr>
          <w:i/>
          <w:iCs/>
          <w:lang w:val="fr-FR"/>
        </w:rPr>
        <w:tab/>
      </w:r>
      <w:r w:rsidRPr="007D4F79">
        <w:rPr>
          <w:lang w:val="fr-FR"/>
        </w:rPr>
        <w:t>que les communications par accès hertzien, de Terre et par satellite reposant sur le large bande contribuent à rompre l'isolement de certaines catégories de population qui vivent dans des zones où la couverture assurée par les réseaux de télécommunication classiques reste insuffisante et qui manquent de ressources;</w:t>
      </w:r>
    </w:p>
    <w:p w14:paraId="57D0A717" w14:textId="77777777" w:rsidR="00010F4E" w:rsidRDefault="00010F4E" w:rsidP="00010F4E">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7AA7092D" w14:textId="77777777" w:rsidR="00010F4E" w:rsidRPr="007D4F79" w:rsidRDefault="00010F4E" w:rsidP="00010F4E">
      <w:pPr>
        <w:rPr>
          <w:lang w:val="fr-FR"/>
        </w:rPr>
      </w:pPr>
      <w:r w:rsidRPr="007D4F79">
        <w:rPr>
          <w:i/>
          <w:iCs/>
          <w:lang w:val="fr-FR"/>
        </w:rPr>
        <w:lastRenderedPageBreak/>
        <w:t>c)</w:t>
      </w:r>
      <w:r w:rsidRPr="007D4F79">
        <w:rPr>
          <w:lang w:val="fr-FR"/>
        </w:rPr>
        <w:tab/>
        <w:t>que des études montrent que le taux de pénétration du large bande est plus élevé dans les pays qui ont mis en place des plans, politiques ou stratégies sur le large bande que dans ceux qui ne l'ont pas fait;</w:t>
      </w:r>
    </w:p>
    <w:p w14:paraId="7517EBCB" w14:textId="77777777" w:rsidR="00010F4E" w:rsidRPr="007D4F79" w:rsidRDefault="00010F4E" w:rsidP="00010F4E">
      <w:pPr>
        <w:rPr>
          <w:lang w:val="fr-FR"/>
        </w:rPr>
      </w:pPr>
      <w:r w:rsidRPr="007D4F79">
        <w:rPr>
          <w:i/>
          <w:iCs/>
          <w:lang w:val="fr-FR"/>
        </w:rPr>
        <w:t>d)</w:t>
      </w:r>
      <w:r w:rsidRPr="007D4F79">
        <w:rPr>
          <w:i/>
          <w:iCs/>
          <w:lang w:val="fr-FR"/>
        </w:rPr>
        <w:tab/>
      </w:r>
      <w:r w:rsidRPr="007D4F79">
        <w:rPr>
          <w:lang w:val="fr-FR"/>
        </w:rPr>
        <w:t>que, comme indiqué au paragraphe 22 de la Déclaration de principes de Genève adoptée par le SMSI, la mise en place d'infrastructures de réseau d'information et de communication suffisamment développées, facilement accessibles et financièrement abordables, et qui utilisent davantage les atouts du large bande, peut permettre d'accélérer le progrès social et économique des pays et de favoriser la prospérité de tous les citoyens, de toutes les communautés et de tous les peuples;</w:t>
      </w:r>
    </w:p>
    <w:p w14:paraId="31BDD30B" w14:textId="77777777" w:rsidR="00010F4E" w:rsidRPr="007D4F79" w:rsidRDefault="00010F4E" w:rsidP="00010F4E">
      <w:pPr>
        <w:rPr>
          <w:lang w:val="fr-FR"/>
        </w:rPr>
      </w:pPr>
      <w:r w:rsidRPr="007D4F79">
        <w:rPr>
          <w:i/>
          <w:iCs/>
          <w:lang w:val="fr-FR"/>
        </w:rPr>
        <w:t>e)</w:t>
      </w:r>
      <w:r w:rsidRPr="007D4F79">
        <w:rPr>
          <w:lang w:val="fr-FR"/>
        </w:rPr>
        <w:tab/>
        <w:t>les recommandations de politique générale formulées dans le rapport de la Commission sur le large bande au service du développement numérique</w:t>
      </w:r>
      <w:r>
        <w:rPr>
          <w:rStyle w:val="FootnoteReference"/>
          <w:lang w:val="fr-FR"/>
        </w:rPr>
        <w:footnoteReference w:customMarkFollows="1" w:id="3"/>
        <w:t>3</w:t>
      </w:r>
      <w:r w:rsidRPr="007D4F79">
        <w:rPr>
          <w:lang w:val="fr-FR"/>
        </w:rPr>
        <w:t>, qui préconisent le développement des infrastructures large bande et la création d'un environnement favorable aux investissements dans les infrastructures de télécommunication, en encourageant tous les États Membres à:</w:t>
      </w:r>
    </w:p>
    <w:p w14:paraId="5A56100E" w14:textId="77777777" w:rsidR="00010F4E" w:rsidRPr="007D4F79" w:rsidRDefault="00010F4E" w:rsidP="00010F4E">
      <w:pPr>
        <w:pStyle w:val="enumlev1"/>
        <w:rPr>
          <w:lang w:val="fr-FR"/>
        </w:rPr>
      </w:pPr>
      <w:r w:rsidRPr="007D4F79">
        <w:rPr>
          <w:lang w:val="fr-FR"/>
        </w:rPr>
        <w:t>i)</w:t>
      </w:r>
      <w:r w:rsidRPr="007D4F79">
        <w:rPr>
          <w:i/>
          <w:iCs/>
          <w:lang w:val="fr-FR"/>
        </w:rPr>
        <w:tab/>
      </w:r>
      <w:r w:rsidRPr="007D4F79">
        <w:rPr>
          <w:lang w:val="fr-FR"/>
        </w:rPr>
        <w:t>permettre la fourniture de services publics qui auront pour effet de stimuler la demande de télécommunications et les investissements dans ce secteur, en particulier dans les pays en développement;</w:t>
      </w:r>
    </w:p>
    <w:p w14:paraId="32B2D8BB" w14:textId="77777777" w:rsidR="00010F4E" w:rsidRPr="007D4F79" w:rsidRDefault="00010F4E" w:rsidP="00010F4E">
      <w:pPr>
        <w:pStyle w:val="enumlev1"/>
        <w:rPr>
          <w:lang w:val="fr-FR"/>
        </w:rPr>
      </w:pPr>
      <w:r w:rsidRPr="007D4F79">
        <w:rPr>
          <w:lang w:val="fr-FR"/>
        </w:rPr>
        <w:t>ii)</w:t>
      </w:r>
      <w:r w:rsidRPr="007D4F79">
        <w:rPr>
          <w:i/>
          <w:iCs/>
          <w:lang w:val="fr-FR"/>
        </w:rPr>
        <w:tab/>
      </w:r>
      <w:r w:rsidRPr="007D4F79">
        <w:rPr>
          <w:lang w:val="fr-FR"/>
        </w:rPr>
        <w:t>établir un programme de service universel pour favoriser des investissements technologiquement neutres dans les infrastructures de télécommunication;</w:t>
      </w:r>
    </w:p>
    <w:p w14:paraId="12314A24" w14:textId="77777777" w:rsidR="00010F4E" w:rsidRPr="007D4F79" w:rsidRDefault="00010F4E" w:rsidP="00010F4E">
      <w:pPr>
        <w:pStyle w:val="enumlev1"/>
        <w:rPr>
          <w:lang w:val="fr-FR"/>
        </w:rPr>
      </w:pPr>
      <w:r w:rsidRPr="007D4F79">
        <w:rPr>
          <w:lang w:val="fr-FR"/>
        </w:rPr>
        <w:t>iii)</w:t>
      </w:r>
      <w:r w:rsidRPr="007D4F79">
        <w:rPr>
          <w:i/>
          <w:iCs/>
          <w:lang w:val="fr-FR"/>
        </w:rPr>
        <w:tab/>
      </w:r>
      <w:r w:rsidRPr="007D4F79">
        <w:rPr>
          <w:lang w:val="fr-FR"/>
        </w:rPr>
        <w:t>encourager l'adoption de pratiques efficaces et novatrices dans le domaine du large bande, tant pour les nouveaux venus sur le marché que pour les consommateurs;</w:t>
      </w:r>
    </w:p>
    <w:p w14:paraId="07F5F025" w14:textId="77777777" w:rsidR="00010F4E" w:rsidRPr="007D4F79" w:rsidRDefault="00010F4E" w:rsidP="00010F4E">
      <w:pPr>
        <w:pStyle w:val="enumlev1"/>
        <w:rPr>
          <w:lang w:val="fr-FR"/>
        </w:rPr>
      </w:pPr>
      <w:r w:rsidRPr="007D4F79">
        <w:rPr>
          <w:lang w:val="fr-FR"/>
        </w:rPr>
        <w:t>iv)</w:t>
      </w:r>
      <w:r w:rsidRPr="007D4F79">
        <w:rPr>
          <w:lang w:val="fr-FR"/>
        </w:rPr>
        <w:tab/>
        <w:t>garantir la disponibilité et l'accessibilité économique de services reposant sur le large bande;</w:t>
      </w:r>
    </w:p>
    <w:p w14:paraId="010A5D3D" w14:textId="77777777" w:rsidR="00010F4E" w:rsidRPr="007D4F79" w:rsidRDefault="00010F4E" w:rsidP="00010F4E">
      <w:pPr>
        <w:rPr>
          <w:lang w:val="fr-FR"/>
        </w:rPr>
      </w:pPr>
      <w:r w:rsidRPr="007D4F79">
        <w:rPr>
          <w:i/>
          <w:iCs/>
          <w:lang w:val="fr-FR"/>
        </w:rPr>
        <w:t>f)</w:t>
      </w:r>
      <w:r w:rsidRPr="007D4F79">
        <w:rPr>
          <w:i/>
          <w:iCs/>
          <w:lang w:val="fr-FR"/>
        </w:rPr>
        <w:tab/>
      </w:r>
      <w:r w:rsidRPr="007D4F79">
        <w:rPr>
          <w:lang w:val="fr-FR"/>
        </w:rPr>
        <w:t>que l'élaboration et la mise en œuvre, à l'échelle nationale, d'un plan, d'une politique ou d'une stratégie dans le domaine du large bande sont essentielles au développement du large bande et à la croissance économique;</w:t>
      </w:r>
    </w:p>
    <w:p w14:paraId="05A79D91" w14:textId="77777777" w:rsidR="00010F4E" w:rsidRPr="007D4F79" w:rsidRDefault="00010F4E" w:rsidP="00010F4E">
      <w:pPr>
        <w:rPr>
          <w:rFonts w:ascii="Calibri" w:hAnsi="Calibri"/>
          <w:color w:val="000000"/>
          <w:szCs w:val="24"/>
          <w:lang w:val="fr-FR"/>
        </w:rPr>
      </w:pPr>
      <w:r w:rsidRPr="007D4F79">
        <w:rPr>
          <w:i/>
          <w:iCs/>
          <w:szCs w:val="24"/>
          <w:lang w:val="fr-FR"/>
        </w:rPr>
        <w:t>g)</w:t>
      </w:r>
      <w:r w:rsidRPr="007D4F79">
        <w:rPr>
          <w:szCs w:val="24"/>
          <w:lang w:val="fr-FR"/>
        </w:rPr>
        <w:tab/>
      </w:r>
      <w:r w:rsidRPr="007D4F79">
        <w:rPr>
          <w:rFonts w:ascii="Calibri" w:hAnsi="Calibri"/>
          <w:color w:val="000000"/>
          <w:szCs w:val="24"/>
          <w:lang w:val="fr-FR"/>
        </w:rPr>
        <w:t>les travaux menés par l'Internet Society (ISOC), l'Internet Exchange Federation (IEF) et les associations régionales s'occupant de points IXP ainsi que d'autres parties prenantes pour faciliter la mise en place de points IXP dans les pays en développement afin d'améliorer la connectivité,</w:t>
      </w:r>
    </w:p>
    <w:p w14:paraId="0A548432" w14:textId="77777777" w:rsidR="00010F4E" w:rsidRDefault="00010F4E" w:rsidP="00010F4E">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676019D5" w14:textId="77777777" w:rsidR="00010F4E" w:rsidRPr="007D4F79" w:rsidRDefault="00010F4E" w:rsidP="00010F4E">
      <w:pPr>
        <w:pStyle w:val="Call"/>
        <w:rPr>
          <w:lang w:val="fr-FR"/>
        </w:rPr>
      </w:pPr>
      <w:r w:rsidRPr="007D4F79">
        <w:rPr>
          <w:lang w:val="fr-FR"/>
        </w:rPr>
        <w:lastRenderedPageBreak/>
        <w:t>décide</w:t>
      </w:r>
    </w:p>
    <w:p w14:paraId="6CCBECA1" w14:textId="77777777" w:rsidR="00010F4E" w:rsidRPr="007D4F79" w:rsidRDefault="00010F4E" w:rsidP="00010F4E">
      <w:pPr>
        <w:rPr>
          <w:lang w:val="fr-FR"/>
        </w:rPr>
      </w:pPr>
      <w:r w:rsidRPr="007D4F79">
        <w:rPr>
          <w:lang w:val="fr-FR"/>
        </w:rPr>
        <w:t>1</w:t>
      </w:r>
      <w:r w:rsidRPr="007D4F79">
        <w:rPr>
          <w:lang w:val="fr-FR"/>
        </w:rPr>
        <w:tab/>
        <w:t>d'encourager le BDT à renforcer la coordination et le secteur privé à continuer de jouer un rôle important en appuyant les initiatives destinées à promouvoir l'accès à la connectivité large bande, et à en encourager l'adoption, en utilisant les technologies les plus appropriées, dans le but de fournir un plus large accès aux applications des TIC et d'appuyer la mise en œuvre des stratégies nationales sur le large bande;</w:t>
      </w:r>
    </w:p>
    <w:p w14:paraId="6641D040" w14:textId="77777777" w:rsidR="00010F4E" w:rsidRPr="007D4F79" w:rsidRDefault="00010F4E" w:rsidP="00010F4E">
      <w:pPr>
        <w:rPr>
          <w:lang w:val="fr-FR"/>
        </w:rPr>
      </w:pPr>
      <w:r w:rsidRPr="007D4F79">
        <w:rPr>
          <w:lang w:val="fr-FR"/>
        </w:rPr>
        <w:t>2</w:t>
      </w:r>
      <w:r w:rsidRPr="007D4F79">
        <w:rPr>
          <w:lang w:val="fr-FR"/>
        </w:rPr>
        <w:tab/>
        <w:t>de promouvoir la disponibilité, l'accessibilité et la fiabilité du large bande à un coût abordable dans les pays en développement, en donnant aux États Membres la possibilité d'élaborer des politiques et des stratégies nationales de mise en œuvre en matière de large bande reposant sur une évaluation approfondie de l'offre et de la demande dans ce domaine;</w:t>
      </w:r>
    </w:p>
    <w:p w14:paraId="05DF1985" w14:textId="77777777" w:rsidR="00010F4E" w:rsidRPr="007D4F79" w:rsidRDefault="00010F4E" w:rsidP="00010F4E">
      <w:pPr>
        <w:rPr>
          <w:lang w:val="fr-FR"/>
        </w:rPr>
      </w:pPr>
      <w:r w:rsidRPr="007D4F79">
        <w:rPr>
          <w:lang w:val="fr-FR"/>
        </w:rPr>
        <w:t>3</w:t>
      </w:r>
      <w:r w:rsidRPr="007D4F79">
        <w:rPr>
          <w:lang w:val="fr-FR"/>
        </w:rPr>
        <w:tab/>
        <w:t>que le BDT devra appuyer la mise en œuvre de projets régionaux et nationaux concernant l'utilisation des systèmes de communication large bande de Terre et par satellite pour fournir aux usagers des services, y compris des services et des applications mobiles telles que l'administration publique en ligne, la cybersanté et le cyberenseignement, ainsi que les virements de fonds et les transactions sur mobile, les paiements sur mobile, les services bancaires sur mobile et le marketing sur mobile, sur la base d'une coopération avec les États Membres intéressés, les organisations internationales compétentes et le secteur privé;</w:t>
      </w:r>
    </w:p>
    <w:p w14:paraId="5AE2B6DE" w14:textId="77777777" w:rsidR="00010F4E" w:rsidRPr="007D4F79" w:rsidRDefault="00010F4E" w:rsidP="00010F4E">
      <w:pPr>
        <w:rPr>
          <w:lang w:val="fr-FR"/>
        </w:rPr>
      </w:pPr>
      <w:r w:rsidRPr="007D4F79">
        <w:rPr>
          <w:lang w:val="fr-FR"/>
        </w:rPr>
        <w:t>4</w:t>
      </w:r>
      <w:r w:rsidRPr="007D4F79">
        <w:rPr>
          <w:lang w:val="fr-FR"/>
        </w:rPr>
        <w:tab/>
        <w:t>que le BDT, compte tenu de l'expérience acquise et de la stratégie mise en place pour réduire la fracture numérique et édifier la société mondiale de l'information, devra formuler et mettre en œuvre un programme en vue d'élaborer des propositions et des recommandations sur la manière la plus efficace et efficiente d'utiliser les technologies, notamment les services de télécommunication, pour la connectivité large bande aux niveaux régional et national, éventuellement en liaison avec les initiatives de l'UIT sur la connectivité,</w:t>
      </w:r>
    </w:p>
    <w:p w14:paraId="468E3B4A" w14:textId="77777777" w:rsidR="00010F4E" w:rsidRPr="007D4F79" w:rsidRDefault="00010F4E" w:rsidP="00010F4E">
      <w:pPr>
        <w:pStyle w:val="Call"/>
        <w:rPr>
          <w:lang w:val="fr-FR"/>
        </w:rPr>
      </w:pPr>
      <w:r w:rsidRPr="007D4F79">
        <w:rPr>
          <w:lang w:val="fr-FR"/>
        </w:rPr>
        <w:t>charge le Directeur du Bureau de développement des télécommunications</w:t>
      </w:r>
    </w:p>
    <w:p w14:paraId="59855B26" w14:textId="77777777" w:rsidR="00010F4E" w:rsidRPr="007D4F79" w:rsidRDefault="00010F4E" w:rsidP="00010F4E">
      <w:pPr>
        <w:rPr>
          <w:lang w:val="fr-FR"/>
        </w:rPr>
      </w:pPr>
      <w:r w:rsidRPr="007D4F79">
        <w:rPr>
          <w:lang w:val="fr-FR"/>
        </w:rPr>
        <w:t>1</w:t>
      </w:r>
      <w:r w:rsidRPr="007D4F79">
        <w:rPr>
          <w:lang w:val="fr-FR"/>
        </w:rPr>
        <w:tab/>
        <w:t>de s'efforcer de nouer des partenariats et de coopérer avec les parties participant directement de la fourniture de services aux usagers au moyen des technologies, installations et réseaux de télécommunication les plus pratiques pour assurer la mise en œuvre efficace des activités et programmes pertinents de l'UIT en ce qui concerne le développement de la connectivité large bande, pour fournir un accès fiable au large bande à des prix abordables tant aux utilisateurs existants qu'aux nouveaux utilisateurs des communautés mal desservies ou non desservies;</w:t>
      </w:r>
    </w:p>
    <w:p w14:paraId="6C06B5C4" w14:textId="77777777" w:rsidR="00010F4E" w:rsidRPr="003B7429" w:rsidRDefault="00010F4E" w:rsidP="00010F4E">
      <w:pPr>
        <w:rPr>
          <w:lang w:val="fr-FR"/>
        </w:rPr>
      </w:pPr>
      <w:r w:rsidRPr="003B7429">
        <w:rPr>
          <w:lang w:val="fr-FR"/>
        </w:rPr>
        <w:t>2</w:t>
      </w:r>
      <w:r w:rsidRPr="003B7429">
        <w:rPr>
          <w:lang w:val="fr-FR"/>
        </w:rPr>
        <w:tab/>
        <w:t>d'établir des liens clairs entre les Questions, les programmes et les initiatives régionales relatifs au large bande, afin d'optimiser l'utilisation des ressources humaines et financières et, avant tout, de mieux répondre aux besoins des pays en développement;</w:t>
      </w:r>
    </w:p>
    <w:p w14:paraId="58780ECC" w14:textId="77777777" w:rsidR="00010F4E" w:rsidRPr="003B7429" w:rsidRDefault="00010F4E" w:rsidP="00010F4E">
      <w:pPr>
        <w:tabs>
          <w:tab w:val="clear" w:pos="1134"/>
          <w:tab w:val="clear" w:pos="1871"/>
          <w:tab w:val="clear" w:pos="2268"/>
        </w:tabs>
        <w:overflowPunct/>
        <w:autoSpaceDE/>
        <w:autoSpaceDN/>
        <w:adjustRightInd/>
        <w:spacing w:before="0" w:after="0"/>
        <w:jc w:val="left"/>
        <w:textAlignment w:val="auto"/>
        <w:rPr>
          <w:lang w:val="fr-FR"/>
        </w:rPr>
      </w:pPr>
      <w:r w:rsidRPr="003B7429">
        <w:rPr>
          <w:lang w:val="fr-FR"/>
        </w:rPr>
        <w:br w:type="page"/>
      </w:r>
    </w:p>
    <w:p w14:paraId="10DC85D9" w14:textId="77777777" w:rsidR="00010F4E" w:rsidRPr="003B7429" w:rsidRDefault="00010F4E" w:rsidP="00010F4E">
      <w:pPr>
        <w:rPr>
          <w:lang w:val="fr-FR"/>
        </w:rPr>
      </w:pPr>
      <w:r w:rsidRPr="003B7429">
        <w:rPr>
          <w:lang w:val="fr-FR"/>
        </w:rPr>
        <w:lastRenderedPageBreak/>
        <w:t>3</w:t>
      </w:r>
      <w:r w:rsidRPr="003B7429">
        <w:rPr>
          <w:lang w:val="fr-FR"/>
        </w:rPr>
        <w:tab/>
        <w:t>d'aider les États Membres à renforcer la connectivité et à réduire les coûts de la mise en place de points IXP nationaux et régionaux, pour permettre de connecter les pays en développement sans littoral (PDSL);</w:t>
      </w:r>
    </w:p>
    <w:p w14:paraId="77079239" w14:textId="77777777" w:rsidR="00010F4E" w:rsidRPr="003B7429" w:rsidRDefault="00010F4E" w:rsidP="00010F4E">
      <w:pPr>
        <w:rPr>
          <w:lang w:val="fr-FR"/>
        </w:rPr>
      </w:pPr>
      <w:r w:rsidRPr="003B7429">
        <w:rPr>
          <w:lang w:val="fr-FR"/>
        </w:rPr>
        <w:t>4</w:t>
      </w:r>
      <w:r w:rsidRPr="003B7429">
        <w:rPr>
          <w:lang w:val="fr-FR"/>
        </w:rPr>
        <w:tab/>
        <w:t>de travailler en collaboration avec l'UIT</w:t>
      </w:r>
      <w:r w:rsidRPr="003B7429">
        <w:rPr>
          <w:lang w:val="fr-FR"/>
        </w:rPr>
        <w:noBreakHyphen/>
        <w:t>T, l'ISOC, l'IEF et les associations régionales s'occupant de points IXP ainsi que d'autres parties prenantes pour aider les pays en développement, en particulier les PDSL, à avoir accès à des conseils et à un appui concernant la mise en place de points IXP;</w:t>
      </w:r>
    </w:p>
    <w:p w14:paraId="78817DFA" w14:textId="77777777" w:rsidR="00010F4E" w:rsidRPr="003B7429" w:rsidRDefault="00010F4E" w:rsidP="00010F4E">
      <w:pPr>
        <w:rPr>
          <w:lang w:val="fr-FR"/>
        </w:rPr>
      </w:pPr>
      <w:r w:rsidRPr="003B7429">
        <w:rPr>
          <w:lang w:val="fr-FR"/>
        </w:rPr>
        <w:t>5</w:t>
      </w:r>
      <w:r w:rsidRPr="003B7429">
        <w:rPr>
          <w:lang w:val="fr-FR"/>
        </w:rPr>
        <w:tab/>
        <w:t>d'examiner les solutions possibles pour faciliter la connectivité large bande, en étroite collaboration avec le Secteur des radiocommunications de l'UIT (UIT-R) et l'UIT-T,</w:t>
      </w:r>
    </w:p>
    <w:p w14:paraId="1ACAE7F8" w14:textId="77777777" w:rsidR="00010F4E" w:rsidRPr="007D4F79" w:rsidRDefault="00010F4E" w:rsidP="00010F4E">
      <w:pPr>
        <w:pStyle w:val="Call"/>
        <w:rPr>
          <w:lang w:val="fr-FR"/>
        </w:rPr>
      </w:pPr>
      <w:r w:rsidRPr="007D4F79">
        <w:rPr>
          <w:lang w:val="fr-FR"/>
        </w:rPr>
        <w:t>invite les États Membres</w:t>
      </w:r>
    </w:p>
    <w:p w14:paraId="7531CA37" w14:textId="77777777" w:rsidR="00010F4E" w:rsidRPr="003B7429" w:rsidRDefault="00010F4E" w:rsidP="00010F4E">
      <w:pPr>
        <w:rPr>
          <w:lang w:val="fr-FR"/>
        </w:rPr>
      </w:pPr>
      <w:r w:rsidRPr="003B7429">
        <w:rPr>
          <w:lang w:val="fr-FR"/>
        </w:rPr>
        <w:t>1</w:t>
      </w:r>
      <w:r w:rsidRPr="003B7429">
        <w:rPr>
          <w:lang w:val="fr-FR"/>
        </w:rPr>
        <w:tab/>
        <w:t>à assurer et à promouvoir un accès généralisé et financièrement abordable aux infrastructures de communication large bande, en créant un environnement réglementaire et juridique favorable, notamment en mettant à disposition des fréquences pour les nouvelles techniques d'accès hertzien large bande et en adoptant des politiques équitables, transparentes, stables, prévisibles et non discriminatoires en matière d'octroi de licences;</w:t>
      </w:r>
    </w:p>
    <w:p w14:paraId="122797DE" w14:textId="77777777" w:rsidR="00010F4E" w:rsidRPr="003B7429" w:rsidRDefault="00010F4E" w:rsidP="00010F4E">
      <w:pPr>
        <w:rPr>
          <w:lang w:val="fr-FR"/>
        </w:rPr>
      </w:pPr>
      <w:r w:rsidRPr="003B7429">
        <w:rPr>
          <w:lang w:val="fr-FR"/>
        </w:rPr>
        <w:t>2</w:t>
      </w:r>
      <w:r w:rsidRPr="003B7429">
        <w:rPr>
          <w:lang w:val="fr-FR"/>
        </w:rPr>
        <w:tab/>
        <w:t>à tout mettre en œuvre pour promouvoir un environnement propice à la croissance et au développement accrus d'une connectivité large bande technologiquement neutre, en particulier dans les pays en développement;</w:t>
      </w:r>
    </w:p>
    <w:p w14:paraId="13F9EB1B" w14:textId="77777777" w:rsidR="00010F4E" w:rsidRPr="003B7429" w:rsidRDefault="00010F4E" w:rsidP="00010F4E">
      <w:pPr>
        <w:rPr>
          <w:lang w:val="fr-FR"/>
        </w:rPr>
      </w:pPr>
      <w:r w:rsidRPr="003B7429">
        <w:rPr>
          <w:lang w:val="fr-FR"/>
        </w:rPr>
        <w:t>3</w:t>
      </w:r>
      <w:r w:rsidRPr="003B7429">
        <w:rPr>
          <w:i/>
          <w:iCs/>
          <w:lang w:val="fr-FR"/>
        </w:rPr>
        <w:tab/>
      </w:r>
      <w:r w:rsidRPr="003B7429">
        <w:rPr>
          <w:lang w:val="fr-FR"/>
        </w:rPr>
        <w:t>à contribuer activement à l'étude de la ou des Questions relatives au large bande confiées aux commissions d'études;</w:t>
      </w:r>
    </w:p>
    <w:p w14:paraId="75BD1AE9" w14:textId="77777777" w:rsidR="00010F4E" w:rsidRPr="003B7429" w:rsidRDefault="00010F4E" w:rsidP="00010F4E">
      <w:pPr>
        <w:rPr>
          <w:lang w:val="fr-FR"/>
        </w:rPr>
      </w:pPr>
      <w:r w:rsidRPr="003B7429">
        <w:rPr>
          <w:lang w:val="fr-FR"/>
        </w:rPr>
        <w:t>4</w:t>
      </w:r>
      <w:r w:rsidRPr="003B7429">
        <w:rPr>
          <w:lang w:val="fr-FR"/>
        </w:rPr>
        <w:tab/>
        <w:t>à appliquer les résultats des travaux menés au titre de cette ou de ces Questions, y compris par des réformes de la législation, de la réglementation et du marché visant à créer un environnement propice au large bande, en encourageant la concurrence, les investissements privés et les partenariats public</w:t>
      </w:r>
      <w:r w:rsidRPr="003B7429">
        <w:rPr>
          <w:lang w:val="fr-FR"/>
        </w:rPr>
        <w:noBreakHyphen/>
        <w:t>privé;</w:t>
      </w:r>
    </w:p>
    <w:p w14:paraId="72BE4E02" w14:textId="77777777" w:rsidR="00010F4E" w:rsidRPr="003B7429" w:rsidRDefault="00010F4E" w:rsidP="00010F4E">
      <w:pPr>
        <w:rPr>
          <w:lang w:val="fr-FR"/>
        </w:rPr>
      </w:pPr>
      <w:r w:rsidRPr="003B7429">
        <w:rPr>
          <w:lang w:val="fr-FR"/>
        </w:rPr>
        <w:t>5</w:t>
      </w:r>
      <w:r w:rsidRPr="003B7429">
        <w:rPr>
          <w:lang w:val="fr-FR"/>
        </w:rPr>
        <w:tab/>
        <w:t>à mettre en œuvre des politiques et des plans propres à encourager la mise à disposition de services, d'applications et de contenus qui stimulent la demande de large bande;</w:t>
      </w:r>
    </w:p>
    <w:p w14:paraId="09C39C30" w14:textId="77777777" w:rsidR="00010F4E" w:rsidRPr="003B7429" w:rsidRDefault="00010F4E" w:rsidP="00010F4E">
      <w:pPr>
        <w:rPr>
          <w:lang w:val="fr-FR"/>
        </w:rPr>
      </w:pPr>
      <w:r w:rsidRPr="003B7429">
        <w:rPr>
          <w:lang w:val="fr-FR"/>
        </w:rPr>
        <w:t>6</w:t>
      </w:r>
      <w:r w:rsidRPr="003B7429">
        <w:rPr>
          <w:lang w:val="fr-FR"/>
        </w:rPr>
        <w:tab/>
        <w:t>à prendre des mesures en faveur du renforcement des capacités humaines, y compris des programmes de formation au numérique et un enseignement technique, compte tenu de la nécessité de promouvoir l'accès au large bande des femmes et des jeunes filles, des personnes handicapées, des habitants des zones rurales et isolées et des peuples autochtones.</w:t>
      </w:r>
    </w:p>
    <w:p w14:paraId="7650BAAC" w14:textId="77777777" w:rsidR="00F16487" w:rsidRDefault="00F16487"/>
    <w:sectPr w:rsidR="00F16487" w:rsidSect="00010F4E">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293E9" w14:textId="77777777" w:rsidR="00010F4E" w:rsidRDefault="00010F4E" w:rsidP="00010F4E">
      <w:pPr>
        <w:spacing w:before="0" w:after="0"/>
      </w:pPr>
      <w:r>
        <w:separator/>
      </w:r>
    </w:p>
  </w:endnote>
  <w:endnote w:type="continuationSeparator" w:id="0">
    <w:p w14:paraId="4C4B6198" w14:textId="77777777" w:rsidR="00010F4E" w:rsidRDefault="00010F4E" w:rsidP="00010F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F50BD" w14:textId="77777777" w:rsidR="00010F4E" w:rsidRDefault="00010F4E" w:rsidP="00010F4E">
      <w:pPr>
        <w:spacing w:before="0" w:after="0"/>
      </w:pPr>
      <w:r>
        <w:separator/>
      </w:r>
    </w:p>
  </w:footnote>
  <w:footnote w:type="continuationSeparator" w:id="0">
    <w:p w14:paraId="14A06F02" w14:textId="77777777" w:rsidR="00010F4E" w:rsidRDefault="00010F4E" w:rsidP="00010F4E">
      <w:pPr>
        <w:spacing w:before="0" w:after="0"/>
      </w:pPr>
      <w:r>
        <w:continuationSeparator/>
      </w:r>
    </w:p>
  </w:footnote>
  <w:footnote w:id="1">
    <w:p w14:paraId="304BA1D9" w14:textId="77777777" w:rsidR="00010F4E" w:rsidRPr="006D1583" w:rsidRDefault="00010F4E" w:rsidP="00010F4E">
      <w:pPr>
        <w:pStyle w:val="FootnoteText"/>
        <w:rPr>
          <w:lang w:val="fr-CH"/>
        </w:rPr>
      </w:pPr>
      <w:r w:rsidRPr="003B7429">
        <w:rPr>
          <w:rStyle w:val="FootnoteReference"/>
          <w:lang w:val="fr-FR"/>
        </w:rPr>
        <w:t>1</w:t>
      </w:r>
      <w:r w:rsidRPr="003B7429">
        <w:rPr>
          <w:lang w:val="fr-FR"/>
        </w:rPr>
        <w:t xml:space="preserve"> </w:t>
      </w:r>
      <w:r>
        <w:rPr>
          <w:lang w:val="fr-CH"/>
        </w:rPr>
        <w:tab/>
      </w:r>
      <w:r w:rsidRPr="00354AD9">
        <w:rPr>
          <w:lang w:val="fr-FR"/>
        </w:rPr>
        <w:t>Par pays en développement, on entend aussi les pays les moins avancés, les petits États insulaires en développement, les pays en développement sans littoral et les pays dont l'économie est en transition.</w:t>
      </w:r>
    </w:p>
  </w:footnote>
  <w:footnote w:id="2">
    <w:p w14:paraId="608CD573" w14:textId="77777777" w:rsidR="00010F4E" w:rsidRPr="006D1583" w:rsidRDefault="00010F4E" w:rsidP="00010F4E">
      <w:pPr>
        <w:pStyle w:val="FootnoteText"/>
        <w:rPr>
          <w:lang w:val="fr-CH"/>
        </w:rPr>
      </w:pPr>
      <w:r w:rsidRPr="003B7429">
        <w:rPr>
          <w:rStyle w:val="FootnoteReference"/>
          <w:lang w:val="fr-FR"/>
        </w:rPr>
        <w:t>2</w:t>
      </w:r>
      <w:r w:rsidRPr="003B7429">
        <w:rPr>
          <w:lang w:val="fr-FR"/>
        </w:rPr>
        <w:t xml:space="preserve"> </w:t>
      </w:r>
      <w:r>
        <w:rPr>
          <w:lang w:val="fr-CH"/>
        </w:rPr>
        <w:tab/>
      </w:r>
      <w:r w:rsidRPr="00354AD9">
        <w:rPr>
          <w:lang w:val="fr-FR"/>
        </w:rPr>
        <w:t xml:space="preserve">"Le large bande: une plate-forme au service du progrès". Rapport de la Commission sur le large bande au service du développement numérique, septembre 2010 (disponible à l'adresse: </w:t>
      </w:r>
      <w:hyperlink r:id="rId1" w:history="1">
        <w:r w:rsidRPr="00354AD9">
          <w:rPr>
            <w:rStyle w:val="Hyperlink"/>
            <w:lang w:val="fr-FR"/>
          </w:rPr>
          <w:t>http://www.broadbandcommission.org/Reports/Report 2.pdf</w:t>
        </w:r>
      </w:hyperlink>
      <w:r w:rsidRPr="00354AD9">
        <w:rPr>
          <w:lang w:val="fr-FR"/>
        </w:rPr>
        <w:t>).</w:t>
      </w:r>
    </w:p>
  </w:footnote>
  <w:footnote w:id="3">
    <w:p w14:paraId="15E591E5" w14:textId="77777777" w:rsidR="00010F4E" w:rsidRPr="006D1583" w:rsidRDefault="00010F4E" w:rsidP="00010F4E">
      <w:pPr>
        <w:pStyle w:val="FootnoteText"/>
        <w:rPr>
          <w:lang w:val="fr-CH"/>
        </w:rPr>
      </w:pPr>
      <w:r w:rsidRPr="003B7429">
        <w:rPr>
          <w:rStyle w:val="FootnoteReference"/>
          <w:lang w:val="fr-FR"/>
        </w:rPr>
        <w:t>3</w:t>
      </w:r>
      <w:r w:rsidRPr="003B7429">
        <w:rPr>
          <w:lang w:val="fr-FR"/>
        </w:rPr>
        <w:t xml:space="preserve"> </w:t>
      </w:r>
      <w:r>
        <w:rPr>
          <w:lang w:val="fr-CH"/>
        </w:rPr>
        <w:tab/>
      </w:r>
      <w:r w:rsidRPr="00354AD9">
        <w:rPr>
          <w:lang w:val="fr-FR"/>
        </w:rPr>
        <w:t xml:space="preserve">"La situation du large bande en 2012: assurer l'inclusion numérique pour tous". </w:t>
      </w:r>
      <w:r w:rsidRPr="00354AD9">
        <w:rPr>
          <w:lang w:val="fr-FR"/>
        </w:rPr>
        <w:t xml:space="preserve">Rapport de la Commission sur le large bande au service du développement numérique, septembre 2012 (disponible à l'adresse: </w:t>
      </w:r>
      <w:hyperlink r:id="rId2" w:history="1">
        <w:r w:rsidRPr="00354AD9">
          <w:rPr>
            <w:rStyle w:val="Hyperlink"/>
            <w:lang w:val="fr-FR"/>
          </w:rPr>
          <w:t>http://www.broadbandcommission.org/Documents/bb-annual.pdf).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133754558"/>
      <w:docPartObj>
        <w:docPartGallery w:val="Page Numbers (Top of Page)"/>
        <w:docPartUnique/>
      </w:docPartObj>
    </w:sdtPr>
    <w:sdtEndPr>
      <w:rPr>
        <w:noProof/>
      </w:rPr>
    </w:sdtEndPr>
    <w:sdtContent>
      <w:p w14:paraId="28C03521" w14:textId="6052D563" w:rsidR="00010F4E" w:rsidRPr="00010F4E" w:rsidRDefault="00010F4E" w:rsidP="00010F4E">
        <w:pPr>
          <w:tabs>
            <w:tab w:val="left" w:pos="426"/>
            <w:tab w:val="left" w:pos="851"/>
          </w:tabs>
          <w:spacing w:before="0"/>
          <w:jc w:val="left"/>
          <w:rPr>
            <w:rFonts w:ascii="Calibri" w:hAnsi="Calibri"/>
            <w:sz w:val="16"/>
            <w:szCs w:val="16"/>
            <w:lang w:val="fr-FR"/>
          </w:rPr>
        </w:pPr>
        <w:r w:rsidRPr="00236342">
          <w:rPr>
            <w:rFonts w:ascii="Calibri" w:hAnsi="Calibri"/>
            <w:sz w:val="16"/>
            <w:szCs w:val="16"/>
          </w:rPr>
          <w:fldChar w:fldCharType="begin"/>
        </w:r>
        <w:r w:rsidRPr="00236342">
          <w:rPr>
            <w:rFonts w:ascii="Calibri" w:hAnsi="Calibri"/>
            <w:sz w:val="16"/>
            <w:szCs w:val="16"/>
            <w:lang w:val="fr-FR"/>
          </w:rPr>
          <w:instrText xml:space="preserve"> PAGE   \* MERGEFORMAT </w:instrText>
        </w:r>
        <w:r w:rsidRPr="00236342">
          <w:rPr>
            <w:rFonts w:ascii="Calibri" w:hAnsi="Calibri"/>
            <w:sz w:val="16"/>
            <w:szCs w:val="16"/>
          </w:rPr>
          <w:fldChar w:fldCharType="separate"/>
        </w:r>
        <w:r>
          <w:rPr>
            <w:rFonts w:ascii="Calibri" w:hAnsi="Calibri"/>
            <w:sz w:val="16"/>
            <w:szCs w:val="16"/>
          </w:rPr>
          <w:t>2</w:t>
        </w:r>
        <w:r w:rsidRPr="00236342">
          <w:rPr>
            <w:rFonts w:ascii="Calibri" w:hAnsi="Calibri"/>
            <w:noProof/>
            <w:sz w:val="16"/>
            <w:szCs w:val="16"/>
          </w:rPr>
          <w:fldChar w:fldCharType="end"/>
        </w:r>
        <w:r w:rsidRPr="00236342">
          <w:rPr>
            <w:rFonts w:ascii="Calibri" w:hAnsi="Calibri"/>
            <w:sz w:val="16"/>
            <w:szCs w:val="16"/>
            <w:lang w:val="fr-FR"/>
          </w:rPr>
          <w:tab/>
          <w:t>Rapport final de la CMDT-22 – Partie IV – Résolution 7</w:t>
        </w:r>
        <w:r>
          <w:rPr>
            <w:rFonts w:ascii="Calibri" w:hAnsi="Calibri"/>
            <w:sz w:val="16"/>
            <w:szCs w:val="16"/>
            <w:lang w:val="fr-FR"/>
          </w:rPr>
          <w:t>7</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508359410"/>
      <w:docPartObj>
        <w:docPartGallery w:val="Page Numbers (Top of Page)"/>
        <w:docPartUnique/>
      </w:docPartObj>
    </w:sdtPr>
    <w:sdtEndPr>
      <w:rPr>
        <w:noProof/>
      </w:rPr>
    </w:sdtEndPr>
    <w:sdtContent>
      <w:p w14:paraId="4A63F166" w14:textId="1381199E" w:rsidR="00010F4E" w:rsidRPr="007B0FE6" w:rsidRDefault="00010F4E" w:rsidP="00010F4E">
        <w:pPr>
          <w:tabs>
            <w:tab w:val="clear" w:pos="1134"/>
            <w:tab w:val="clear" w:pos="1871"/>
            <w:tab w:val="clear" w:pos="2268"/>
            <w:tab w:val="left" w:pos="5387"/>
            <w:tab w:val="left" w:pos="9356"/>
          </w:tabs>
          <w:spacing w:before="0"/>
          <w:jc w:val="right"/>
          <w:rPr>
            <w:rFonts w:ascii="Calibri" w:hAnsi="Calibri"/>
            <w:sz w:val="16"/>
            <w:szCs w:val="16"/>
            <w:lang w:val="fr-FR"/>
          </w:rPr>
        </w:pPr>
        <w:r w:rsidRPr="007B0FE6">
          <w:rPr>
            <w:rFonts w:ascii="Calibri" w:hAnsi="Calibri"/>
            <w:sz w:val="16"/>
            <w:szCs w:val="16"/>
            <w:lang w:val="fr-FR"/>
          </w:rPr>
          <w:tab/>
          <w:t xml:space="preserve">Rapport final de la CMDT-22 – Partie IV – Résolution </w:t>
        </w:r>
        <w:r>
          <w:rPr>
            <w:rFonts w:ascii="Calibri" w:hAnsi="Calibri"/>
            <w:sz w:val="16"/>
            <w:szCs w:val="16"/>
            <w:lang w:val="fr-FR"/>
          </w:rPr>
          <w:t>77</w:t>
        </w:r>
        <w:r w:rsidRPr="007B0FE6">
          <w:rPr>
            <w:rFonts w:ascii="Calibri" w:hAnsi="Calibri"/>
            <w:sz w:val="16"/>
            <w:szCs w:val="16"/>
            <w:lang w:val="fr-FR"/>
          </w:rPr>
          <w:tab/>
        </w:r>
        <w:r w:rsidRPr="007B0FE6">
          <w:rPr>
            <w:rFonts w:ascii="Calibri" w:hAnsi="Calibri"/>
            <w:sz w:val="16"/>
            <w:szCs w:val="16"/>
          </w:rPr>
          <w:fldChar w:fldCharType="begin"/>
        </w:r>
        <w:r w:rsidRPr="007B0FE6">
          <w:rPr>
            <w:rFonts w:ascii="Calibri" w:hAnsi="Calibri"/>
            <w:sz w:val="16"/>
            <w:szCs w:val="16"/>
            <w:lang w:val="fr-FR"/>
          </w:rPr>
          <w:instrText xml:space="preserve"> PAGE   \* MERGEFORMAT </w:instrText>
        </w:r>
        <w:r w:rsidRPr="007B0FE6">
          <w:rPr>
            <w:rFonts w:ascii="Calibri" w:hAnsi="Calibri"/>
            <w:sz w:val="16"/>
            <w:szCs w:val="16"/>
          </w:rPr>
          <w:fldChar w:fldCharType="separate"/>
        </w:r>
        <w:r>
          <w:rPr>
            <w:rFonts w:ascii="Calibri" w:hAnsi="Calibri"/>
            <w:sz w:val="16"/>
            <w:szCs w:val="16"/>
          </w:rPr>
          <w:t>1</w:t>
        </w:r>
        <w:r w:rsidRPr="007B0FE6">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F4E"/>
    <w:rsid w:val="00010F4E"/>
    <w:rsid w:val="00400A99"/>
    <w:rsid w:val="0045258F"/>
    <w:rsid w:val="004A0B3D"/>
    <w:rsid w:val="0051703C"/>
    <w:rsid w:val="005C0E4B"/>
    <w:rsid w:val="007359FB"/>
    <w:rsid w:val="0076311C"/>
    <w:rsid w:val="008630CC"/>
    <w:rsid w:val="00950AD1"/>
    <w:rsid w:val="009E6BCE"/>
    <w:rsid w:val="00DC1DAE"/>
    <w:rsid w:val="00F06AC3"/>
    <w:rsid w:val="00F16487"/>
    <w:rsid w:val="00F77CE1"/>
    <w:rsid w:val="00FF5D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ED94"/>
  <w15:chartTrackingRefBased/>
  <w15:docId w15:val="{3A167FB9-3A76-4775-BF6D-840D778F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F4E"/>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010F4E"/>
    <w:pPr>
      <w:keepNext/>
      <w:keepLines/>
      <w:spacing w:before="160"/>
      <w:ind w:left="1134"/>
    </w:pPr>
    <w:rPr>
      <w:i/>
    </w:rPr>
  </w:style>
  <w:style w:type="paragraph" w:customStyle="1" w:styleId="enumlev1">
    <w:name w:val="enumlev1"/>
    <w:basedOn w:val="Normal"/>
    <w:link w:val="enumlev1Char"/>
    <w:rsid w:val="00010F4E"/>
    <w:pPr>
      <w:tabs>
        <w:tab w:val="clear" w:pos="2268"/>
        <w:tab w:val="left" w:pos="2608"/>
        <w:tab w:val="left" w:pos="3345"/>
      </w:tabs>
      <w:spacing w:before="40"/>
      <w:ind w:left="1134" w:hanging="1134"/>
    </w:pPr>
  </w:style>
  <w:style w:type="character" w:styleId="FootnoteReference">
    <w:name w:val="footnote reference"/>
    <w:basedOn w:val="DefaultParagraphFont"/>
    <w:rsid w:val="00010F4E"/>
    <w:rPr>
      <w:rFonts w:asciiTheme="minorHAnsi" w:hAnsiTheme="minorHAnsi"/>
      <w:position w:val="6"/>
      <w:sz w:val="18"/>
    </w:rPr>
  </w:style>
  <w:style w:type="paragraph" w:styleId="FootnoteText">
    <w:name w:val="footnote text"/>
    <w:basedOn w:val="Normal"/>
    <w:link w:val="FootnoteTextChar"/>
    <w:rsid w:val="00010F4E"/>
    <w:pPr>
      <w:keepLines/>
      <w:tabs>
        <w:tab w:val="left" w:pos="255"/>
      </w:tabs>
    </w:pPr>
    <w:rPr>
      <w:sz w:val="22"/>
    </w:rPr>
  </w:style>
  <w:style w:type="character" w:customStyle="1" w:styleId="FootnoteTextChar">
    <w:name w:val="Footnote Text Char"/>
    <w:basedOn w:val="DefaultParagraphFont"/>
    <w:link w:val="FootnoteText"/>
    <w:rsid w:val="00010F4E"/>
    <w:rPr>
      <w:rFonts w:eastAsia="Times New Roman" w:cs="Times New Roman"/>
      <w:szCs w:val="20"/>
      <w:lang w:val="en-GB"/>
    </w:rPr>
  </w:style>
  <w:style w:type="paragraph" w:customStyle="1" w:styleId="Normalaftertitle">
    <w:name w:val="Normal after title"/>
    <w:basedOn w:val="Normal"/>
    <w:next w:val="Normal"/>
    <w:link w:val="NormalaftertitleChar"/>
    <w:rsid w:val="00010F4E"/>
    <w:pPr>
      <w:spacing w:before="280"/>
    </w:pPr>
  </w:style>
  <w:style w:type="paragraph" w:customStyle="1" w:styleId="ResNo">
    <w:name w:val="Res_No"/>
    <w:basedOn w:val="Normal"/>
    <w:next w:val="Normal"/>
    <w:rsid w:val="00010F4E"/>
    <w:pPr>
      <w:keepNext/>
      <w:keepLines/>
      <w:spacing w:before="480"/>
      <w:jc w:val="center"/>
      <w:outlineLvl w:val="0"/>
    </w:pPr>
    <w:rPr>
      <w:caps/>
      <w:sz w:val="28"/>
    </w:rPr>
  </w:style>
  <w:style w:type="paragraph" w:customStyle="1" w:styleId="Restitle">
    <w:name w:val="Res_title"/>
    <w:basedOn w:val="Normal"/>
    <w:next w:val="Normal"/>
    <w:rsid w:val="00010F4E"/>
    <w:pPr>
      <w:keepNext/>
      <w:keepLines/>
      <w:spacing w:before="240"/>
      <w:jc w:val="center"/>
      <w:outlineLvl w:val="0"/>
    </w:pPr>
    <w:rPr>
      <w:b/>
      <w:sz w:val="28"/>
    </w:rPr>
  </w:style>
  <w:style w:type="character" w:styleId="Hyperlink">
    <w:name w:val="Hyperlink"/>
    <w:aliases w:val="CEO_Hyperlink,超级链接,超?级链,Style 58,超????,하이퍼링크2,超链接1,超?级链?,Style?,S,하이퍼링크21,ECC Hyperlink"/>
    <w:qFormat/>
    <w:rsid w:val="00010F4E"/>
    <w:rPr>
      <w:color w:val="0000FF"/>
      <w:u w:val="single"/>
    </w:rPr>
  </w:style>
  <w:style w:type="character" w:customStyle="1" w:styleId="NormalaftertitleChar">
    <w:name w:val="Normal after title Char"/>
    <w:basedOn w:val="DefaultParagraphFont"/>
    <w:link w:val="Normalaftertitle"/>
    <w:locked/>
    <w:rsid w:val="00010F4E"/>
    <w:rPr>
      <w:rFonts w:eastAsia="Times New Roman" w:cs="Times New Roman"/>
      <w:sz w:val="24"/>
      <w:szCs w:val="20"/>
      <w:lang w:val="en-GB"/>
    </w:rPr>
  </w:style>
  <w:style w:type="character" w:customStyle="1" w:styleId="enumlev1Char">
    <w:name w:val="enumlev1 Char"/>
    <w:link w:val="enumlev1"/>
    <w:qFormat/>
    <w:locked/>
    <w:rsid w:val="00010F4E"/>
    <w:rPr>
      <w:rFonts w:eastAsia="Times New Roman" w:cs="Times New Roman"/>
      <w:sz w:val="24"/>
      <w:szCs w:val="20"/>
      <w:lang w:val="en-GB"/>
    </w:rPr>
  </w:style>
  <w:style w:type="paragraph" w:styleId="Header">
    <w:name w:val="header"/>
    <w:basedOn w:val="Normal"/>
    <w:link w:val="HeaderChar"/>
    <w:uiPriority w:val="99"/>
    <w:unhideWhenUsed/>
    <w:rsid w:val="00010F4E"/>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010F4E"/>
    <w:rPr>
      <w:rFonts w:eastAsia="Times New Roman" w:cs="Times New Roman"/>
      <w:sz w:val="24"/>
      <w:szCs w:val="20"/>
      <w:lang w:val="en-GB"/>
    </w:rPr>
  </w:style>
  <w:style w:type="paragraph" w:styleId="Footer">
    <w:name w:val="footer"/>
    <w:basedOn w:val="Normal"/>
    <w:link w:val="FooterChar"/>
    <w:uiPriority w:val="99"/>
    <w:unhideWhenUsed/>
    <w:rsid w:val="00010F4E"/>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010F4E"/>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broadbandcommission.org/Documents/bb-annual.pdf)." TargetMode="External"/><Relationship Id="rId1" Type="http://schemas.openxmlformats.org/officeDocument/2006/relationships/hyperlink" Target="http://www.broadbandcommission.org/Reports/Report%2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2446</Words>
  <Characters>13455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2023-10-16T14:30:00Z</dcterms:created>
  <dcterms:modified xsi:type="dcterms:W3CDTF">2023-10-16T14:52:00Z</dcterms:modified>
</cp:coreProperties>
</file>