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C0E8" w14:textId="77777777" w:rsidR="008F0F08" w:rsidRPr="007D4F79" w:rsidRDefault="008F0F08" w:rsidP="008F0F08">
      <w:pPr>
        <w:pStyle w:val="ResNo"/>
        <w:rPr>
          <w:lang w:val="fr-FR"/>
        </w:rPr>
      </w:pPr>
      <w:bookmarkStart w:id="0" w:name="_Toc116542398"/>
      <w:r w:rsidRPr="007D4F79">
        <w:rPr>
          <w:lang w:val="fr-FR"/>
        </w:rPr>
        <w:t>RÉSOLUTION</w:t>
      </w:r>
      <w:r w:rsidRPr="007D4F79">
        <w:rPr>
          <w:caps w:val="0"/>
          <w:lang w:val="fr-FR"/>
        </w:rPr>
        <w:t xml:space="preserve"> </w:t>
      </w:r>
      <w:r w:rsidRPr="007D4F79">
        <w:rPr>
          <w:lang w:val="fr-FR"/>
        </w:rPr>
        <w:t>62</w:t>
      </w:r>
      <w:r w:rsidRPr="007D4F79">
        <w:rPr>
          <w:caps w:val="0"/>
          <w:lang w:val="fr-FR"/>
        </w:rPr>
        <w:t xml:space="preserve"> (Rév.</w:t>
      </w:r>
      <w:r w:rsidRPr="007D4F79">
        <w:rPr>
          <w:lang w:val="fr-FR"/>
        </w:rPr>
        <w:t xml:space="preserve"> </w:t>
      </w:r>
      <w:r w:rsidRPr="007D4F79">
        <w:rPr>
          <w:caps w:val="0"/>
          <w:lang w:val="fr-FR"/>
        </w:rPr>
        <w:t>Kigali, 2022)</w:t>
      </w:r>
      <w:bookmarkEnd w:id="0"/>
    </w:p>
    <w:p w14:paraId="251446BF" w14:textId="77777777" w:rsidR="008F0F08" w:rsidRPr="007D4F79" w:rsidRDefault="008F0F08" w:rsidP="008F0F08">
      <w:pPr>
        <w:pStyle w:val="Restitle"/>
        <w:rPr>
          <w:lang w:val="fr-FR"/>
        </w:rPr>
      </w:pPr>
      <w:bookmarkStart w:id="1" w:name="_Toc116542399"/>
      <w:r w:rsidRPr="007D4F79">
        <w:rPr>
          <w:lang w:val="fr-FR"/>
        </w:rPr>
        <w:t xml:space="preserve">Évaluation et mesure de l'exposition des personnes </w:t>
      </w:r>
      <w:r w:rsidRPr="007D4F79">
        <w:rPr>
          <w:lang w:val="fr-FR"/>
        </w:rPr>
        <w:br/>
        <w:t>aux champs électromagnétiques</w:t>
      </w:r>
      <w:bookmarkEnd w:id="1"/>
    </w:p>
    <w:p w14:paraId="15EAC549" w14:textId="77777777" w:rsidR="008F0F08" w:rsidRPr="007D4F79" w:rsidRDefault="008F0F08" w:rsidP="008F0F08">
      <w:pPr>
        <w:pStyle w:val="Normalaftertitle"/>
        <w:rPr>
          <w:lang w:val="fr-FR"/>
        </w:rPr>
      </w:pPr>
      <w:r w:rsidRPr="007D4F79">
        <w:rPr>
          <w:lang w:val="fr-FR"/>
        </w:rPr>
        <w:t>La Conférence mondiale de développement des télécommunications (Kigali, 2022)</w:t>
      </w:r>
    </w:p>
    <w:p w14:paraId="6A9F4853" w14:textId="77777777" w:rsidR="008F0F08" w:rsidRPr="007D4F79" w:rsidRDefault="008F0F08" w:rsidP="008F0F08">
      <w:pPr>
        <w:pStyle w:val="Call"/>
        <w:rPr>
          <w:lang w:val="fr-FR"/>
        </w:rPr>
      </w:pPr>
      <w:r w:rsidRPr="007D4F79">
        <w:rPr>
          <w:lang w:val="fr-FR"/>
        </w:rPr>
        <w:t>rappelant</w:t>
      </w:r>
    </w:p>
    <w:p w14:paraId="7BA68AF0" w14:textId="77777777" w:rsidR="008F0F08" w:rsidRPr="007D4F79" w:rsidRDefault="008F0F08" w:rsidP="008F0F08">
      <w:pPr>
        <w:rPr>
          <w:lang w:val="fr-FR"/>
        </w:rPr>
      </w:pPr>
      <w:r w:rsidRPr="007D4F79">
        <w:rPr>
          <w:i/>
          <w:iCs/>
          <w:lang w:val="fr-FR"/>
        </w:rPr>
        <w:t>a)</w:t>
      </w:r>
      <w:r w:rsidRPr="007D4F79">
        <w:rPr>
          <w:lang w:val="fr-FR"/>
        </w:rPr>
        <w:tab/>
        <w:t>la Résolution 176 (Rév. Dubaï, 2018) de la Conférence de Plénipotentiaires, intitulée "</w:t>
      </w:r>
      <w:r w:rsidRPr="007D4F79">
        <w:rPr>
          <w:color w:val="000000"/>
          <w:lang w:val="fr-FR"/>
        </w:rPr>
        <w:t>Problèmes de mesure et d'évaluation liés à l'exposition des personnes aux champs électromagnétiques"</w:t>
      </w:r>
      <w:r w:rsidRPr="007D4F79">
        <w:rPr>
          <w:lang w:val="fr-FR"/>
        </w:rPr>
        <w:t>;</w:t>
      </w:r>
    </w:p>
    <w:p w14:paraId="3F2D23E1" w14:textId="77777777" w:rsidR="008F0F08" w:rsidRPr="007D4F79" w:rsidRDefault="008F0F08" w:rsidP="008F0F08">
      <w:pPr>
        <w:rPr>
          <w:lang w:val="fr-FR"/>
        </w:rPr>
      </w:pPr>
      <w:r w:rsidRPr="007D4F79">
        <w:rPr>
          <w:i/>
          <w:iCs/>
          <w:lang w:val="fr-FR"/>
        </w:rPr>
        <w:t>b)</w:t>
      </w:r>
      <w:r w:rsidRPr="007D4F79">
        <w:rPr>
          <w:lang w:val="fr-FR"/>
        </w:rPr>
        <w:tab/>
        <w:t>la Résolution 72 (Rév. Genève, 2022) de l'Assemblée mondiale de normalisation des télécommunications, relative aux problèmes de mesure et d'évaluation liés à l'exposition des personnes aux champs électromagnétiques, par laquelle les Directeurs des trois Bureaux étaient invités à collaborer étroitement entre eux, en vue de mettre en œuvre cette résolution</w:t>
      </w:r>
      <w:r w:rsidRPr="007D4F79">
        <w:rPr>
          <w:color w:val="000000"/>
          <w:lang w:val="fr-FR"/>
        </w:rPr>
        <w:t>, dans les limites des ressources financières disponibles</w:t>
      </w:r>
      <w:r w:rsidRPr="007D4F79">
        <w:rPr>
          <w:lang w:val="fr-FR"/>
        </w:rPr>
        <w:t>, eu égard à son importance pour les pays en développement</w:t>
      </w:r>
      <w:r>
        <w:rPr>
          <w:rStyle w:val="FootnoteReference"/>
          <w:lang w:val="fr-FR"/>
        </w:rPr>
        <w:footnoteReference w:customMarkFollows="1" w:id="1"/>
        <w:t>1</w:t>
      </w:r>
      <w:r w:rsidRPr="007D4F79">
        <w:rPr>
          <w:lang w:val="fr-FR"/>
        </w:rPr>
        <w:t>,</w:t>
      </w:r>
    </w:p>
    <w:p w14:paraId="41C650F8" w14:textId="77777777" w:rsidR="008F0F08" w:rsidRPr="007D4F79" w:rsidRDefault="008F0F08" w:rsidP="008F0F08">
      <w:pPr>
        <w:pStyle w:val="Call"/>
        <w:rPr>
          <w:lang w:val="fr-FR"/>
        </w:rPr>
      </w:pPr>
      <w:r w:rsidRPr="007D4F79">
        <w:rPr>
          <w:lang w:val="fr-FR"/>
        </w:rPr>
        <w:t>considérant</w:t>
      </w:r>
    </w:p>
    <w:p w14:paraId="701D18F3" w14:textId="77777777" w:rsidR="008F0F08" w:rsidRPr="007D4F79" w:rsidRDefault="008F0F08" w:rsidP="008F0F08">
      <w:pPr>
        <w:rPr>
          <w:lang w:val="fr-FR"/>
        </w:rPr>
      </w:pPr>
      <w:r w:rsidRPr="007D4F79">
        <w:rPr>
          <w:lang w:val="fr-FR"/>
        </w:rPr>
        <w:t>que l'Organisation mondiale de la santé (OMS) a diffusé des aide-mémoire sur les champs électromagnétiques en s'appuyant sur les travaux de la Commission internationale de protection contre les rayonnements non ionisants (CIPRNI),</w:t>
      </w:r>
    </w:p>
    <w:p w14:paraId="275320D5" w14:textId="77777777" w:rsidR="008F0F08" w:rsidRPr="007D4F79" w:rsidRDefault="008F0F08" w:rsidP="008F0F08">
      <w:pPr>
        <w:pStyle w:val="Call"/>
        <w:keepNext w:val="0"/>
        <w:keepLines w:val="0"/>
        <w:rPr>
          <w:lang w:val="fr-FR"/>
        </w:rPr>
      </w:pPr>
      <w:r w:rsidRPr="007D4F79">
        <w:rPr>
          <w:lang w:val="fr-FR"/>
        </w:rPr>
        <w:t>reconnaissant</w:t>
      </w:r>
    </w:p>
    <w:p w14:paraId="3B1F5D47" w14:textId="77777777" w:rsidR="008F0F08" w:rsidRPr="007D4F79" w:rsidRDefault="008F0F08" w:rsidP="008F0F08">
      <w:pPr>
        <w:rPr>
          <w:lang w:val="fr-FR"/>
        </w:rPr>
      </w:pPr>
      <w:r w:rsidRPr="007D4F79">
        <w:rPr>
          <w:i/>
          <w:iCs/>
          <w:lang w:val="fr-FR"/>
        </w:rPr>
        <w:t>a)</w:t>
      </w:r>
      <w:r w:rsidRPr="007D4F79">
        <w:rPr>
          <w:lang w:val="fr-FR"/>
        </w:rPr>
        <w:tab/>
        <w:t>que certaines publications et informations concernant les effets des champs électromagnétiques sur la santé sont à l'origine de questions soumises au Secteur de la normalisation des télécommunications de l'UIT (UIT</w:t>
      </w:r>
      <w:r w:rsidRPr="007D4F79">
        <w:rPr>
          <w:lang w:val="fr-FR"/>
        </w:rPr>
        <w:noBreakHyphen/>
        <w:t>T), au Secteur des radiocommunications de l'UIT (UIT-R) et au Secteur du développement des télécommunications de l'UIT (UIT-D), en particulier s'agissant des pays en développement;</w:t>
      </w:r>
    </w:p>
    <w:p w14:paraId="3D4A34BA" w14:textId="77777777" w:rsidR="008F0F08" w:rsidRPr="007D4F79" w:rsidRDefault="008F0F08" w:rsidP="008F0F08">
      <w:pPr>
        <w:rPr>
          <w:lang w:val="fr-FR"/>
        </w:rPr>
      </w:pPr>
      <w:r w:rsidRPr="007D4F79">
        <w:rPr>
          <w:i/>
          <w:iCs/>
          <w:lang w:val="fr-FR"/>
        </w:rPr>
        <w:t>b)</w:t>
      </w:r>
      <w:r w:rsidRPr="007D4F79">
        <w:rPr>
          <w:i/>
          <w:iCs/>
          <w:lang w:val="fr-FR"/>
        </w:rPr>
        <w:tab/>
      </w:r>
      <w:r w:rsidRPr="007D4F79">
        <w:rPr>
          <w:lang w:val="fr-FR"/>
        </w:rPr>
        <w:t>que les effets des champs électromagnétiques produits par les appareils portables sur les personnes n'ont pas retenu suffisamment l'attention du public et que l'utilisation d'un téléphone mobile peut exposer son utilisateur à des champs électromagnétique de niveaux plus importants que ceux émis par une station de base;</w:t>
      </w:r>
    </w:p>
    <w:p w14:paraId="62D5856E" w14:textId="77777777" w:rsidR="008F0F08" w:rsidRDefault="008F0F08" w:rsidP="008F0F08">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346CC034" w14:textId="77777777" w:rsidR="008F0F08" w:rsidRPr="007D4F79" w:rsidRDefault="008F0F08" w:rsidP="008F0F08">
      <w:pPr>
        <w:rPr>
          <w:lang w:val="fr-FR"/>
        </w:rPr>
      </w:pPr>
      <w:r w:rsidRPr="007D4F79">
        <w:rPr>
          <w:i/>
          <w:iCs/>
          <w:lang w:val="fr-FR"/>
        </w:rPr>
        <w:lastRenderedPageBreak/>
        <w:t>c)</w:t>
      </w:r>
      <w:r w:rsidRPr="007D4F79">
        <w:rPr>
          <w:lang w:val="fr-FR"/>
        </w:rPr>
        <w:tab/>
        <w:t xml:space="preserve">que le coût du matériel </w:t>
      </w:r>
      <w:r w:rsidRPr="007D4F79">
        <w:rPr>
          <w:color w:val="000000"/>
          <w:lang w:val="fr-FR"/>
        </w:rPr>
        <w:t xml:space="preserve">de pointe </w:t>
      </w:r>
      <w:r w:rsidRPr="007D4F79">
        <w:rPr>
          <w:lang w:val="fr-FR"/>
        </w:rPr>
        <w:t>utilisé pour la mesure, l'évaluation et le contrôle de l'exposition des personnes aux champs électromagnétiques est très élevé et difficilement abordable pour de nombreux pays en développement;</w:t>
      </w:r>
    </w:p>
    <w:p w14:paraId="4B164C4D" w14:textId="77777777" w:rsidR="008F0F08" w:rsidRPr="007D4F79" w:rsidRDefault="008F0F08" w:rsidP="008F0F08">
      <w:pPr>
        <w:rPr>
          <w:lang w:val="fr-FR"/>
        </w:rPr>
      </w:pPr>
      <w:r w:rsidRPr="007D4F79">
        <w:rPr>
          <w:i/>
          <w:iCs/>
          <w:lang w:val="fr-FR"/>
        </w:rPr>
        <w:t>d)</w:t>
      </w:r>
      <w:r w:rsidRPr="007D4F79">
        <w:rPr>
          <w:lang w:val="fr-FR"/>
        </w:rPr>
        <w:tab/>
        <w:t>que la mise en œuvre de telles mesures est indispensable pour de nombreuses autorités de régulation des pays en développement, afin de contrôler les limites d'exposition des personnes à l'énergie des fréquences radioélectriques, et que ces autorités sont appelées à s'assurer du respect de ces limites avant d'accorder des licences pour différents services;</w:t>
      </w:r>
    </w:p>
    <w:p w14:paraId="317A15C4" w14:textId="77777777" w:rsidR="008F0F08" w:rsidRPr="007D4F79" w:rsidRDefault="008F0F08" w:rsidP="008F0F08">
      <w:pPr>
        <w:rPr>
          <w:lang w:val="fr-FR"/>
        </w:rPr>
      </w:pPr>
      <w:r w:rsidRPr="007D4F79">
        <w:rPr>
          <w:i/>
          <w:iCs/>
          <w:lang w:val="fr-FR"/>
        </w:rPr>
        <w:t>e)</w:t>
      </w:r>
      <w:r w:rsidRPr="007D4F79">
        <w:rPr>
          <w:i/>
          <w:iCs/>
          <w:lang w:val="fr-FR"/>
        </w:rPr>
        <w:tab/>
      </w:r>
      <w:r w:rsidRPr="007D4F79">
        <w:rPr>
          <w:lang w:val="fr-FR"/>
        </w:rPr>
        <w:t>les travaux menés par la Commission d'études 5 de l'UIT-T sur ce sujet au titre de la Question 3/5 (Exposition des personnes aux champs électromagnétiques dus aux technologies numériques), notamment la mise à jour de lignes directrices pratiques et peu coûteuses destinées à aider les pays en développement à traiter efficacement cette question;</w:t>
      </w:r>
    </w:p>
    <w:p w14:paraId="33A1DA58" w14:textId="77777777" w:rsidR="008F0F08" w:rsidRPr="007D4F79" w:rsidRDefault="008F0F08" w:rsidP="008F0F08">
      <w:pPr>
        <w:rPr>
          <w:lang w:val="fr-FR"/>
        </w:rPr>
      </w:pPr>
      <w:r w:rsidRPr="007D4F79">
        <w:rPr>
          <w:i/>
          <w:iCs/>
          <w:lang w:val="fr-FR"/>
        </w:rPr>
        <w:t>f)</w:t>
      </w:r>
      <w:r w:rsidRPr="007D4F79">
        <w:rPr>
          <w:lang w:val="fr-FR"/>
        </w:rPr>
        <w:tab/>
        <w:t>les travaux menés par la Commission d'études 1 de l'UIT-R au titre de la Question 239/1 et le Rapport UIT-R SM.2452, relatifs aux techniques de mesure pour évaluer l'exposition des personnes aux rayonnements produits par les installations hertziennes et la présentation des résultats des mesures;</w:t>
      </w:r>
    </w:p>
    <w:p w14:paraId="63422926" w14:textId="77777777" w:rsidR="008F0F08" w:rsidRPr="007D4F79" w:rsidRDefault="008F0F08" w:rsidP="008F0F08">
      <w:pPr>
        <w:rPr>
          <w:lang w:val="fr-FR"/>
        </w:rPr>
      </w:pPr>
      <w:r w:rsidRPr="007D4F79">
        <w:rPr>
          <w:i/>
          <w:iCs/>
          <w:lang w:val="fr-FR"/>
        </w:rPr>
        <w:t>g)</w:t>
      </w:r>
      <w:r w:rsidRPr="007D4F79">
        <w:rPr>
          <w:i/>
          <w:iCs/>
          <w:lang w:val="fr-FR"/>
        </w:rPr>
        <w:tab/>
      </w:r>
      <w:r w:rsidRPr="007D4F79">
        <w:rPr>
          <w:lang w:val="fr-FR"/>
        </w:rPr>
        <w:t xml:space="preserve">l'élaboration d'un nouveau Guide et </w:t>
      </w:r>
      <w:r w:rsidRPr="007D4F79">
        <w:rPr>
          <w:iCs/>
          <w:lang w:val="fr-FR"/>
        </w:rPr>
        <w:t xml:space="preserve">la création d'une nouvelle application mobile </w:t>
      </w:r>
      <w:r w:rsidRPr="007D4F79">
        <w:rPr>
          <w:lang w:val="fr-FR"/>
        </w:rPr>
        <w:t>sur les champs électromagnétiques,</w:t>
      </w:r>
      <w:r w:rsidRPr="007D4F79">
        <w:rPr>
          <w:iCs/>
          <w:lang w:val="fr-FR"/>
        </w:rPr>
        <w:t xml:space="preserve"> lancés par l'UIT, </w:t>
      </w:r>
      <w:r w:rsidRPr="007D4F79">
        <w:rPr>
          <w:iCs/>
          <w:color w:val="000000"/>
          <w:lang w:val="fr-FR"/>
        </w:rPr>
        <w:t>qui fournissent des informations et des ressources didactiques sur les champs électromagnétiques à l</w:t>
      </w:r>
      <w:r w:rsidRPr="007D4F79">
        <w:rPr>
          <w:iCs/>
          <w:lang w:val="fr-FR"/>
        </w:rPr>
        <w:t>'</w:t>
      </w:r>
      <w:r w:rsidRPr="007D4F79">
        <w:rPr>
          <w:iCs/>
          <w:color w:val="000000"/>
          <w:lang w:val="fr-FR"/>
        </w:rPr>
        <w:t xml:space="preserve">intention de toutes les communautés, toutes les parties prenantes et tous les gouvernements, en particulier dans les </w:t>
      </w:r>
      <w:r w:rsidRPr="007D4F79">
        <w:rPr>
          <w:iCs/>
          <w:lang w:val="fr-FR"/>
        </w:rPr>
        <w:t>pays en développement,</w:t>
      </w:r>
    </w:p>
    <w:p w14:paraId="7C318612" w14:textId="77777777" w:rsidR="008F0F08" w:rsidRPr="007D4F79" w:rsidRDefault="008F0F08" w:rsidP="008F0F08">
      <w:pPr>
        <w:pStyle w:val="Call"/>
        <w:rPr>
          <w:lang w:val="fr-FR"/>
        </w:rPr>
      </w:pPr>
      <w:r w:rsidRPr="007D4F79">
        <w:rPr>
          <w:lang w:val="fr-FR"/>
        </w:rPr>
        <w:t>décide de charger le Directeur du Bureau de développement des télécommunications</w:t>
      </w:r>
    </w:p>
    <w:p w14:paraId="12F156A1" w14:textId="77777777" w:rsidR="008F0F08" w:rsidRPr="007D4F79" w:rsidRDefault="008F0F08" w:rsidP="008F0F08">
      <w:pPr>
        <w:rPr>
          <w:lang w:val="fr-FR"/>
        </w:rPr>
      </w:pPr>
      <w:r w:rsidRPr="007D4F79">
        <w:rPr>
          <w:lang w:val="fr-FR"/>
        </w:rPr>
        <w:t xml:space="preserve">afin de répondre aux besoins des pays en développement et conformément à la teneur de la Résolution 72 (Rév. Genève, 2022), et compte tenu des liens complémentaires avec les travaux en cours à l'UIT-T et l'UIT-R sur </w:t>
      </w:r>
      <w:r w:rsidRPr="007D4F79">
        <w:rPr>
          <w:color w:val="000000"/>
          <w:lang w:val="fr-FR"/>
        </w:rPr>
        <w:t>les champs électromagnétiques</w:t>
      </w:r>
      <w:r w:rsidRPr="007D4F79">
        <w:rPr>
          <w:lang w:val="fr-FR"/>
        </w:rPr>
        <w:t>:</w:t>
      </w:r>
    </w:p>
    <w:p w14:paraId="4F951C27" w14:textId="77777777" w:rsidR="008F0F08" w:rsidRPr="007D4F79" w:rsidRDefault="008F0F08" w:rsidP="008F0F08">
      <w:pPr>
        <w:rPr>
          <w:lang w:val="fr-FR"/>
        </w:rPr>
      </w:pPr>
      <w:r w:rsidRPr="007D4F79">
        <w:rPr>
          <w:lang w:val="fr-FR"/>
        </w:rPr>
        <w:t>1</w:t>
      </w:r>
      <w:r w:rsidRPr="007D4F79">
        <w:rPr>
          <w:lang w:val="fr-FR"/>
        </w:rPr>
        <w:tab/>
        <w:t>d'accorder la priorité nécessaire à cette question et, dans les limites des ressources disponibles, d'allouer les fonds nécessaires pour accélérer la mise en application de la présente Résolution;</w:t>
      </w:r>
    </w:p>
    <w:p w14:paraId="2665F0D1" w14:textId="77777777" w:rsidR="008F0F08" w:rsidRPr="007D4F79" w:rsidRDefault="008F0F08" w:rsidP="008F0F08">
      <w:pPr>
        <w:rPr>
          <w:lang w:val="fr-FR"/>
        </w:rPr>
      </w:pPr>
      <w:r w:rsidRPr="007D4F79">
        <w:rPr>
          <w:lang w:val="fr-FR"/>
        </w:rPr>
        <w:t>2</w:t>
      </w:r>
      <w:r w:rsidRPr="007D4F79">
        <w:rPr>
          <w:lang w:val="fr-FR"/>
        </w:rPr>
        <w:tab/>
        <w:t>d'organiser des séminaires et des ateliers internationaux ou régionaux pour identifier les besoins des pays en développement et renforcer les capacités humaines en ce qui concerne les champs électromagnétiques, notamment le débit d'absorption spécifique (DAS);</w:t>
      </w:r>
    </w:p>
    <w:p w14:paraId="2FD443F0" w14:textId="77777777" w:rsidR="008F0F08" w:rsidRPr="007D4F79" w:rsidRDefault="008F0F08" w:rsidP="008F0F08">
      <w:pPr>
        <w:rPr>
          <w:lang w:val="fr-FR"/>
        </w:rPr>
      </w:pPr>
      <w:r w:rsidRPr="007D4F79">
        <w:rPr>
          <w:lang w:val="fr-FR"/>
        </w:rPr>
        <w:br w:type="page"/>
      </w:r>
    </w:p>
    <w:p w14:paraId="7D3F28FF" w14:textId="77777777" w:rsidR="008F0F08" w:rsidRPr="007D4F79" w:rsidRDefault="008F0F08" w:rsidP="008F0F08">
      <w:pPr>
        <w:rPr>
          <w:lang w:val="fr-FR"/>
        </w:rPr>
      </w:pPr>
      <w:r w:rsidRPr="007D4F79">
        <w:rPr>
          <w:lang w:val="fr-FR"/>
        </w:rPr>
        <w:lastRenderedPageBreak/>
        <w:t>3</w:t>
      </w:r>
      <w:r w:rsidRPr="007D4F79">
        <w:rPr>
          <w:lang w:val="fr-FR"/>
        </w:rPr>
        <w:tab/>
        <w:t>de faire en sorte que les responsables du Produit 2.1 de l'UIT-D figurant dans le Plan stratégique de l'Union pour la période 2020-2023 déterminent les besoins des pays en développement et des autorités de régulation de ces pays (au niveau régional) en ce qui concerne la présente Résolution, contribuent aux études menées sur ce sujet, participent activement aux travaux des commissions d'études concernées de l'UIT-R et de l'UIT-T et soumettent à la Commission d'études 2 de l'UIT-D des contributions écrites sur les résultats des travaux effectués à cet égard, ainsi que toute proposition qu'ils jugeront nécessaire;</w:t>
      </w:r>
    </w:p>
    <w:p w14:paraId="7B14C488" w14:textId="77777777" w:rsidR="008F0F08" w:rsidRPr="007D4F79" w:rsidRDefault="008F0F08" w:rsidP="008F0F08">
      <w:pPr>
        <w:rPr>
          <w:rFonts w:ascii="Calibri" w:hAnsi="Calibri"/>
          <w:lang w:val="fr-FR"/>
        </w:rPr>
      </w:pPr>
      <w:r w:rsidRPr="007D4F79">
        <w:rPr>
          <w:rFonts w:ascii="Calibri" w:hAnsi="Calibri"/>
          <w:lang w:val="fr-FR"/>
        </w:rPr>
        <w:t>4</w:t>
      </w:r>
      <w:r w:rsidRPr="007D4F79">
        <w:rPr>
          <w:lang w:val="fr-FR"/>
        </w:rPr>
        <w:tab/>
      </w:r>
      <w:r w:rsidRPr="007D4F79">
        <w:rPr>
          <w:color w:val="000000"/>
          <w:lang w:val="fr-FR"/>
        </w:rPr>
        <w:t>d'apporter l'assistance nécessaire aux États Membres, en particulier aux pays en développement, en leur fournissant des méthodes de mesure permettant d'évaluer l'exposition des personnes aux champs électromagnétiques, y compris des méthodes pour gérer la perception des risques par le public</w:t>
      </w:r>
      <w:r w:rsidRPr="007D4F79">
        <w:rPr>
          <w:rFonts w:ascii="Calibri" w:hAnsi="Calibri"/>
          <w:lang w:val="fr-FR"/>
        </w:rPr>
        <w:t>;</w:t>
      </w:r>
    </w:p>
    <w:p w14:paraId="66C48605" w14:textId="77777777" w:rsidR="008F0F08" w:rsidRPr="007D4F79" w:rsidRDefault="008F0F08" w:rsidP="008F0F08">
      <w:pPr>
        <w:rPr>
          <w:lang w:val="fr-FR"/>
        </w:rPr>
      </w:pPr>
      <w:r w:rsidRPr="007D4F79">
        <w:rPr>
          <w:lang w:val="fr-FR"/>
        </w:rPr>
        <w:t>5</w:t>
      </w:r>
      <w:r w:rsidRPr="007D4F79">
        <w:rPr>
          <w:lang w:val="fr-FR"/>
        </w:rPr>
        <w:tab/>
        <w:t>d'encourager l'échange de données d'expérience et de bonnes pratiques relatives aux difficultés et aux perspectives liées à l'élaboration de réglementations techniques sur l'adoption de limites pour les niveaux de référence des rayonnements électromagnétiques non ionisants produits par les stations de radiocommunication, ainsi que pour les niveaux de DAS;</w:t>
      </w:r>
    </w:p>
    <w:p w14:paraId="1C566E52" w14:textId="77777777" w:rsidR="008F0F08" w:rsidRPr="007D4F79" w:rsidRDefault="008F0F08" w:rsidP="008F0F08">
      <w:pPr>
        <w:rPr>
          <w:lang w:val="fr-FR"/>
        </w:rPr>
      </w:pPr>
      <w:r w:rsidRPr="007D4F79">
        <w:rPr>
          <w:lang w:val="fr-FR"/>
        </w:rPr>
        <w:t>6</w:t>
      </w:r>
      <w:r w:rsidRPr="007D4F79">
        <w:rPr>
          <w:lang w:val="fr-FR"/>
        </w:rPr>
        <w:tab/>
        <w:t>d'instaurer et de maintenir un dialogue entre toutes les parties intéressées, telles que la société civile, les autorités concernées, le secteur privé, la communauté scientifique, les associations et les médias, afin de fournir un appui pour la mesure de l'exposition des personnes aux champs électromagnétiques, et d'adopter un cadre réglementaire sur les niveaux de référence pour les personnes sur la base des prescriptions techniques élaborées par les organismes internationaux spécialisés dans le domaine de la santé et de la protection des personnes contre les rayonnements non ionisants;</w:t>
      </w:r>
    </w:p>
    <w:p w14:paraId="3AD306F9" w14:textId="77777777" w:rsidR="008F0F08" w:rsidRPr="007D4F79" w:rsidRDefault="008F0F08" w:rsidP="008F0F08">
      <w:pPr>
        <w:rPr>
          <w:lang w:val="fr-FR"/>
        </w:rPr>
      </w:pPr>
      <w:r w:rsidRPr="007D4F79">
        <w:rPr>
          <w:lang w:val="fr-FR"/>
        </w:rPr>
        <w:t>7</w:t>
      </w:r>
      <w:r w:rsidRPr="007D4F79">
        <w:rPr>
          <w:lang w:val="fr-FR"/>
        </w:rPr>
        <w:tab/>
        <w:t xml:space="preserve">de promouvoir le logiciel d'évaluation du niveau des champs électromagnétiques, qui met en œuvre la méthode décrite dans la Recommandation UIT-T K.70, en particulier pour le calcul des niveaux </w:t>
      </w:r>
      <w:r w:rsidRPr="007D4F79">
        <w:rPr>
          <w:color w:val="000000"/>
          <w:lang w:val="fr-FR"/>
        </w:rPr>
        <w:t xml:space="preserve">cumulatifs </w:t>
      </w:r>
      <w:r w:rsidRPr="007D4F79">
        <w:rPr>
          <w:lang w:val="fr-FR"/>
        </w:rPr>
        <w:t>d'exposition aux fréquences radioélectriques à proximité d'antennes d'émission;</w:t>
      </w:r>
    </w:p>
    <w:p w14:paraId="4CBF475D" w14:textId="77777777" w:rsidR="008F0F08" w:rsidRPr="007D4F79" w:rsidRDefault="008F0F08" w:rsidP="008F0F08">
      <w:pPr>
        <w:rPr>
          <w:lang w:val="fr-FR"/>
        </w:rPr>
      </w:pPr>
      <w:r w:rsidRPr="007D4F79">
        <w:rPr>
          <w:lang w:val="fr-FR"/>
        </w:rPr>
        <w:t>8</w:t>
      </w:r>
      <w:r w:rsidRPr="007D4F79">
        <w:rPr>
          <w:lang w:val="fr-FR"/>
        </w:rPr>
        <w:tab/>
        <w:t xml:space="preserve">de mettre en œuvre des projets </w:t>
      </w:r>
      <w:r w:rsidRPr="007D4F79">
        <w:rPr>
          <w:color w:val="000000"/>
          <w:lang w:val="fr-FR"/>
        </w:rPr>
        <w:t>dans le cadre du système de développement des Nations Unies ou des mécanismes financés par des institutions de financement ou des bailleurs de fonds du monde entier, afin de faciliter les mesures des rayonnements non ionisants ainsi que les études et les travaux de recherche dans les pays en développement,</w:t>
      </w:r>
    </w:p>
    <w:p w14:paraId="61218A82" w14:textId="77777777" w:rsidR="008F0F08" w:rsidRPr="007D4F79" w:rsidRDefault="008F0F08" w:rsidP="008F0F08">
      <w:pPr>
        <w:pStyle w:val="Call"/>
        <w:rPr>
          <w:lang w:val="fr-FR"/>
        </w:rPr>
      </w:pPr>
      <w:r w:rsidRPr="007D4F79">
        <w:rPr>
          <w:lang w:val="fr-FR"/>
        </w:rPr>
        <w:br w:type="page"/>
      </w:r>
    </w:p>
    <w:p w14:paraId="5ECB8141" w14:textId="77777777" w:rsidR="008F0F08" w:rsidRPr="007D4F79" w:rsidRDefault="008F0F08" w:rsidP="008F0F08">
      <w:pPr>
        <w:pStyle w:val="Call"/>
        <w:rPr>
          <w:lang w:val="fr-FR"/>
        </w:rPr>
      </w:pPr>
      <w:r w:rsidRPr="007D4F79">
        <w:rPr>
          <w:lang w:val="fr-FR"/>
        </w:rPr>
        <w:lastRenderedPageBreak/>
        <w:t>charge la Commission d'études 2</w:t>
      </w:r>
    </w:p>
    <w:p w14:paraId="402A8742" w14:textId="77777777" w:rsidR="008F0F08" w:rsidRPr="007D4F79" w:rsidRDefault="008F0F08" w:rsidP="008F0F08">
      <w:pPr>
        <w:rPr>
          <w:lang w:val="fr-FR"/>
        </w:rPr>
      </w:pPr>
      <w:r w:rsidRPr="007D4F79">
        <w:rPr>
          <w:lang w:val="fr-FR"/>
        </w:rPr>
        <w:t>au titre de l'étude des Questions qui lui sont confiées, notamment la Question 7/2, de coopérer avec la Commission d'études 5 de l'UIT-T et les Commissions d'études 1, 4, 5 et 6 de l'UIT-R, en vue d'atteindre les objectifs suivants:</w:t>
      </w:r>
    </w:p>
    <w:p w14:paraId="3A93D75A" w14:textId="77777777" w:rsidR="008F0F08" w:rsidRPr="007D4F79" w:rsidRDefault="008F0F08" w:rsidP="008F0F08">
      <w:pPr>
        <w:pStyle w:val="enumlev1"/>
        <w:rPr>
          <w:lang w:val="fr-FR"/>
        </w:rPr>
      </w:pPr>
      <w:r w:rsidRPr="007D4F79">
        <w:rPr>
          <w:lang w:val="fr-FR"/>
        </w:rPr>
        <w:t>i)</w:t>
      </w:r>
      <w:r w:rsidRPr="007D4F79">
        <w:rPr>
          <w:lang w:val="fr-FR"/>
        </w:rPr>
        <w:tab/>
        <w:t>collaborer en priorité avec la Commission d'études 5 de l'UIT-T, en particulier pour mettre à jour le Guide de l'UIT sur les champs électromagnétiques et l'application mobile correspondante, qui portent sur l'exposition des personnes aux champs électromagnétiques</w:t>
      </w:r>
      <w:r w:rsidRPr="007D4F79">
        <w:rPr>
          <w:color w:val="000000"/>
          <w:lang w:val="fr-FR"/>
        </w:rPr>
        <w:t>, ainsi que les orientations relatives à la mise en œuvre du Guide</w:t>
      </w:r>
      <w:r w:rsidRPr="007D4F79">
        <w:rPr>
          <w:lang w:val="fr-FR"/>
        </w:rPr>
        <w:t>;</w:t>
      </w:r>
    </w:p>
    <w:p w14:paraId="54B97282" w14:textId="77777777" w:rsidR="008F0F08" w:rsidRPr="007D4F79" w:rsidRDefault="008F0F08" w:rsidP="008F0F08">
      <w:pPr>
        <w:pStyle w:val="enumlev1"/>
        <w:rPr>
          <w:lang w:val="fr-FR"/>
        </w:rPr>
      </w:pPr>
      <w:r w:rsidRPr="007D4F79">
        <w:rPr>
          <w:lang w:val="fr-FR"/>
        </w:rPr>
        <w:t>ii)</w:t>
      </w:r>
      <w:r w:rsidRPr="007D4F79">
        <w:rPr>
          <w:lang w:val="fr-FR"/>
        </w:rPr>
        <w:tab/>
        <w:t>contribuer à l'organisation de séminaires, d'ateliers et de formations portant sur les champs électromagnétiques;</w:t>
      </w:r>
    </w:p>
    <w:p w14:paraId="696AC4C2" w14:textId="77777777" w:rsidR="008F0F08" w:rsidRPr="007D4F79" w:rsidRDefault="008F0F08" w:rsidP="008F0F08">
      <w:pPr>
        <w:pStyle w:val="enumlev1"/>
        <w:rPr>
          <w:lang w:val="fr-FR"/>
        </w:rPr>
      </w:pPr>
      <w:r w:rsidRPr="007D4F79">
        <w:rPr>
          <w:lang w:val="fr-FR"/>
        </w:rPr>
        <w:t>iii)</w:t>
      </w:r>
      <w:r w:rsidRPr="007D4F79">
        <w:rPr>
          <w:lang w:val="fr-FR"/>
        </w:rPr>
        <w:tab/>
        <w:t>diffuser largement les publications et la documentation de l'UIT sur les questions liées aux champs électromagnétiques, en coopération avec l'UIT-R et l'UIT-T</w:t>
      </w:r>
      <w:r w:rsidRPr="007D4F79">
        <w:rPr>
          <w:rFonts w:eastAsiaTheme="minorHAnsi"/>
          <w:lang w:val="fr-FR"/>
        </w:rPr>
        <w:t>;</w:t>
      </w:r>
    </w:p>
    <w:p w14:paraId="400B3705" w14:textId="77777777" w:rsidR="008F0F08" w:rsidRPr="007D4F79" w:rsidRDefault="008F0F08" w:rsidP="008F0F08">
      <w:pPr>
        <w:pStyle w:val="enumlev1"/>
        <w:rPr>
          <w:lang w:val="fr-FR"/>
        </w:rPr>
      </w:pPr>
      <w:r w:rsidRPr="007D4F79">
        <w:rPr>
          <w:lang w:val="fr-FR"/>
        </w:rPr>
        <w:t>iv)</w:t>
      </w:r>
      <w:r w:rsidRPr="007D4F79">
        <w:rPr>
          <w:lang w:val="fr-FR"/>
        </w:rPr>
        <w:tab/>
        <w:t xml:space="preserve">continuer de coopérer avec l'OMS, </w:t>
      </w:r>
      <w:r w:rsidRPr="007D4F79">
        <w:rPr>
          <w:color w:val="000000"/>
          <w:lang w:val="fr-FR"/>
        </w:rPr>
        <w:t>(l'IPRNI, l'Institute of Electrical and Electronics Engineers (IEEE) et les autres organisations internationales compétentes</w:t>
      </w:r>
      <w:r w:rsidRPr="007D4F79" w:rsidDel="00584E6D">
        <w:rPr>
          <w:color w:val="000000"/>
          <w:lang w:val="fr-FR"/>
        </w:rPr>
        <w:t xml:space="preserve"> </w:t>
      </w:r>
      <w:r w:rsidRPr="007D4F79">
        <w:rPr>
          <w:color w:val="000000"/>
          <w:lang w:val="fr-FR"/>
        </w:rPr>
        <w:t>concernant les directives et les limites relatives à l'exposition des personnes aux champs électromagnétiques, sensibiliser les membres et le public aux questions relatives à l'exposition des personnes aux champs électromagnétiques et leur communiquer des informations à cet égard,</w:t>
      </w:r>
    </w:p>
    <w:p w14:paraId="094A8DEA" w14:textId="77777777" w:rsidR="008F0F08" w:rsidRPr="007D4F79" w:rsidRDefault="008F0F08" w:rsidP="008F0F08">
      <w:pPr>
        <w:pStyle w:val="Call"/>
        <w:rPr>
          <w:lang w:val="fr-FR"/>
        </w:rPr>
      </w:pPr>
      <w:r w:rsidRPr="007D4F79">
        <w:rPr>
          <w:lang w:val="fr-FR"/>
        </w:rPr>
        <w:t>invite les États Membres</w:t>
      </w:r>
    </w:p>
    <w:p w14:paraId="0C330E59" w14:textId="77777777" w:rsidR="008F0F08" w:rsidRPr="007D4F79" w:rsidRDefault="008F0F08" w:rsidP="008F0F08">
      <w:pPr>
        <w:rPr>
          <w:lang w:val="fr-FR"/>
        </w:rPr>
      </w:pPr>
      <w:r w:rsidRPr="007D4F79">
        <w:rPr>
          <w:lang w:val="fr-FR"/>
        </w:rPr>
        <w:t>1</w:t>
      </w:r>
      <w:r w:rsidRPr="007D4F79">
        <w:rPr>
          <w:lang w:val="fr-FR"/>
        </w:rPr>
        <w:tab/>
        <w:t>à procéder à un examen périodique concernant les résultats obtenus par les opérateurs et les fabricants d'appareils mobiles, afin de vérifier qu'ils se conforment aux spécifications nationales ou aux Recommandations de l'UIT, dans le but de garantir une utilisation sûre des champs électromagnétiques;</w:t>
      </w:r>
    </w:p>
    <w:p w14:paraId="1DBA129F" w14:textId="77777777" w:rsidR="008F0F08" w:rsidRPr="007D4F79" w:rsidRDefault="008F0F08" w:rsidP="008F0F08">
      <w:pPr>
        <w:rPr>
          <w:lang w:val="fr-FR"/>
        </w:rPr>
      </w:pPr>
      <w:r w:rsidRPr="007D4F79">
        <w:rPr>
          <w:lang w:val="fr-FR"/>
        </w:rPr>
        <w:t>2</w:t>
      </w:r>
      <w:r w:rsidRPr="007D4F79">
        <w:rPr>
          <w:lang w:val="fr-FR"/>
        </w:rPr>
        <w:tab/>
        <w:t>à mener des campagnes de sensibilisation auprès du public concernant les effets négatifs des champs électromagnétiques et à mettre en place des solutions efficaces, notamment des réglementations;</w:t>
      </w:r>
    </w:p>
    <w:p w14:paraId="066930A3" w14:textId="77777777" w:rsidR="008F0F08" w:rsidRPr="007D4F79" w:rsidRDefault="008F0F08" w:rsidP="008F0F08">
      <w:pPr>
        <w:rPr>
          <w:color w:val="000000"/>
          <w:lang w:val="fr-FR"/>
        </w:rPr>
      </w:pPr>
      <w:r w:rsidRPr="007D4F79">
        <w:rPr>
          <w:lang w:val="fr-FR"/>
        </w:rPr>
        <w:t>3</w:t>
      </w:r>
      <w:r w:rsidRPr="007D4F79">
        <w:rPr>
          <w:lang w:val="fr-FR"/>
        </w:rPr>
        <w:tab/>
        <w:t xml:space="preserve">à </w:t>
      </w:r>
      <w:r w:rsidRPr="007D4F79">
        <w:rPr>
          <w:color w:val="000000"/>
          <w:lang w:val="fr-FR"/>
        </w:rPr>
        <w:t>continuer de coopérer en procédant à des échanges d'experts et en organisant des séminaires, des ateliers spécialisés et des réunions;</w:t>
      </w:r>
    </w:p>
    <w:p w14:paraId="0C7B8CA6" w14:textId="77777777" w:rsidR="008F0F08" w:rsidRPr="007D4F79" w:rsidRDefault="008F0F08" w:rsidP="008F0F08">
      <w:pPr>
        <w:rPr>
          <w:lang w:val="fr-FR"/>
        </w:rPr>
      </w:pPr>
      <w:r w:rsidRPr="007D4F79">
        <w:rPr>
          <w:lang w:val="fr-FR"/>
        </w:rPr>
        <w:t>4</w:t>
      </w:r>
      <w:r w:rsidRPr="007D4F79">
        <w:rPr>
          <w:lang w:val="fr-FR"/>
        </w:rPr>
        <w:tab/>
        <w:t>à adopter des normes internationales pour la mesure et l'évaluation des niveaux des champs électromagnétiques et à utiliser des méthodes efficaces pour vérifier la conformité,</w:t>
      </w:r>
    </w:p>
    <w:p w14:paraId="7ACF6EF4" w14:textId="77777777" w:rsidR="008F0F08" w:rsidRPr="007D4F79" w:rsidRDefault="008F0F08" w:rsidP="008F0F08">
      <w:pPr>
        <w:pStyle w:val="Call"/>
        <w:rPr>
          <w:lang w:val="fr-FR"/>
        </w:rPr>
      </w:pPr>
      <w:r w:rsidRPr="007D4F79">
        <w:rPr>
          <w:lang w:val="fr-FR"/>
        </w:rPr>
        <w:t>encourage les établissements universitaires membres et les centres d'excellence</w:t>
      </w:r>
    </w:p>
    <w:p w14:paraId="02E07EC1" w14:textId="77777777" w:rsidR="008F0F08" w:rsidRDefault="008F0F08" w:rsidP="008F0F08">
      <w:pPr>
        <w:rPr>
          <w:lang w:val="fr-FR"/>
        </w:rPr>
      </w:pPr>
      <w:r w:rsidRPr="007D4F79">
        <w:rPr>
          <w:lang w:val="fr-FR"/>
        </w:rPr>
        <w:t>à participer activement aux travaux menés au titre de la présente Résolution en soumettant des contributions et des propositions.</w:t>
      </w:r>
    </w:p>
    <w:p w14:paraId="50B3D040" w14:textId="77777777" w:rsidR="00F16487" w:rsidRDefault="00F16487"/>
    <w:sectPr w:rsidR="00F16487" w:rsidSect="008F0F08">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1C0E" w14:textId="77777777" w:rsidR="008F0F08" w:rsidRDefault="008F0F08" w:rsidP="008F0F08">
      <w:pPr>
        <w:spacing w:before="0" w:after="0"/>
      </w:pPr>
      <w:r>
        <w:separator/>
      </w:r>
    </w:p>
  </w:endnote>
  <w:endnote w:type="continuationSeparator" w:id="0">
    <w:p w14:paraId="0A3BC2C5" w14:textId="77777777" w:rsidR="008F0F08" w:rsidRDefault="008F0F08" w:rsidP="008F0F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503B" w14:textId="77777777" w:rsidR="008F0F08" w:rsidRDefault="008F0F08" w:rsidP="008F0F08">
      <w:pPr>
        <w:spacing w:before="0" w:after="0"/>
      </w:pPr>
      <w:r>
        <w:separator/>
      </w:r>
    </w:p>
  </w:footnote>
  <w:footnote w:type="continuationSeparator" w:id="0">
    <w:p w14:paraId="356F4891" w14:textId="77777777" w:rsidR="008F0F08" w:rsidRDefault="008F0F08" w:rsidP="008F0F08">
      <w:pPr>
        <w:spacing w:before="0" w:after="0"/>
      </w:pPr>
      <w:r>
        <w:continuationSeparator/>
      </w:r>
    </w:p>
  </w:footnote>
  <w:footnote w:id="1">
    <w:p w14:paraId="796B6C2E" w14:textId="77777777" w:rsidR="008F0F08" w:rsidRPr="00D0749E" w:rsidRDefault="008F0F08" w:rsidP="008F0F08">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5D92C76C" w14:textId="78AAABA3" w:rsidR="008F0F08" w:rsidRPr="008F0F08" w:rsidRDefault="008F0F08" w:rsidP="008F0F08">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 xml:space="preserve">Rapport final de la CMDT-22 – Partie IV – Résolution </w:t>
        </w:r>
        <w:r>
          <w:rPr>
            <w:rFonts w:ascii="Calibri" w:hAnsi="Calibri"/>
            <w:sz w:val="16"/>
            <w:szCs w:val="16"/>
            <w:lang w:val="fr-FR"/>
          </w:rPr>
          <w:t>62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6F3D4AC2" w14:textId="7CC56F70" w:rsidR="008F0F08" w:rsidRPr="007B0FE6" w:rsidRDefault="008F0F08" w:rsidP="008F0F08">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6</w:t>
        </w:r>
        <w:r>
          <w:rPr>
            <w:rFonts w:ascii="Calibri" w:hAnsi="Calibri"/>
            <w:sz w:val="16"/>
            <w:szCs w:val="16"/>
            <w:lang w:val="fr-FR"/>
          </w:rPr>
          <w:t>2</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08"/>
    <w:rsid w:val="00400A99"/>
    <w:rsid w:val="0045258F"/>
    <w:rsid w:val="004A0B3D"/>
    <w:rsid w:val="0051703C"/>
    <w:rsid w:val="005C0E4B"/>
    <w:rsid w:val="007359FB"/>
    <w:rsid w:val="0076311C"/>
    <w:rsid w:val="008630CC"/>
    <w:rsid w:val="008F0F08"/>
    <w:rsid w:val="00950AD1"/>
    <w:rsid w:val="009E6BCE"/>
    <w:rsid w:val="00A0431D"/>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DC2C"/>
  <w15:chartTrackingRefBased/>
  <w15:docId w15:val="{192E4412-E8CC-46B7-AF49-D12B703C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08"/>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8F0F08"/>
    <w:pPr>
      <w:keepNext/>
      <w:keepLines/>
      <w:spacing w:before="160"/>
      <w:ind w:left="1134"/>
    </w:pPr>
    <w:rPr>
      <w:i/>
    </w:rPr>
  </w:style>
  <w:style w:type="paragraph" w:customStyle="1" w:styleId="enumlev1">
    <w:name w:val="enumlev1"/>
    <w:basedOn w:val="Normal"/>
    <w:link w:val="enumlev1Char"/>
    <w:rsid w:val="008F0F08"/>
    <w:pPr>
      <w:tabs>
        <w:tab w:val="clear" w:pos="2268"/>
        <w:tab w:val="left" w:pos="2608"/>
        <w:tab w:val="left" w:pos="3345"/>
      </w:tabs>
      <w:spacing w:before="40"/>
      <w:ind w:left="1134" w:hanging="1134"/>
    </w:pPr>
  </w:style>
  <w:style w:type="character" w:styleId="FootnoteReference">
    <w:name w:val="footnote reference"/>
    <w:basedOn w:val="DefaultParagraphFont"/>
    <w:rsid w:val="008F0F08"/>
    <w:rPr>
      <w:rFonts w:asciiTheme="minorHAnsi" w:hAnsiTheme="minorHAnsi"/>
      <w:position w:val="6"/>
      <w:sz w:val="18"/>
    </w:rPr>
  </w:style>
  <w:style w:type="paragraph" w:styleId="FootnoteText">
    <w:name w:val="footnote text"/>
    <w:basedOn w:val="Normal"/>
    <w:link w:val="FootnoteTextChar"/>
    <w:rsid w:val="008F0F08"/>
    <w:pPr>
      <w:keepLines/>
      <w:tabs>
        <w:tab w:val="left" w:pos="255"/>
      </w:tabs>
    </w:pPr>
    <w:rPr>
      <w:sz w:val="22"/>
    </w:rPr>
  </w:style>
  <w:style w:type="character" w:customStyle="1" w:styleId="FootnoteTextChar">
    <w:name w:val="Footnote Text Char"/>
    <w:basedOn w:val="DefaultParagraphFont"/>
    <w:link w:val="FootnoteText"/>
    <w:rsid w:val="008F0F08"/>
    <w:rPr>
      <w:rFonts w:eastAsia="Times New Roman" w:cs="Times New Roman"/>
      <w:szCs w:val="20"/>
      <w:lang w:val="en-GB"/>
    </w:rPr>
  </w:style>
  <w:style w:type="paragraph" w:customStyle="1" w:styleId="Normalaftertitle">
    <w:name w:val="Normal after title"/>
    <w:basedOn w:val="Normal"/>
    <w:next w:val="Normal"/>
    <w:link w:val="NormalaftertitleChar"/>
    <w:rsid w:val="008F0F08"/>
    <w:pPr>
      <w:spacing w:before="280"/>
    </w:pPr>
  </w:style>
  <w:style w:type="paragraph" w:customStyle="1" w:styleId="ResNo">
    <w:name w:val="Res_No"/>
    <w:basedOn w:val="Normal"/>
    <w:next w:val="Normal"/>
    <w:rsid w:val="008F0F08"/>
    <w:pPr>
      <w:keepNext/>
      <w:keepLines/>
      <w:spacing w:before="480"/>
      <w:jc w:val="center"/>
      <w:outlineLvl w:val="0"/>
    </w:pPr>
    <w:rPr>
      <w:caps/>
      <w:sz w:val="28"/>
    </w:rPr>
  </w:style>
  <w:style w:type="paragraph" w:customStyle="1" w:styleId="Restitle">
    <w:name w:val="Res_title"/>
    <w:basedOn w:val="Normal"/>
    <w:next w:val="Normal"/>
    <w:rsid w:val="008F0F08"/>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8F0F08"/>
    <w:rPr>
      <w:rFonts w:eastAsia="Times New Roman" w:cs="Times New Roman"/>
      <w:sz w:val="24"/>
      <w:szCs w:val="20"/>
      <w:lang w:val="en-GB"/>
    </w:rPr>
  </w:style>
  <w:style w:type="character" w:customStyle="1" w:styleId="enumlev1Char">
    <w:name w:val="enumlev1 Char"/>
    <w:link w:val="enumlev1"/>
    <w:qFormat/>
    <w:locked/>
    <w:rsid w:val="008F0F08"/>
    <w:rPr>
      <w:rFonts w:eastAsia="Times New Roman" w:cs="Times New Roman"/>
      <w:sz w:val="24"/>
      <w:szCs w:val="20"/>
      <w:lang w:val="en-GB"/>
    </w:rPr>
  </w:style>
  <w:style w:type="paragraph" w:styleId="Header">
    <w:name w:val="header"/>
    <w:basedOn w:val="Normal"/>
    <w:link w:val="HeaderChar"/>
    <w:uiPriority w:val="99"/>
    <w:unhideWhenUsed/>
    <w:rsid w:val="008F0F08"/>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8F0F08"/>
    <w:rPr>
      <w:rFonts w:eastAsia="Times New Roman" w:cs="Times New Roman"/>
      <w:sz w:val="24"/>
      <w:szCs w:val="20"/>
      <w:lang w:val="en-GB"/>
    </w:rPr>
  </w:style>
  <w:style w:type="paragraph" w:styleId="Footer">
    <w:name w:val="footer"/>
    <w:basedOn w:val="Normal"/>
    <w:link w:val="FooterChar"/>
    <w:uiPriority w:val="99"/>
    <w:unhideWhenUsed/>
    <w:rsid w:val="008F0F08"/>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8F0F08"/>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2023-10-16T14:27:00Z</dcterms:created>
  <dcterms:modified xsi:type="dcterms:W3CDTF">2023-10-16T14:48:00Z</dcterms:modified>
</cp:coreProperties>
</file>