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7C5F" w14:textId="77777777" w:rsidR="00914CEC" w:rsidRPr="002B2BF7" w:rsidRDefault="00914CEC" w:rsidP="00914CEC">
      <w:pPr>
        <w:pStyle w:val="ResNo"/>
        <w:rPr>
          <w:lang w:val="ru-RU"/>
        </w:rPr>
      </w:pPr>
      <w:bookmarkStart w:id="0" w:name="_Toc116554160"/>
      <w:r w:rsidRPr="002B2BF7">
        <w:rPr>
          <w:lang w:val="ru-RU"/>
        </w:rPr>
        <w:t>РЕЗОЛЮЦИЯ </w:t>
      </w:r>
      <w:r w:rsidRPr="002B2BF7">
        <w:rPr>
          <w:rStyle w:val="href"/>
          <w:lang w:val="ru-RU"/>
        </w:rPr>
        <w:t>21</w:t>
      </w:r>
      <w:r w:rsidRPr="002B2BF7">
        <w:rPr>
          <w:lang w:val="ru-RU"/>
        </w:rPr>
        <w:t xml:space="preserve"> (Пересм. Кигали, 2022 г.)</w:t>
      </w:r>
      <w:bookmarkEnd w:id="0"/>
    </w:p>
    <w:p w14:paraId="60FD007C" w14:textId="77777777" w:rsidR="00914CEC" w:rsidRPr="002B2BF7" w:rsidRDefault="00914CEC" w:rsidP="00914CEC">
      <w:pPr>
        <w:pStyle w:val="Restitle"/>
        <w:rPr>
          <w:lang w:val="ru-RU"/>
        </w:rPr>
      </w:pPr>
      <w:bookmarkStart w:id="1" w:name="_Toc116554161"/>
      <w:r w:rsidRPr="002B2BF7">
        <w:rPr>
          <w:lang w:val="ru-RU"/>
        </w:rPr>
        <w:t>Укрепление координации и сотрудничества с региональными и субрегиональными организациями</w:t>
      </w:r>
      <w:bookmarkEnd w:id="1"/>
    </w:p>
    <w:p w14:paraId="65087130" w14:textId="77777777" w:rsidR="00914CEC" w:rsidRPr="002B2BF7" w:rsidRDefault="00914CEC" w:rsidP="00914CEC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0FEB302F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учитывая</w:t>
      </w:r>
    </w:p>
    <w:p w14:paraId="4CA42436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Резолюцию 37 (Пересм. Кигали, 2022 г.) настоящей Конференции о преодолении цифрового разрыва;</w:t>
      </w:r>
    </w:p>
    <w:p w14:paraId="500DFABE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Резолюцию 25 (Пересм. Дубай, 2018 г.) Полномочной конференции об укреплении регионального присутствия;</w:t>
      </w:r>
    </w:p>
    <w:p w14:paraId="43591DAB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Резолюцию 58 (Пересм. Пусан, 2014 г.) Полномочной конференции об укреплении отношений МСЭ с региональными организациями электросвязи и региональных подготовительных собраниях к Полномочной конференции;</w:t>
      </w:r>
    </w:p>
    <w:p w14:paraId="4CD4105F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Резолюцию 123 (Пересм. Дубай, 2018 г.) Полномочной конференции о преодолении разрыва в стандартизации между развивающимися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 xml:space="preserve"> и развитыми странами;</w:t>
      </w:r>
    </w:p>
    <w:p w14:paraId="7E84F1E3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Резолюцию 139 (Пересм. Дубай, 2018 г.) Полномочной конференции об использовании электросвязи/информационно-коммуникационных технологий (ИКТ) для преодоления цифрового разрыва и построения открытого для всех информационного общества;</w:t>
      </w:r>
    </w:p>
    <w:p w14:paraId="4D408873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Резолюцию 44 (Пересм. Женева, 2022 г.) Всемирной ассамблеи по стандартизации электросвязи (ВАСЭ) о п</w:t>
      </w:r>
      <w:r w:rsidRPr="002B2BF7">
        <w:rPr>
          <w:rFonts w:cstheme="minorHAnsi"/>
          <w:szCs w:val="22"/>
          <w:lang w:val="ru-RU"/>
        </w:rPr>
        <w:t>реодолении разрыва в стандартизации между развивающимися и развитыми странами</w:t>
      </w:r>
      <w:r w:rsidRPr="002B2BF7">
        <w:rPr>
          <w:lang w:val="ru-RU"/>
        </w:rPr>
        <w:t>;</w:t>
      </w:r>
    </w:p>
    <w:p w14:paraId="3FBF8EB3" w14:textId="77777777" w:rsidR="00914CEC" w:rsidRPr="002B2BF7" w:rsidRDefault="00914CEC" w:rsidP="00914CEC">
      <w:pPr>
        <w:rPr>
          <w:rFonts w:cstheme="minorHAnsi"/>
          <w:szCs w:val="22"/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Резолюцию 54 (Пересм. Женева, 2022 г.)</w:t>
      </w:r>
      <w:r w:rsidRPr="002B2BF7">
        <w:rPr>
          <w:rFonts w:cstheme="minorHAnsi"/>
          <w:szCs w:val="22"/>
          <w:lang w:val="ru-RU"/>
        </w:rPr>
        <w:t xml:space="preserve"> ВАСЭ о региональных группах Сектора стандартизации электросвязи МСЭ (МСЭ-Т);</w:t>
      </w:r>
    </w:p>
    <w:p w14:paraId="32D24A96" w14:textId="77777777" w:rsidR="00914CEC" w:rsidRPr="002B2BF7" w:rsidRDefault="00914CEC" w:rsidP="00914CEC">
      <w:pPr>
        <w:rPr>
          <w:rFonts w:cstheme="minorHAnsi"/>
          <w:i/>
          <w:iCs/>
          <w:szCs w:val="22"/>
          <w:lang w:val="ru-RU"/>
        </w:rPr>
      </w:pPr>
      <w:r w:rsidRPr="002B2BF7">
        <w:rPr>
          <w:rFonts w:cstheme="minorHAnsi"/>
          <w:i/>
          <w:iCs/>
          <w:szCs w:val="22"/>
          <w:lang w:val="ru-RU"/>
        </w:rPr>
        <w:t>h)</w:t>
      </w:r>
      <w:r w:rsidRPr="002B2BF7">
        <w:rPr>
          <w:rFonts w:cstheme="minorHAnsi"/>
          <w:i/>
          <w:iCs/>
          <w:szCs w:val="22"/>
          <w:lang w:val="ru-RU"/>
        </w:rPr>
        <w:tab/>
      </w:r>
      <w:r w:rsidRPr="002B2BF7">
        <w:rPr>
          <w:rFonts w:cstheme="minorHAnsi"/>
          <w:caps/>
          <w:szCs w:val="22"/>
          <w:lang w:val="ru-RU"/>
        </w:rPr>
        <w:t>Р</w:t>
      </w:r>
      <w:r w:rsidRPr="002B2BF7">
        <w:rPr>
          <w:rFonts w:cstheme="minorHAnsi"/>
          <w:szCs w:val="22"/>
          <w:lang w:val="ru-RU"/>
        </w:rPr>
        <w:t>екомендацию</w:t>
      </w:r>
      <w:r w:rsidRPr="002B2BF7">
        <w:rPr>
          <w:rFonts w:cstheme="minorHAnsi"/>
          <w:caps/>
          <w:szCs w:val="22"/>
          <w:lang w:val="ru-RU"/>
        </w:rPr>
        <w:t xml:space="preserve"> МСЭ-D 22 </w:t>
      </w:r>
      <w:r w:rsidRPr="002B2BF7">
        <w:rPr>
          <w:rFonts w:cstheme="minorHAnsi"/>
          <w:szCs w:val="22"/>
          <w:lang w:val="ru-RU"/>
        </w:rPr>
        <w:t xml:space="preserve">(Дубай, 2014 г.) </w:t>
      </w:r>
      <w:r w:rsidRPr="002B2BF7">
        <w:rPr>
          <w:lang w:val="ru-RU"/>
        </w:rPr>
        <w:t>Всемирной конференции по развитию электросвязи</w:t>
      </w:r>
      <w:r w:rsidRPr="002B2BF7">
        <w:rPr>
          <w:rFonts w:cstheme="minorHAnsi"/>
          <w:szCs w:val="22"/>
          <w:lang w:val="ru-RU"/>
        </w:rPr>
        <w:t xml:space="preserve"> о преодолении разрыва в стандартизации совместно с региональными группами исследовательских комиссий;</w:t>
      </w:r>
      <w:r w:rsidRPr="002B2BF7">
        <w:rPr>
          <w:rFonts w:cstheme="minorHAnsi"/>
          <w:i/>
          <w:iCs/>
          <w:szCs w:val="22"/>
          <w:lang w:val="ru-RU"/>
        </w:rPr>
        <w:br w:type="page"/>
      </w:r>
    </w:p>
    <w:p w14:paraId="48842300" w14:textId="77777777" w:rsidR="00914CEC" w:rsidRPr="002B2BF7" w:rsidRDefault="00914CEC" w:rsidP="00914CEC">
      <w:pPr>
        <w:rPr>
          <w:rFonts w:cstheme="minorHAnsi"/>
          <w:szCs w:val="22"/>
          <w:lang w:val="ru-RU"/>
        </w:rPr>
      </w:pPr>
      <w:r w:rsidRPr="002B2BF7">
        <w:rPr>
          <w:rFonts w:cstheme="minorHAnsi"/>
          <w:i/>
          <w:iCs/>
          <w:szCs w:val="22"/>
          <w:lang w:val="ru-RU"/>
        </w:rPr>
        <w:lastRenderedPageBreak/>
        <w:t>i)</w:t>
      </w:r>
      <w:r w:rsidRPr="002B2BF7">
        <w:rPr>
          <w:rFonts w:cstheme="minorHAnsi"/>
          <w:i/>
          <w:iCs/>
          <w:szCs w:val="22"/>
          <w:lang w:val="ru-RU"/>
        </w:rPr>
        <w:tab/>
      </w:r>
      <w:r w:rsidRPr="002B2BF7">
        <w:rPr>
          <w:rFonts w:cstheme="minorHAnsi"/>
          <w:szCs w:val="22"/>
          <w:lang w:val="ru-RU"/>
        </w:rPr>
        <w:t>Резолюцию 72 (Пересм. ВКР-19) Всемирной конференции радиосвязи (ВКР) о подготовке на всемирном и региональном уровнях к ВКР;</w:t>
      </w:r>
    </w:p>
    <w:p w14:paraId="103F8DEC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j)</w:t>
      </w:r>
      <w:r w:rsidRPr="002B2BF7">
        <w:rPr>
          <w:lang w:val="ru-RU"/>
        </w:rPr>
        <w:tab/>
        <w:t>положения пп. 26 и 27 Женевского плана действий Всемирной встречи на высшем уровне по вопросам информационного общества (ВВУИО);</w:t>
      </w:r>
    </w:p>
    <w:p w14:paraId="71343ED1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k)</w:t>
      </w:r>
      <w:r w:rsidRPr="002B2BF7">
        <w:rPr>
          <w:lang w:val="ru-RU"/>
        </w:rPr>
        <w:tab/>
        <w:t>основные принципы Женевской декларации принципов ВВУИО в пп. 60, 61, 62, 63 и 64;</w:t>
      </w:r>
    </w:p>
    <w:p w14:paraId="7C5ADEF1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l)</w:t>
      </w:r>
      <w:r w:rsidRPr="002B2BF7">
        <w:rPr>
          <w:lang w:val="ru-RU"/>
        </w:rPr>
        <w:tab/>
        <w:t>положения пп. 23 с), 27 с), 80, 87, 89, 96, 97 и 101 Тунисской программы для информационного общества ВВУИО;</w:t>
      </w:r>
    </w:p>
    <w:p w14:paraId="4527D00B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m)</w:t>
      </w:r>
      <w:r w:rsidRPr="002B2BF7">
        <w:rPr>
          <w:lang w:val="ru-RU"/>
        </w:rPr>
        <w:tab/>
      </w:r>
      <w:r w:rsidRPr="002B2BF7">
        <w:rPr>
          <w:rFonts w:cstheme="minorHAnsi"/>
          <w:lang w:val="ru-RU"/>
        </w:rPr>
        <w:t>резолюцию 70/1 Генеральной Ассамблеи Организации Объединенных Наций (ГА ООН) о преобразовании нашего мира: Повестка дня в области устойчивого развития на период до 2030 года;</w:t>
      </w:r>
    </w:p>
    <w:p w14:paraId="2364FFA7" w14:textId="77777777" w:rsidR="00914CEC" w:rsidRPr="002B2BF7" w:rsidRDefault="00914CEC" w:rsidP="00914CEC">
      <w:pPr>
        <w:rPr>
          <w:rFonts w:cstheme="minorHAnsi"/>
          <w:lang w:val="ru-RU"/>
        </w:rPr>
      </w:pPr>
      <w:r w:rsidRPr="002B2BF7">
        <w:rPr>
          <w:i/>
          <w:iCs/>
          <w:lang w:val="ru-RU"/>
        </w:rPr>
        <w:t>n)</w:t>
      </w:r>
      <w:r w:rsidRPr="002B2BF7">
        <w:rPr>
          <w:lang w:val="ru-RU"/>
        </w:rPr>
        <w:tab/>
      </w:r>
      <w:r w:rsidRPr="002B2BF7">
        <w:rPr>
          <w:rFonts w:cstheme="minorHAnsi"/>
          <w:lang w:val="ru-RU"/>
        </w:rPr>
        <w:t>резолюцию 70/125 ГА ООН об итоговом документе совещания высокого уровня Генеральной Ассамблеи ООН, посвященного общему обзору хода осуществления решений ВВУИО,</w:t>
      </w:r>
    </w:p>
    <w:p w14:paraId="74B07258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сознавая</w:t>
      </w:r>
      <w:r w:rsidRPr="002B2BF7">
        <w:rPr>
          <w:i w:val="0"/>
          <w:lang w:val="ru-RU"/>
        </w:rPr>
        <w:t>,</w:t>
      </w:r>
    </w:p>
    <w:p w14:paraId="301FA184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роль региональных и субрегиональных организаций продолжает возрастать с учетом изменений, произошедших за последние годы;</w:t>
      </w:r>
    </w:p>
    <w:p w14:paraId="48840F0F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региональные организации являются важными органами, и поэтому координация с ними должна осуществляться с целью оказания содействия координации и сотрудничеству в реализации региональных проектов;</w:t>
      </w:r>
    </w:p>
    <w:p w14:paraId="0D427E94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отношения между региональными и зональными отделениями МСЭ и региональными организациями электросвязи оказались весьма полезными;</w:t>
      </w:r>
    </w:p>
    <w:p w14:paraId="4AFEBC39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собрания региональных групп исследовательских комиссий МСЭ проводятся МСЭ и могут быть поддержаны региональными организациями и/или региональными органами по стандартизации;</w:t>
      </w:r>
    </w:p>
    <w:p w14:paraId="2987A2FC" w14:textId="77777777" w:rsidR="00914CEC" w:rsidRPr="002B2BF7" w:rsidRDefault="00914CEC" w:rsidP="00914CEC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деятельность региональных групп приобретает большее значение и охватывает все больше вопросов, имеющих важное значение для развивающихся стран;</w:t>
      </w:r>
      <w:r w:rsidRPr="002B2BF7">
        <w:rPr>
          <w:i/>
          <w:iCs/>
          <w:lang w:val="ru-RU"/>
        </w:rPr>
        <w:br w:type="page"/>
      </w:r>
    </w:p>
    <w:p w14:paraId="538473F0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f)</w:t>
      </w:r>
      <w:r w:rsidRPr="002B2BF7">
        <w:rPr>
          <w:lang w:val="ru-RU"/>
        </w:rPr>
        <w:tab/>
        <w:t xml:space="preserve">что необходимо наметить пути и средства повышения роли МСЭ в целом и Сектора развития электросвязи МСЭ (МСЭ-D) в частности при достижении целей ВВУИО и выполнения </w:t>
      </w:r>
      <w:r w:rsidRPr="002B2BF7">
        <w:rPr>
          <w:rFonts w:cstheme="minorHAnsi"/>
          <w:lang w:val="ru-RU"/>
        </w:rPr>
        <w:t>Повестки дня в области устойчивого развития на период до 2030 года</w:t>
      </w:r>
      <w:r w:rsidRPr="002B2BF7">
        <w:rPr>
          <w:lang w:val="ru-RU"/>
        </w:rPr>
        <w:t xml:space="preserve"> в отношении развития электросвязи/ИКТ на глобальном, региональном и национальном уровнях в тесном сотрудничестве с другими международными и региональными организациями и соответствующими органами гражданского общества;</w:t>
      </w:r>
    </w:p>
    <w:p w14:paraId="1B60A897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необходимо использовать любую возможность, для того чтобы предоставить экспертам из развивающихся стран дополнительные возможности приобретения опыта посредством участия в региональных и субрегиональных встречах, касающихся работы 1-й и 2</w:t>
      </w:r>
      <w:r w:rsidRPr="002B2BF7">
        <w:rPr>
          <w:lang w:val="ru-RU"/>
        </w:rPr>
        <w:noBreakHyphen/>
        <w:t>й Исследовательских комиссий МСЭ-</w:t>
      </w:r>
      <w:r w:rsidRPr="002B2BF7">
        <w:rPr>
          <w:lang w:val="ru-RU" w:bidi="ar-EG"/>
        </w:rPr>
        <w:t>D</w:t>
      </w:r>
      <w:r w:rsidRPr="002B2BF7">
        <w:rPr>
          <w:lang w:val="ru-RU"/>
        </w:rPr>
        <w:t>,</w:t>
      </w:r>
    </w:p>
    <w:p w14:paraId="663059A2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67EB7F34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развивающиеся страны находятся на разных стадиях развития;</w:t>
      </w:r>
    </w:p>
    <w:p w14:paraId="507BE88C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в связи с этим имеется потребность в обмене мнениями о развитии электросвязи на региональном уровне;</w:t>
      </w:r>
    </w:p>
    <w:p w14:paraId="3C9529F6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трудность, которую представляет для некоторых стран в некоторых регионах, участие в деятельности МСЭ-D, МСЭ-Т и Сектора радиосвязи (МСЭ-R);</w:t>
      </w:r>
    </w:p>
    <w:p w14:paraId="417799CF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общий и скоординированный подход в рамках МСЭ к изучению вопросов развития и стандартизации электросвязи/ИКТ мог бы содействовать популяризации деятельности в области стандартизации в развивающихся странах;</w:t>
      </w:r>
    </w:p>
    <w:p w14:paraId="24547311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что, в соответствии с вышеупомянутыми Резолюциями 44 и 54 (Пересм. Женева, 2022 г.), региональные группы докладчиков могут обеспечить некоторым странам более широкое участие, при меньших затратах, для рассмотрения некоторых вопросов;</w:t>
      </w:r>
    </w:p>
    <w:p w14:paraId="56CF16FC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многие из этих стран эффективно используют возможности региональных и субрегиональных организаций;</w:t>
      </w:r>
    </w:p>
    <w:p w14:paraId="61B1AA25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рег</w:t>
      </w:r>
      <w:r w:rsidRPr="002B2BF7">
        <w:rPr>
          <w:szCs w:val="22"/>
          <w:lang w:val="ru-RU"/>
        </w:rPr>
        <w:t>ио</w:t>
      </w:r>
      <w:r w:rsidRPr="002B2BF7">
        <w:rPr>
          <w:lang w:val="ru-RU"/>
        </w:rPr>
        <w:t>нальные и субрегиональные собрания предоставляют хорошую возможность для обмена информацией и приобретения управленческого и технического опыта и знаний;</w:t>
      </w:r>
    </w:p>
    <w:p w14:paraId="77D93D28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h)</w:t>
      </w:r>
      <w:r w:rsidRPr="002B2BF7">
        <w:rPr>
          <w:lang w:val="ru-RU"/>
        </w:rPr>
        <w:tab/>
        <w:t>что в этом отношении необходимо сотрудничать с МСЭ-Т при выполнении Резолюций 44 и 54 (Пересм. Женева, 2022 г.);</w:t>
      </w:r>
    </w:p>
    <w:p w14:paraId="640C2110" w14:textId="77777777" w:rsidR="00914CEC" w:rsidRPr="002B2BF7" w:rsidRDefault="00914CEC" w:rsidP="00914CEC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i)</w:t>
      </w:r>
      <w:r w:rsidRPr="002B2BF7">
        <w:rPr>
          <w:lang w:val="ru-RU"/>
        </w:rPr>
        <w:tab/>
        <w:t>что предлагается в будущем проводить собрания региональных групп и подгрупп исследовательских комиссий МСЭ, организуемые в координации с региональными и зональными отделениями МСЭ, в виртуальном формате или очном формате с дистанционным участием;</w:t>
      </w:r>
      <w:r w:rsidRPr="002B2BF7">
        <w:rPr>
          <w:i/>
          <w:iCs/>
          <w:lang w:val="ru-RU"/>
        </w:rPr>
        <w:br w:type="page"/>
      </w:r>
    </w:p>
    <w:p w14:paraId="405D54A1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j)</w:t>
      </w:r>
      <w:r w:rsidRPr="002B2BF7">
        <w:rPr>
          <w:lang w:val="ru-RU"/>
        </w:rPr>
        <w:tab/>
        <w:t>что расширяется участие региональных и зональных отделений в работе и деятельности не только МСЭ-</w:t>
      </w:r>
      <w:r w:rsidRPr="002B2BF7">
        <w:rPr>
          <w:lang w:val="en-US"/>
        </w:rPr>
        <w:t>D</w:t>
      </w:r>
      <w:r w:rsidRPr="002B2BF7">
        <w:rPr>
          <w:lang w:val="ru-RU"/>
        </w:rPr>
        <w:t>, но и МСЭ-Т и МСЭ-</w:t>
      </w:r>
      <w:r w:rsidRPr="002B2BF7">
        <w:rPr>
          <w:lang w:val="en-US"/>
        </w:rPr>
        <w:t>R</w:t>
      </w:r>
      <w:r w:rsidRPr="002B2BF7">
        <w:rPr>
          <w:lang w:val="ru-RU"/>
        </w:rPr>
        <w:t>;</w:t>
      </w:r>
    </w:p>
    <w:p w14:paraId="57847AF4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k)</w:t>
      </w:r>
      <w:r w:rsidRPr="002B2BF7">
        <w:rPr>
          <w:lang w:val="ru-RU"/>
        </w:rPr>
        <w:tab/>
        <w:t>Статью 43 Устава МСЭ (п. 194), в которой указано, что "Государства-Члены сохраняют за собой право созывать региональные конференции, заключать региональные соглашения и создавать региональные организации с целью урегулирования вопросов электросвязи, которые могут быть решены на региональной основе. Такие соглашения не должны противоречить ни настоящему Уставу, ни Конвенции",</w:t>
      </w:r>
    </w:p>
    <w:p w14:paraId="106DD403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606B23BF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о возможности создания региональных групп для изучения вопросов или трудностей, которые в силу их специфического характера желательно изучать в рамках одного или нескольких регионов МСЭ;</w:t>
      </w:r>
    </w:p>
    <w:p w14:paraId="09473A1F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о региональных инициативах в целях:</w:t>
      </w:r>
    </w:p>
    <w:p w14:paraId="0C8D61AD" w14:textId="77777777" w:rsidR="00914CEC" w:rsidRPr="002B2BF7" w:rsidRDefault="00914CEC" w:rsidP="00914CEC">
      <w:pPr>
        <w:pStyle w:val="enumlev1"/>
        <w:rPr>
          <w:lang w:val="ru-RU"/>
        </w:rPr>
      </w:pPr>
      <w:r w:rsidRPr="002B2BF7">
        <w:rPr>
          <w:lang w:val="ru-RU"/>
        </w:rPr>
        <w:t>i)</w:t>
      </w:r>
      <w:r w:rsidRPr="002B2BF7">
        <w:rPr>
          <w:lang w:val="ru-RU"/>
        </w:rPr>
        <w:tab/>
        <w:t>осуществления проектов технического сотрудничества и оказания прямой помощи другим регионам;</w:t>
      </w:r>
    </w:p>
    <w:p w14:paraId="26E8D5FB" w14:textId="77777777" w:rsidR="00914CEC" w:rsidRPr="002B2BF7" w:rsidRDefault="00914CEC" w:rsidP="00914CEC">
      <w:pPr>
        <w:pStyle w:val="enumlev1"/>
        <w:rPr>
          <w:lang w:val="ru-RU"/>
        </w:rPr>
      </w:pPr>
      <w:r w:rsidRPr="002B2BF7">
        <w:rPr>
          <w:lang w:val="ru-RU"/>
        </w:rPr>
        <w:t>ii)</w:t>
      </w:r>
      <w:r w:rsidRPr="002B2BF7">
        <w:rPr>
          <w:lang w:val="ru-RU"/>
        </w:rPr>
        <w:tab/>
        <w:t>сотрудничества при осуществлении региональных инициатив с региональными и международными организациями, участвующими в развитии электросвязи/ИКТ;</w:t>
      </w:r>
    </w:p>
    <w:p w14:paraId="4D65D77F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о необходимости создания надлежащего механизма для объединения усилий с органами, упомянутыми в Резолюциях 44 и 54 (Пересм. Женева, 2022 г.);</w:t>
      </w:r>
    </w:p>
    <w:p w14:paraId="570910C1" w14:textId="77777777" w:rsidR="00914CEC" w:rsidRPr="002B2BF7" w:rsidRDefault="00914CEC" w:rsidP="00914CEC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о бюджетных ограничениях региональных и зональных отделений и необходимости оказания им поддержки в форме финансовых и людских ресурсов,</w:t>
      </w:r>
    </w:p>
    <w:p w14:paraId="11D4B25A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решает</w:t>
      </w:r>
    </w:p>
    <w:p w14:paraId="27CAF24D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продолжать поддерживать идею создания региональных групп для изучения вопросов или трудностей, касающихся того или иного конкретного региона;</w:t>
      </w:r>
    </w:p>
    <w:p w14:paraId="2FBE3204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поощрять сотрудничество региональных и зональных отделений МСЭ с соответствующими региональными группами, Членами Секторов МСЭ, Ассоциированными членами и Академическими организациями, а также региональными организациями электросвязи и региональными организациями по стандартизации в отношении вопросов, представляющих взаимный интерес;</w:t>
      </w:r>
    </w:p>
    <w:p w14:paraId="2E918637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что МСЭ-D следует продолжать осуществлять координацию, сотрудничество и организовывать совместные виды деятельности в областях, представляющих взаимный интерес, совместно с региональными и субрегиональными организациями и учреждениями профессиональной подготовки и принимать во внимание их виды деятельности;</w:t>
      </w:r>
      <w:r w:rsidRPr="002B2BF7">
        <w:rPr>
          <w:lang w:val="ru-RU"/>
        </w:rPr>
        <w:br w:type="page"/>
      </w:r>
    </w:p>
    <w:p w14:paraId="1FD6BFC1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lastRenderedPageBreak/>
        <w:t>4</w:t>
      </w:r>
      <w:r w:rsidRPr="002B2BF7">
        <w:rPr>
          <w:lang w:val="ru-RU"/>
        </w:rPr>
        <w:tab/>
        <w:t>что результаты деятельности региональных групп должны направляться для использования, в соответствующих случаях, в МСЭ-D,</w:t>
      </w:r>
    </w:p>
    <w:p w14:paraId="0C870571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</w:t>
      </w:r>
    </w:p>
    <w:p w14:paraId="32E8679D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принять необходимые меры для обеспечения в случае надобности координации деятельности с региональными и субрегиональными организациями электросвязи</w:t>
      </w:r>
      <w:r w:rsidRPr="002B2BF7">
        <w:rPr>
          <w:szCs w:val="22"/>
          <w:lang w:val="ru-RU"/>
        </w:rPr>
        <w:t>,</w:t>
      </w:r>
      <w:r w:rsidRPr="002B2BF7">
        <w:rPr>
          <w:lang w:val="ru-RU"/>
        </w:rPr>
        <w:t xml:space="preserve"> региональными организациями по стандартизации;</w:t>
      </w:r>
    </w:p>
    <w:p w14:paraId="18DBC848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осуществлять необходимые процедуры по обеспечению эффективного взаимодействия между региональными группами, созданными в соответствии с Резолюциями 44 и 54 (Пересм. Женева, 2022 г.), и исследовательскими комиссиями МСЭ-Т и МСЭ-D, в особенности по взаимодополняющим исследуемым вопросам;</w:t>
      </w:r>
    </w:p>
    <w:p w14:paraId="429F2841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изучать способы укрепления ресурсов региональных и зональных отделений для реализации региональных инициатив в течение исследовательского периода, насколько это практически возможно в пределах бюджетных ресурсов;</w:t>
      </w:r>
    </w:p>
    <w:p w14:paraId="6ED824FF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прилагать все усилия, для того чтобы региональные и зональные отделения оказывали поддержку и содействовали реализации национальных инициатив Государств-Членов,</w:t>
      </w:r>
    </w:p>
    <w:p w14:paraId="75102D3D" w14:textId="77777777" w:rsidR="00914CEC" w:rsidRPr="002B2BF7" w:rsidRDefault="00914CEC" w:rsidP="00914CEC">
      <w:pPr>
        <w:pStyle w:val="Call"/>
        <w:rPr>
          <w:lang w:val="ru-RU"/>
        </w:rPr>
      </w:pPr>
      <w:r w:rsidRPr="002B2BF7">
        <w:rPr>
          <w:lang w:val="ru-RU"/>
        </w:rPr>
        <w:t>поручает Директору Бюро развития электросвязи в сотрудничестве с Директорами Бюро радиосвязи и Бюро стандартизации электросвязи</w:t>
      </w:r>
    </w:p>
    <w:p w14:paraId="08A47EDD" w14:textId="77777777" w:rsidR="00914CEC" w:rsidRPr="002B2BF7" w:rsidRDefault="00914CEC" w:rsidP="00914CEC">
      <w:pPr>
        <w:snapToGrid w:val="0"/>
        <w:rPr>
          <w:lang w:val="ru-RU"/>
        </w:rPr>
      </w:pPr>
      <w:r w:rsidRPr="002B2BF7">
        <w:rPr>
          <w:lang w:val="ru-RU"/>
        </w:rPr>
        <w:t>в рамках распределенных ресурсов или ресурсов, полученных в виде вкладов,</w:t>
      </w:r>
    </w:p>
    <w:p w14:paraId="29A3A7F2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оказывать всю необходимую поддержку для создания региональных групп и обеспечения их бесперебойного функционирования;</w:t>
      </w:r>
    </w:p>
    <w:p w14:paraId="066EC995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рассмотреть вопрос о проведении, по мере возможности, конференций и семинаров-практикумов одновременно с собраниями региональных групп МСЭ-Т в соответствующих регионах, и, наоборот, проведение собраний региональных групп одновременно с конференциями и семинарами-практикумами;</w:t>
      </w:r>
    </w:p>
    <w:p w14:paraId="6338045C" w14:textId="77777777" w:rsidR="00914CEC" w:rsidRPr="002B2BF7" w:rsidRDefault="00914CEC" w:rsidP="00914CEC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принимать все необходимые меры для содействия организации собраний и конференций/семинаров-практикумов региональных групп,</w:t>
      </w:r>
    </w:p>
    <w:p w14:paraId="770C3634" w14:textId="77777777" w:rsidR="00914CEC" w:rsidRPr="002B2BF7" w:rsidRDefault="00914CEC" w:rsidP="00914CEC">
      <w:pPr>
        <w:pStyle w:val="Call"/>
        <w:rPr>
          <w:rFonts w:eastAsia="TimesNewRoman"/>
          <w:lang w:val="ru-RU" w:eastAsia="zh-CN"/>
        </w:rPr>
      </w:pPr>
      <w:r w:rsidRPr="002B2BF7">
        <w:rPr>
          <w:rFonts w:eastAsia="TimesNewRoman"/>
          <w:lang w:val="ru-RU" w:eastAsia="zh-CN"/>
        </w:rPr>
        <w:t>предлагает Государствам-Членам</w:t>
      </w:r>
    </w:p>
    <w:p w14:paraId="2A88619A" w14:textId="77777777" w:rsidR="00914CEC" w:rsidRPr="002B2BF7" w:rsidRDefault="00914CEC" w:rsidP="00914CEC">
      <w:pPr>
        <w:rPr>
          <w:rFonts w:eastAsia="TimesNewRoman"/>
          <w:lang w:val="ru-RU" w:eastAsia="zh-CN"/>
        </w:rPr>
      </w:pPr>
      <w:r w:rsidRPr="002B2BF7">
        <w:rPr>
          <w:rFonts w:eastAsia="TimesNewRoman"/>
          <w:lang w:val="ru-RU" w:eastAsia="zh-CN"/>
        </w:rPr>
        <w:t>прилагать усилия к выполнению настоящей Резолюции и предлагать инновационные идеи по получению доходов.</w:t>
      </w:r>
    </w:p>
    <w:p w14:paraId="2234F2FF" w14:textId="7BBF1AE9" w:rsidR="00976299" w:rsidRPr="00914CEC" w:rsidRDefault="00976299" w:rsidP="00914CEC">
      <w:pPr>
        <w:rPr>
          <w:lang w:val="ru-RU"/>
        </w:rPr>
      </w:pPr>
    </w:p>
    <w:sectPr w:rsidR="00976299" w:rsidRPr="00914CEC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4D151C66" w14:textId="77777777" w:rsidR="00914CEC" w:rsidRPr="00FE2866" w:rsidRDefault="00914CEC" w:rsidP="00914C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4CFFA0EF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914CEC">
          <w:rPr>
            <w:noProof/>
            <w:szCs w:val="22"/>
          </w:rPr>
          <w:t>21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556B6416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914CEC">
      <w:rPr>
        <w:noProof/>
        <w:szCs w:val="22"/>
      </w:rPr>
      <w:t>21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637AD"/>
    <w:rsid w:val="000D1BE4"/>
    <w:rsid w:val="000F689C"/>
    <w:rsid w:val="00204E9F"/>
    <w:rsid w:val="003E584B"/>
    <w:rsid w:val="00595A93"/>
    <w:rsid w:val="006A35C7"/>
    <w:rsid w:val="00914CEC"/>
    <w:rsid w:val="009374F3"/>
    <w:rsid w:val="00976299"/>
    <w:rsid w:val="00DD3985"/>
    <w:rsid w:val="00E45F09"/>
    <w:rsid w:val="00F063A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5C7"/>
    <w:pPr>
      <w:keepNext/>
      <w:keepLines/>
      <w:spacing w:before="240"/>
      <w:ind w:left="1134" w:hanging="113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6A35C7"/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9762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204E9F"/>
    <w:pPr>
      <w:spacing w:before="240" w:after="280"/>
      <w:jc w:val="center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paragraph" w:customStyle="1" w:styleId="enumlev1">
    <w:name w:val="enumlev1"/>
    <w:basedOn w:val="Normal"/>
    <w:link w:val="enumlev1Char"/>
    <w:rsid w:val="009762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976299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rsid w:val="009762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762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76299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Tabletext">
    <w:name w:val="Table_text"/>
    <w:basedOn w:val="Normal"/>
    <w:link w:val="TabletextChar"/>
    <w:rsid w:val="009762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Headingb">
    <w:name w:val="Heading_b"/>
    <w:basedOn w:val="Normal"/>
    <w:next w:val="Normal"/>
    <w:link w:val="HeadingbChar"/>
    <w:qFormat/>
    <w:rsid w:val="00976299"/>
    <w:pPr>
      <w:keepNext/>
      <w:spacing w:before="160"/>
    </w:pPr>
    <w:rPr>
      <w:rFonts w:cs="Times New Roman Bold"/>
      <w:b/>
      <w:lang w:val="fr-CH"/>
    </w:rPr>
  </w:style>
  <w:style w:type="character" w:customStyle="1" w:styleId="HeadingbChar">
    <w:name w:val="Heading_b Char"/>
    <w:basedOn w:val="DefaultParagraphFont"/>
    <w:link w:val="Headingb"/>
    <w:locked/>
    <w:rsid w:val="00976299"/>
    <w:rPr>
      <w:rFonts w:ascii="Calibri" w:eastAsia="Times New Roman" w:hAnsi="Calibri" w:cs="Times New Roman Bold"/>
      <w:b/>
      <w:kern w:val="0"/>
      <w:sz w:val="24"/>
      <w:szCs w:val="20"/>
      <w:lang w:val="fr-CH"/>
      <w14:ligatures w14:val="none"/>
    </w:rPr>
  </w:style>
  <w:style w:type="character" w:styleId="Hyperlink">
    <w:name w:val="Hyperlink"/>
    <w:rsid w:val="00976299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7629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nnexNoChar">
    <w:name w:val="Annex_No Char"/>
    <w:basedOn w:val="DefaultParagraphFont"/>
    <w:link w:val="AnnexNo"/>
    <w:rsid w:val="00976299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9</cp:revision>
  <dcterms:created xsi:type="dcterms:W3CDTF">2023-10-16T12:49:00Z</dcterms:created>
  <dcterms:modified xsi:type="dcterms:W3CDTF">2023-10-16T14:41:00Z</dcterms:modified>
</cp:coreProperties>
</file>