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B2B" w14:textId="77777777" w:rsidR="009D187D" w:rsidRPr="00E17456" w:rsidRDefault="009D187D" w:rsidP="009D187D">
      <w:pPr>
        <w:pStyle w:val="ResNo"/>
        <w:rPr>
          <w:lang w:val="es-ES_tradnl"/>
        </w:rPr>
      </w:pPr>
      <w:bookmarkStart w:id="0" w:name="_Toc116916963"/>
      <w:bookmarkStart w:id="1" w:name="_Toc116918532"/>
      <w:bookmarkStart w:id="2" w:name="_Toc116919023"/>
      <w:bookmarkStart w:id="3" w:name="_Toc116919510"/>
      <w:r w:rsidRPr="00E17456">
        <w:rPr>
          <w:lang w:val="es-ES_tradnl"/>
        </w:rPr>
        <w:t xml:space="preserve">RESOLUCIÓN </w:t>
      </w:r>
      <w:r w:rsidRPr="00E17456">
        <w:rPr>
          <w:rStyle w:val="href"/>
          <w:lang w:val="es-ES_tradnl"/>
        </w:rPr>
        <w:t>15</w:t>
      </w:r>
      <w:r w:rsidRPr="00E17456">
        <w:rPr>
          <w:lang w:val="es-ES_tradnl"/>
        </w:rPr>
        <w:t xml:space="preserve"> (Rev. Kigali, 2022)</w:t>
      </w:r>
      <w:bookmarkEnd w:id="0"/>
      <w:bookmarkEnd w:id="1"/>
      <w:bookmarkEnd w:id="2"/>
      <w:bookmarkEnd w:id="3"/>
    </w:p>
    <w:p w14:paraId="3B6A334F" w14:textId="77777777" w:rsidR="009D187D" w:rsidRPr="00E17456" w:rsidRDefault="009D187D" w:rsidP="009D187D">
      <w:pPr>
        <w:pStyle w:val="Restitle"/>
        <w:rPr>
          <w:lang w:val="es-ES_tradnl"/>
        </w:rPr>
      </w:pPr>
      <w:bookmarkStart w:id="4" w:name="_Toc116916964"/>
      <w:bookmarkStart w:id="5" w:name="_Toc116918533"/>
      <w:bookmarkStart w:id="6" w:name="_Toc116919024"/>
      <w:bookmarkStart w:id="7" w:name="_Toc116919511"/>
      <w:r w:rsidRPr="00E17456">
        <w:rPr>
          <w:lang w:val="es-ES_tradnl"/>
        </w:rPr>
        <w:t>Investigación aplicada y transferencia de tecnología</w:t>
      </w:r>
      <w:bookmarkEnd w:id="4"/>
      <w:bookmarkEnd w:id="5"/>
      <w:bookmarkEnd w:id="6"/>
      <w:bookmarkEnd w:id="7"/>
    </w:p>
    <w:p w14:paraId="743F2A7F" w14:textId="77777777" w:rsidR="009D187D" w:rsidRPr="00E17456" w:rsidRDefault="009D187D" w:rsidP="009D187D">
      <w:pPr>
        <w:pStyle w:val="Normalaftertitle"/>
        <w:tabs>
          <w:tab w:val="left" w:pos="567"/>
        </w:tabs>
        <w:rPr>
          <w:lang w:val="es-ES_tradnl"/>
        </w:rPr>
      </w:pPr>
      <w:r w:rsidRPr="00E17456">
        <w:rPr>
          <w:lang w:val="es-ES_tradnl"/>
        </w:rPr>
        <w:t>La Conferencia Mundial de Desarrollo de las Telecomunicaciones (Kigali, 2022),</w:t>
      </w:r>
    </w:p>
    <w:p w14:paraId="364E514F" w14:textId="77777777" w:rsidR="009D187D" w:rsidRPr="00E17456" w:rsidRDefault="009D187D" w:rsidP="009D187D">
      <w:pPr>
        <w:pStyle w:val="Call"/>
        <w:tabs>
          <w:tab w:val="left" w:pos="567"/>
        </w:tabs>
        <w:rPr>
          <w:lang w:val="es-ES_tradnl"/>
        </w:rPr>
      </w:pPr>
      <w:r w:rsidRPr="00E17456">
        <w:rPr>
          <w:lang w:val="es-ES_tradnl"/>
        </w:rPr>
        <w:t>recordando</w:t>
      </w:r>
    </w:p>
    <w:p w14:paraId="7592113F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el número 19 del Artículo 1, Objeto de la Unión, y el número 124 del Artículo 21, Funciones y estructura del Sector de Desarrollo de las Telecomunicaciones (UIT-D), de la Constitución de la UIT;</w:t>
      </w:r>
    </w:p>
    <w:p w14:paraId="7FAC9E03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lang w:val="es-ES_tradnl"/>
        </w:rPr>
        <w:tab/>
        <w:t>el Compromiso de Túnez de la Cumbre Mundial sobre la Sociedad de la Información (CMSI), en el que se reconocen los principios del acceso universal, no discriminatorio, equitativo y asequible a las tecnologías de la información y la comunicación (TIC) por todas las naciones y todas las personas en todo el mundo (véanse los § 15, 18 y 19);</w:t>
      </w:r>
    </w:p>
    <w:p w14:paraId="1C36CA4F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c)</w:t>
      </w:r>
      <w:r w:rsidRPr="00E17456">
        <w:rPr>
          <w:i/>
          <w:iCs/>
          <w:lang w:val="es-ES_tradnl"/>
        </w:rPr>
        <w:tab/>
      </w:r>
      <w:r w:rsidRPr="00E17456">
        <w:rPr>
          <w:lang w:val="es-ES_tradnl"/>
        </w:rPr>
        <w:t>la Resolución 64 (Rev. Dubái, 2018), Acceso no discriminatorio a los modernos medios, servicios y aplicaciones de telecomunicaciones/TIC, incluidas la investigación aplicada, la transferencia de tecnología y las reuniones por medios electrónicos, en condiciones mutuamente acordadas, de la Conferencia de Plenipotenciarios;</w:t>
      </w:r>
    </w:p>
    <w:p w14:paraId="7CFBFDDB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d)</w:t>
      </w:r>
      <w:r w:rsidRPr="00E17456">
        <w:rPr>
          <w:lang w:val="es-ES_tradnl"/>
        </w:rPr>
        <w:tab/>
        <w:t>la Agenda de Acción de Addis Abeba de la Tercera Conferencia Internacional sobre la Financiación para el Desarrollo de 2015, refrendada por la Resolución 69/313 de la Asamblea General de las Naciones Unidas (AGNU), en la que se reconoce que la transferencia de tecnología es un factor importante del crecimiento económico y el desarrollo sostenible;</w:t>
      </w:r>
    </w:p>
    <w:p w14:paraId="6A46AD7F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e)</w:t>
      </w:r>
      <w:r w:rsidRPr="00E17456">
        <w:rPr>
          <w:lang w:val="es-ES_tradnl"/>
        </w:rPr>
        <w:tab/>
        <w:t>el Documento final de Nairobi de la Conferencia de Alto Nivel de las Naciones Unidas sobre la Cooperación Sur-Sur, refrendado por la Resolución 64/222 de la AGNU, en el que se destaca la necesidad de fomentar, incluso mediante la cooperación Sur-Sur, el acceso a la tecnología y su transferencia en los términos mutuamente acordados,</w:t>
      </w:r>
    </w:p>
    <w:p w14:paraId="347AD38E" w14:textId="77777777" w:rsidR="009D187D" w:rsidRPr="00E17456" w:rsidRDefault="009D187D" w:rsidP="009D187D">
      <w:pPr>
        <w:pStyle w:val="Call"/>
        <w:tabs>
          <w:tab w:val="left" w:pos="567"/>
        </w:tabs>
        <w:rPr>
          <w:lang w:val="es-ES_tradnl"/>
        </w:rPr>
      </w:pPr>
      <w:r w:rsidRPr="00E17456">
        <w:rPr>
          <w:lang w:val="es-ES_tradnl"/>
        </w:rPr>
        <w:t>reconociendo</w:t>
      </w:r>
    </w:p>
    <w:p w14:paraId="6712B012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que muchos países podrían beneficiarse de las transferencias tecnológicas;</w:t>
      </w:r>
    </w:p>
    <w:p w14:paraId="52F9994D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lang w:val="es-ES_tradnl"/>
        </w:rPr>
        <w:tab/>
        <w:t>que las asociaciones empresariales pueden ser un medio eficaz de transferencia de tecnología;</w:t>
      </w:r>
    </w:p>
    <w:p w14:paraId="4C7AF4FD" w14:textId="77777777" w:rsidR="009D187D" w:rsidRPr="00E17456" w:rsidRDefault="009D187D" w:rsidP="009D187D">
      <w:pPr>
        <w:rPr>
          <w:i/>
          <w:iCs/>
          <w:lang w:val="es-ES_tradnl"/>
        </w:rPr>
      </w:pPr>
      <w:r w:rsidRPr="00E17456">
        <w:rPr>
          <w:i/>
          <w:iCs/>
          <w:lang w:val="es-ES_tradnl"/>
        </w:rPr>
        <w:br w:type="page"/>
      </w:r>
    </w:p>
    <w:p w14:paraId="24157BD5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lastRenderedPageBreak/>
        <w:t>c)</w:t>
      </w:r>
      <w:r w:rsidRPr="00E17456">
        <w:rPr>
          <w:lang w:val="es-ES_tradnl"/>
        </w:rPr>
        <w:tab/>
        <w:t xml:space="preserve">que los seminarios y cursos de capacitación llevados a cabo en varios </w:t>
      </w:r>
      <w:proofErr w:type="gramStart"/>
      <w:r w:rsidRPr="00E17456">
        <w:rPr>
          <w:lang w:val="es-ES_tradnl"/>
        </w:rPr>
        <w:t>países</w:t>
      </w:r>
      <w:proofErr w:type="gramEnd"/>
      <w:r w:rsidRPr="00E17456">
        <w:rPr>
          <w:lang w:val="es-ES_tradnl"/>
        </w:rPr>
        <w:t xml:space="preserve"> así como por organizaciones internacionales y regionales han contribuido a la transferencia de tecnología y, por consiguiente, al desarrollo de las redes de telecomunicaciones/TIC en la región;</w:t>
      </w:r>
    </w:p>
    <w:p w14:paraId="673C5FC3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d)</w:t>
      </w:r>
      <w:r w:rsidRPr="00E17456">
        <w:rPr>
          <w:lang w:val="es-ES_tradnl"/>
        </w:rPr>
        <w:tab/>
        <w:t>que los proveedores de equipos y servicios de telecomunicaciones/TIC son socios importantes para asegurar el flujo de tecnología a los países en desarrollo</w:t>
      </w:r>
      <w:r>
        <w:rPr>
          <w:rStyle w:val="FootnoteReference"/>
          <w:lang w:val="es-ES_tradnl"/>
        </w:rPr>
        <w:footnoteReference w:customMarkFollows="1" w:id="1"/>
        <w:t>1</w:t>
      </w:r>
      <w:r w:rsidRPr="00E17456">
        <w:rPr>
          <w:lang w:val="es-ES_tradnl"/>
        </w:rPr>
        <w:t>, y que están dispuestos a concluir libremente estos acuerdos;</w:t>
      </w:r>
    </w:p>
    <w:p w14:paraId="12329D53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e)</w:t>
      </w:r>
      <w:r w:rsidRPr="00E17456">
        <w:rPr>
          <w:lang w:val="es-ES_tradnl"/>
        </w:rPr>
        <w:tab/>
        <w:t>que la investigación aplicada constituye una actividad prometedora para los países en desarrollo;</w:t>
      </w:r>
    </w:p>
    <w:p w14:paraId="3ACA38B1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f)</w:t>
      </w:r>
      <w:r w:rsidRPr="00E17456">
        <w:rPr>
          <w:lang w:val="es-ES_tradnl"/>
        </w:rPr>
        <w:tab/>
        <w:t>que un gran número de ingenieros procedentes de países en desarrollo contribuyen a la investigación aplicada en los países en desarrollo;</w:t>
      </w:r>
    </w:p>
    <w:p w14:paraId="7AEDB956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g)</w:t>
      </w:r>
      <w:r w:rsidRPr="00E17456">
        <w:rPr>
          <w:lang w:val="es-ES_tradnl"/>
        </w:rPr>
        <w:tab/>
        <w:t>que, en los países desarrollados, los institutos de investigación cuentan con importantes recursos humanos y materiales en comparación con los países en desarrollo;</w:t>
      </w:r>
    </w:p>
    <w:p w14:paraId="0CEC0CAF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h)</w:t>
      </w:r>
      <w:r w:rsidRPr="00E17456">
        <w:rPr>
          <w:lang w:val="es-ES_tradnl"/>
        </w:rPr>
        <w:tab/>
        <w:t>que una relación de asociación y cooperación entre los centros de investigación aplicada y los laboratorios puede contribuir a mejorar las transferencias de tecnología;</w:t>
      </w:r>
    </w:p>
    <w:p w14:paraId="56AF538A" w14:textId="77777777" w:rsidR="009D187D" w:rsidRPr="00E17456" w:rsidRDefault="009D187D" w:rsidP="009D187D">
      <w:pPr>
        <w:rPr>
          <w:lang w:val="es-ES_tradnl"/>
        </w:rPr>
      </w:pPr>
      <w:r w:rsidRPr="00E17456">
        <w:rPr>
          <w:i/>
          <w:iCs/>
          <w:lang w:val="es-ES_tradnl"/>
        </w:rPr>
        <w:t>i)</w:t>
      </w:r>
      <w:r w:rsidRPr="00E17456">
        <w:rPr>
          <w:lang w:val="es-ES_tradnl"/>
        </w:rPr>
        <w:tab/>
        <w:t>que la cooperación entre países en desarrollo, incluso por los canales de cooperación Sur-Sur, alberga un enorme potencial para la transferencia efectiva de tecnologías en los términos mutuamente acordados,</w:t>
      </w:r>
    </w:p>
    <w:p w14:paraId="1F24B74B" w14:textId="77777777" w:rsidR="009D187D" w:rsidRPr="00E17456" w:rsidRDefault="009D187D" w:rsidP="009D187D">
      <w:pPr>
        <w:pStyle w:val="Call"/>
        <w:keepNext w:val="0"/>
        <w:keepLines w:val="0"/>
        <w:tabs>
          <w:tab w:val="left" w:pos="567"/>
        </w:tabs>
        <w:rPr>
          <w:lang w:val="es-ES_tradnl"/>
        </w:rPr>
      </w:pPr>
      <w:r w:rsidRPr="00E17456">
        <w:rPr>
          <w:lang w:val="es-ES_tradnl"/>
        </w:rPr>
        <w:t>resuelve</w:t>
      </w:r>
    </w:p>
    <w:p w14:paraId="5E9869C6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que, sobre la base de los acuerdos concluidos entre las partes interesadas, se apoye lo más posible la transferencia de tecnología en el ámbito de las telecomunicaciones/TIC, en lo que hace a la tecnología tradicional y a las nuevas tecnologías y servicios;</w:t>
      </w:r>
    </w:p>
    <w:p w14:paraId="181EAD3E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que se aliente a los países en desarrollo y los países desarrollados a seguir cooperando mediante el intercambio de expertos, organizando seminarios, cursillos prácticos y reuniones especializados, y por medio del establecimiento de contactos entre las entidades de investigación aplicada en el campo de las telecomunicaciones/TIC, en particular mediante teleconferencias, etc.,</w:t>
      </w:r>
    </w:p>
    <w:p w14:paraId="6BE8F4F8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br w:type="page"/>
      </w:r>
    </w:p>
    <w:p w14:paraId="630AB8F1" w14:textId="77777777" w:rsidR="009D187D" w:rsidRPr="00E17456" w:rsidRDefault="009D187D" w:rsidP="009D187D">
      <w:pPr>
        <w:pStyle w:val="Call"/>
        <w:tabs>
          <w:tab w:val="left" w:pos="567"/>
        </w:tabs>
        <w:rPr>
          <w:lang w:val="es-ES_tradnl"/>
        </w:rPr>
      </w:pPr>
      <w:r w:rsidRPr="00E17456">
        <w:rPr>
          <w:lang w:val="es-ES_tradnl"/>
        </w:rPr>
        <w:lastRenderedPageBreak/>
        <w:t xml:space="preserve">encarga al </w:t>
      </w:r>
      <w:proofErr w:type="gramStart"/>
      <w:r w:rsidRPr="00E17456">
        <w:rPr>
          <w:lang w:val="es-ES_tradnl"/>
        </w:rPr>
        <w:t>Director</w:t>
      </w:r>
      <w:proofErr w:type="gramEnd"/>
      <w:r w:rsidRPr="00E17456">
        <w:rPr>
          <w:lang w:val="es-ES_tradnl"/>
        </w:rPr>
        <w:t xml:space="preserve"> de la Oficina de Desarrollo de las Telecomunicaciones, en colaboración con el Director de la Oficina de Radiocomunicaciones y el Director de la Oficina de Normalización de las Telecomunicaciones</w:t>
      </w:r>
    </w:p>
    <w:p w14:paraId="2D65D04A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que continúe celebrando seminarios, cursillos prácticos o cursillos de capacitación especializados en el campo de las telecomunicaciones/TIC para elevar el nivel tecnológico de los países en desarrollo, en particular, con la participación de instituciones académicas, de investigación y desarrollo tanto de países desarrollados como de países en desarrollo;</w:t>
      </w:r>
    </w:p>
    <w:p w14:paraId="35F47F73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que siga promoviendo el intercambio de información entre las organizaciones internacionales, los países donantes y los países beneficiarios sobre la transferencia de tecnología, en particular asistiéndoles para establecer redes cooperativas entre los institutos de investigación de las telecomunicaciones/TIC de los países en desarrollo y desarrollados;</w:t>
      </w:r>
    </w:p>
    <w:p w14:paraId="7FCA2D13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3</w:t>
      </w:r>
      <w:r w:rsidRPr="00E17456">
        <w:rPr>
          <w:lang w:val="es-ES_tradnl"/>
        </w:rPr>
        <w:tab/>
        <w:t>que ayude a elaborar el mandato, cuando se le solicite, que garantiza la transferencia de tecnología;</w:t>
      </w:r>
    </w:p>
    <w:p w14:paraId="0A302AFD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4</w:t>
      </w:r>
      <w:r w:rsidRPr="00E17456">
        <w:rPr>
          <w:lang w:val="es-ES_tradnl"/>
        </w:rPr>
        <w:tab/>
        <w:t>que continúe elaborando Manuales en los que se aborden temas relativos a la transferencia de tecnología y se asegure de que estos Manuales se distribuyen a los países en desarrollo y de que se informe adecuadamente a los usuarios sobre su empleo;</w:t>
      </w:r>
    </w:p>
    <w:p w14:paraId="74EDF3C3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5</w:t>
      </w:r>
      <w:r w:rsidRPr="00E17456">
        <w:rPr>
          <w:lang w:val="es-ES_tradnl"/>
        </w:rPr>
        <w:tab/>
        <w:t>que otorgue ayuda financiera a los institutos de investigación de los países en desarrollo, con el fin de que éstos puedan asistir a las reuniones, talleres y programas de investigación de la UIT con sujeción a los recursos disponibles;</w:t>
      </w:r>
    </w:p>
    <w:p w14:paraId="67AD8775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6</w:t>
      </w:r>
      <w:r w:rsidRPr="00E17456">
        <w:rPr>
          <w:lang w:val="es-ES_tradnl"/>
        </w:rPr>
        <w:tab/>
        <w:t>que fomente la admisión de instituciones académicas, universidades e institutos de investigación asociados en los trabajos del UIT-D como Miembros de Sector o Asociados, con arreglo a un nivel de contribución financiera reducido, en especial las instituciones académicas de países en desarrollo,</w:t>
      </w:r>
    </w:p>
    <w:p w14:paraId="07328B05" w14:textId="77777777" w:rsidR="009D187D" w:rsidRPr="00E17456" w:rsidRDefault="009D187D" w:rsidP="009D187D">
      <w:pPr>
        <w:pStyle w:val="Call"/>
        <w:tabs>
          <w:tab w:val="left" w:pos="567"/>
        </w:tabs>
        <w:rPr>
          <w:lang w:val="es-ES_tradnl"/>
        </w:rPr>
      </w:pPr>
      <w:r w:rsidRPr="00E17456">
        <w:rPr>
          <w:lang w:val="es-ES_tradnl"/>
        </w:rPr>
        <w:t>invita a los países en desarrollo</w:t>
      </w:r>
    </w:p>
    <w:p w14:paraId="390BE76E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a continuar estableciendo nuevos proyectos de investigación en el campo de las telecomunicaciones/TIC y a dar a conocer los actuales institutos de investigación aplicada con el fin de facilitar la cooperación con otros organismos de investigación;</w:t>
      </w:r>
    </w:p>
    <w:p w14:paraId="18BA2BAC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a participar en las actividades de los organismos de normalización;</w:t>
      </w:r>
    </w:p>
    <w:p w14:paraId="392A2E9D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3</w:t>
      </w:r>
      <w:r w:rsidRPr="00E17456">
        <w:rPr>
          <w:lang w:val="es-ES_tradnl"/>
        </w:rPr>
        <w:tab/>
        <w:t>a participar en actividades conjuntas y en la transferencia de tecnologías de telecomunicaciones/TIC entre países en desarrollo,</w:t>
      </w:r>
    </w:p>
    <w:p w14:paraId="224B21AA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br w:type="page"/>
      </w:r>
    </w:p>
    <w:p w14:paraId="37574E6D" w14:textId="77777777" w:rsidR="009D187D" w:rsidRPr="00E17456" w:rsidRDefault="009D187D" w:rsidP="009D187D">
      <w:pPr>
        <w:pStyle w:val="Call"/>
        <w:tabs>
          <w:tab w:val="left" w:pos="567"/>
        </w:tabs>
        <w:rPr>
          <w:lang w:val="es-ES_tradnl"/>
        </w:rPr>
      </w:pPr>
      <w:r w:rsidRPr="00E17456">
        <w:rPr>
          <w:lang w:val="es-ES_tradnl"/>
        </w:rPr>
        <w:lastRenderedPageBreak/>
        <w:t>invita a los proveedores de equipos y servicios de telecomunicaciones</w:t>
      </w:r>
    </w:p>
    <w:p w14:paraId="2B687302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a que, en cumplimiento de la Declaración de Principios de Ginebra de la primera fase de la CMSI y del Compromiso de Túnez de la segunda fase, pongan a disposición de sus clientes en los países en desarrollo las nuevas tecnologías y conocimientos técnicos pertinentes de forma voluntaria y/o de acuerdo con los principios comerciales,</w:t>
      </w:r>
    </w:p>
    <w:p w14:paraId="6110CB2C" w14:textId="77777777" w:rsidR="009D187D" w:rsidRPr="00E17456" w:rsidRDefault="009D187D" w:rsidP="009D187D">
      <w:pPr>
        <w:pStyle w:val="Call"/>
        <w:tabs>
          <w:tab w:val="left" w:pos="567"/>
        </w:tabs>
        <w:rPr>
          <w:lang w:val="es-ES_tradnl"/>
        </w:rPr>
      </w:pPr>
      <w:r w:rsidRPr="00E17456">
        <w:rPr>
          <w:lang w:val="es-ES_tradnl"/>
        </w:rPr>
        <w:t>solicita a las organizaciones internacionales y a los países donantes</w:t>
      </w:r>
    </w:p>
    <w:p w14:paraId="5C4F40B5" w14:textId="77777777" w:rsidR="009D187D" w:rsidRPr="00E17456" w:rsidRDefault="009D187D" w:rsidP="009D187D">
      <w:pPr>
        <w:rPr>
          <w:lang w:val="es-ES_tradnl"/>
        </w:rPr>
      </w:pPr>
      <w:r w:rsidRPr="00E17456">
        <w:rPr>
          <w:lang w:val="es-ES_tradnl"/>
        </w:rPr>
        <w:t>que ayuden a los países en desarrollo y a los países en transición hacia la economía de mercado a explorar nuevos métodos para mejorar la transferencia de tecnología, y a desarrollar centros y laboratorios de investigación aplicada en el campo de las telecomunicaciones/TIC, incluida la asistencia técnica y financiera.</w:t>
      </w:r>
    </w:p>
    <w:p w14:paraId="677244E8" w14:textId="77777777" w:rsidR="009D187D" w:rsidRPr="00E17456" w:rsidRDefault="009D187D" w:rsidP="009D187D">
      <w:pPr>
        <w:pStyle w:val="Reasons"/>
        <w:rPr>
          <w:lang w:val="es-ES_tradnl"/>
        </w:rPr>
      </w:pPr>
    </w:p>
    <w:p w14:paraId="25CA5A5D" w14:textId="77777777" w:rsidR="009D187D" w:rsidRPr="00E17456" w:rsidRDefault="009D187D" w:rsidP="009D187D">
      <w:pPr>
        <w:pStyle w:val="Reasons"/>
        <w:rPr>
          <w:lang w:val="es-ES_tradnl"/>
        </w:rPr>
      </w:pPr>
    </w:p>
    <w:p w14:paraId="407CE977" w14:textId="77777777" w:rsidR="00201FFB" w:rsidRPr="009D187D" w:rsidRDefault="00201FFB">
      <w:pPr>
        <w:rPr>
          <w:lang w:val="es-ES_tradnl"/>
        </w:rPr>
      </w:pPr>
    </w:p>
    <w:sectPr w:rsidR="00201FFB" w:rsidRPr="009D187D" w:rsidSect="009D1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8593" w14:textId="77777777" w:rsidR="009D187D" w:rsidRDefault="009D187D" w:rsidP="009D187D">
      <w:pPr>
        <w:spacing w:before="0"/>
      </w:pPr>
      <w:r>
        <w:separator/>
      </w:r>
    </w:p>
  </w:endnote>
  <w:endnote w:type="continuationSeparator" w:id="0">
    <w:p w14:paraId="644AD19F" w14:textId="77777777" w:rsidR="009D187D" w:rsidRDefault="009D187D" w:rsidP="009D18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A996" w14:textId="77777777" w:rsidR="009D187D" w:rsidRDefault="009D1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EA9" w14:textId="77777777" w:rsidR="009D187D" w:rsidRDefault="009D1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D96F" w14:textId="77777777" w:rsidR="009D187D" w:rsidRDefault="009D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9C38" w14:textId="77777777" w:rsidR="009D187D" w:rsidRDefault="009D187D" w:rsidP="009D187D">
      <w:pPr>
        <w:spacing w:before="0"/>
      </w:pPr>
      <w:r>
        <w:separator/>
      </w:r>
    </w:p>
  </w:footnote>
  <w:footnote w:type="continuationSeparator" w:id="0">
    <w:p w14:paraId="40CC2C83" w14:textId="77777777" w:rsidR="009D187D" w:rsidRDefault="009D187D" w:rsidP="009D187D">
      <w:pPr>
        <w:spacing w:before="0"/>
      </w:pPr>
      <w:r>
        <w:continuationSeparator/>
      </w:r>
    </w:p>
  </w:footnote>
  <w:footnote w:id="1">
    <w:p w14:paraId="5EF972B5" w14:textId="77777777" w:rsidR="009D187D" w:rsidRPr="00EF1565" w:rsidRDefault="009D187D" w:rsidP="009D187D">
      <w:pPr>
        <w:pStyle w:val="FootnoteText"/>
        <w:rPr>
          <w:lang w:val="es-ES"/>
        </w:rPr>
      </w:pPr>
      <w:r w:rsidRPr="009D187D">
        <w:rPr>
          <w:rStyle w:val="FootnoteReference"/>
          <w:lang w:val="es-ES"/>
        </w:rPr>
        <w:t>1</w:t>
      </w:r>
      <w:r w:rsidRPr="009D187D">
        <w:rPr>
          <w:lang w:val="es-ES"/>
        </w:rPr>
        <w:t xml:space="preserve"> </w:t>
      </w:r>
      <w:r>
        <w:rPr>
          <w:lang w:val="es-ES"/>
        </w:rPr>
        <w:tab/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1A5" w14:textId="31381C2E" w:rsidR="009D187D" w:rsidRPr="009D187D" w:rsidRDefault="009D187D" w:rsidP="009D187D">
    <w:pPr>
      <w:pStyle w:val="Header"/>
      <w:tabs>
        <w:tab w:val="clear" w:pos="4513"/>
        <w:tab w:val="clear" w:pos="9026"/>
        <w:tab w:val="left" w:pos="567"/>
        <w:tab w:val="right" w:pos="9072"/>
        <w:tab w:val="right" w:pos="9639"/>
      </w:tabs>
      <w:spacing w:before="120"/>
      <w:jc w:val="left"/>
      <w:rPr>
        <w:lang w:val="es-ES"/>
      </w:rPr>
    </w:pPr>
    <w:r w:rsidRPr="006053D3">
      <w:rPr>
        <w:sz w:val="16"/>
        <w:szCs w:val="16"/>
      </w:rPr>
      <w:fldChar w:fldCharType="begin"/>
    </w:r>
    <w:r w:rsidRPr="00DA0FC4">
      <w:rPr>
        <w:sz w:val="16"/>
        <w:szCs w:val="16"/>
        <w:lang w:val="es-ES"/>
      </w:rPr>
      <w:instrText xml:space="preserve"> PAGE   \* MERGEFORMAT </w:instrText>
    </w:r>
    <w:r w:rsidRPr="006053D3">
      <w:rPr>
        <w:sz w:val="16"/>
        <w:szCs w:val="16"/>
      </w:rPr>
      <w:fldChar w:fldCharType="separate"/>
    </w:r>
    <w:r w:rsidRPr="009D187D">
      <w:rPr>
        <w:sz w:val="16"/>
        <w:szCs w:val="16"/>
        <w:lang w:val="es-ES"/>
      </w:rPr>
      <w:t>2</w:t>
    </w:r>
    <w:r w:rsidRPr="006053D3">
      <w:rPr>
        <w:noProof/>
        <w:sz w:val="16"/>
        <w:szCs w:val="16"/>
      </w:rPr>
      <w:fldChar w:fldCharType="end"/>
    </w:r>
    <w:r>
      <w:rPr>
        <w:sz w:val="16"/>
        <w:szCs w:val="16"/>
        <w:lang w:val="es-ES"/>
      </w:rPr>
      <w:tab/>
    </w:r>
    <w:r w:rsidRPr="00E20F5B">
      <w:rPr>
        <w:sz w:val="16"/>
        <w:szCs w:val="16"/>
        <w:lang w:val="es-ES"/>
      </w:rPr>
      <w:t>Informe final de la CMDT-22 – Parte IV – Resolución 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0283" w14:textId="779E6F47" w:rsidR="009D187D" w:rsidRPr="009D187D" w:rsidRDefault="009D187D" w:rsidP="009D187D">
    <w:pPr>
      <w:pStyle w:val="Header"/>
      <w:tabs>
        <w:tab w:val="clear" w:pos="4513"/>
        <w:tab w:val="clear" w:pos="9026"/>
        <w:tab w:val="left" w:pos="567"/>
        <w:tab w:val="right" w:pos="9072"/>
        <w:tab w:val="right" w:pos="9639"/>
      </w:tabs>
      <w:spacing w:before="120"/>
      <w:jc w:val="left"/>
      <w:rPr>
        <w:lang w:val="es-ES"/>
      </w:rPr>
    </w:pP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 w:rsidRPr="00E20F5B">
      <w:rPr>
        <w:sz w:val="16"/>
        <w:szCs w:val="16"/>
        <w:lang w:val="es-ES"/>
      </w:rPr>
      <w:t>Informe final de la CMDT-22 – Parte IV – Resolución 15</w:t>
    </w:r>
    <w:r>
      <w:rPr>
        <w:sz w:val="16"/>
        <w:szCs w:val="16"/>
        <w:lang w:val="es-ES"/>
      </w:rPr>
      <w:tab/>
    </w:r>
    <w:r w:rsidRPr="006053D3">
      <w:rPr>
        <w:sz w:val="16"/>
        <w:szCs w:val="16"/>
      </w:rPr>
      <w:fldChar w:fldCharType="begin"/>
    </w:r>
    <w:r w:rsidRPr="00DA0FC4">
      <w:rPr>
        <w:sz w:val="16"/>
        <w:szCs w:val="16"/>
        <w:lang w:val="es-ES"/>
      </w:rPr>
      <w:instrText xml:space="preserve"> PAGE   \* MERGEFORMAT </w:instrText>
    </w:r>
    <w:r w:rsidRPr="006053D3">
      <w:rPr>
        <w:sz w:val="16"/>
        <w:szCs w:val="16"/>
      </w:rPr>
      <w:fldChar w:fldCharType="separate"/>
    </w:r>
    <w:r w:rsidRPr="009D187D">
      <w:rPr>
        <w:sz w:val="16"/>
        <w:szCs w:val="16"/>
        <w:lang w:val="es-ES"/>
      </w:rPr>
      <w:t>1</w:t>
    </w:r>
    <w:r w:rsidRPr="006053D3">
      <w:rPr>
        <w:noProof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6530" w14:textId="77777777" w:rsidR="009D187D" w:rsidRDefault="009D1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7D"/>
    <w:rsid w:val="00201FFB"/>
    <w:rsid w:val="003C321F"/>
    <w:rsid w:val="005809C6"/>
    <w:rsid w:val="005F322B"/>
    <w:rsid w:val="00623374"/>
    <w:rsid w:val="008A4CA6"/>
    <w:rsid w:val="009D187D"/>
    <w:rsid w:val="00A74923"/>
    <w:rsid w:val="00A96FB2"/>
    <w:rsid w:val="00AC35D4"/>
    <w:rsid w:val="00AC5829"/>
    <w:rsid w:val="00B0107E"/>
    <w:rsid w:val="00BF353A"/>
    <w:rsid w:val="00D27EFC"/>
    <w:rsid w:val="00DC6ABD"/>
    <w:rsid w:val="00E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5D2A"/>
  <w15:chartTrackingRefBased/>
  <w15:docId w15:val="{73C2C9B7-AEF7-49D7-837A-792F797C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B0107E"/>
    <w:pPr>
      <w:spacing w:after="120"/>
      <w:ind w:left="0"/>
      <w:contextualSpacing w:val="0"/>
      <w:outlineLvl w:val="0"/>
    </w:pPr>
    <w:rPr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0107E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 w:line="259" w:lineRule="auto"/>
      <w:jc w:val="left"/>
      <w:textAlignment w:val="auto"/>
      <w:outlineLvl w:val="1"/>
    </w:pPr>
    <w:rPr>
      <w:rFonts w:cstheme="minorBidi"/>
      <w:bCs/>
      <w:iCs/>
      <w:color w:val="2F5496" w:themeColor="accent1" w:themeShade="BF"/>
      <w:sz w:val="22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rsid w:val="00B0107E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autoSpaceDE/>
      <w:autoSpaceDN/>
      <w:adjustRightInd/>
      <w:spacing w:before="160" w:after="160" w:line="259" w:lineRule="auto"/>
      <w:jc w:val="left"/>
      <w:outlineLvl w:val="2"/>
    </w:pPr>
    <w:rPr>
      <w:rFonts w:eastAsiaTheme="minorHAnsi" w:cstheme="minorBidi"/>
      <w:color w:val="2F5496" w:themeColor="accent1" w:themeShade="BF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MatterTitleLeftAligned">
    <w:name w:val="Front_Matter_Title_Left_Aligned"/>
    <w:basedOn w:val="Normal"/>
    <w:rsid w:val="00A96F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360" w:after="240" w:line="259" w:lineRule="auto"/>
      <w:jc w:val="left"/>
      <w:textAlignment w:val="auto"/>
    </w:pPr>
    <w:rPr>
      <w:rFonts w:eastAsiaTheme="minorEastAsia" w:cs="Calibri"/>
      <w:color w:val="0070C0"/>
      <w:sz w:val="28"/>
      <w:szCs w:val="22"/>
      <w:lang w:val="en-US" w:eastAsia="es-ES"/>
    </w:rPr>
  </w:style>
  <w:style w:type="character" w:customStyle="1" w:styleId="Heading1Char">
    <w:name w:val="Heading 1 Char"/>
    <w:basedOn w:val="DefaultParagraphFont"/>
    <w:link w:val="Heading1"/>
    <w:rsid w:val="00B0107E"/>
    <w:rPr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107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ind w:left="720"/>
      <w:contextualSpacing/>
      <w:jc w:val="left"/>
      <w:textAlignment w:val="auto"/>
    </w:pPr>
    <w:rPr>
      <w:rFonts w:eastAsiaTheme="minorEastAsia" w:cstheme="minorBidi"/>
      <w:sz w:val="22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0107E"/>
    <w:rPr>
      <w:rFonts w:eastAsia="Times New Roman" w:cs="Arial"/>
      <w:bCs/>
      <w:iCs/>
      <w:color w:val="2F5496" w:themeColor="accent1" w:themeShade="BF"/>
      <w:szCs w:val="26"/>
    </w:rPr>
  </w:style>
  <w:style w:type="paragraph" w:customStyle="1" w:styleId="Figuretitle">
    <w:name w:val="Figure title"/>
    <w:basedOn w:val="Normal"/>
    <w:next w:val="Normal"/>
    <w:rsid w:val="00B0107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 w:line="259" w:lineRule="auto"/>
      <w:contextualSpacing/>
      <w:jc w:val="left"/>
      <w:textAlignment w:val="auto"/>
    </w:pPr>
    <w:rPr>
      <w:rFonts w:eastAsiaTheme="minorEastAsia" w:cstheme="minorBidi"/>
      <w:color w:val="365F91"/>
      <w:szCs w:val="56"/>
      <w:lang w:val="en-US" w:eastAsia="zh-CN"/>
    </w:rPr>
  </w:style>
  <w:style w:type="paragraph" w:customStyle="1" w:styleId="Alternativetext">
    <w:name w:val="Alternative text"/>
    <w:basedOn w:val="Normal"/>
    <w:autoRedefine/>
    <w:rsid w:val="00EA221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 w:line="259" w:lineRule="auto"/>
      <w:jc w:val="center"/>
      <w:textAlignment w:val="auto"/>
    </w:pPr>
    <w:rPr>
      <w:rFonts w:eastAsiaTheme="minorEastAsia" w:cstheme="minorHAnsi"/>
      <w:i/>
      <w:color w:val="FFC000"/>
      <w:sz w:val="18"/>
      <w:szCs w:val="24"/>
      <w:lang w:val="en-US" w:eastAsia="zh-CN"/>
    </w:rPr>
  </w:style>
  <w:style w:type="paragraph" w:customStyle="1" w:styleId="Tabletitle">
    <w:name w:val="Table title"/>
    <w:basedOn w:val="Normal"/>
    <w:next w:val="Normal"/>
    <w:rsid w:val="00B0107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contextualSpacing/>
      <w:jc w:val="left"/>
      <w:textAlignment w:val="auto"/>
    </w:pPr>
    <w:rPr>
      <w:rFonts w:eastAsiaTheme="minorEastAsia" w:cstheme="minorBidi"/>
      <w:color w:val="2F5496" w:themeColor="accent1" w:themeShade="BF"/>
      <w:szCs w:val="56"/>
      <w:lang w:val="en-US" w:eastAsia="zh-CN"/>
    </w:rPr>
  </w:style>
  <w:style w:type="paragraph" w:customStyle="1" w:styleId="Tabletext">
    <w:name w:val="Table text"/>
    <w:basedOn w:val="Normal"/>
    <w:rsid w:val="00B0107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after="160" w:line="259" w:lineRule="auto"/>
      <w:ind w:left="57"/>
      <w:contextualSpacing/>
      <w:jc w:val="left"/>
      <w:textAlignment w:val="auto"/>
    </w:pPr>
    <w:rPr>
      <w:rFonts w:eastAsiaTheme="minorEastAsia" w:cstheme="minorBidi"/>
      <w:sz w:val="22"/>
      <w:szCs w:val="56"/>
      <w:lang w:val="en-US" w:eastAsia="zh-CN"/>
    </w:rPr>
  </w:style>
  <w:style w:type="paragraph" w:customStyle="1" w:styleId="Tablehead">
    <w:name w:val="Table head"/>
    <w:basedOn w:val="Normal"/>
    <w:rsid w:val="00B0107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contextualSpacing/>
      <w:jc w:val="center"/>
      <w:textAlignment w:val="auto"/>
    </w:pPr>
    <w:rPr>
      <w:rFonts w:eastAsiaTheme="minorEastAsia" w:cstheme="minorBidi"/>
      <w:b/>
      <w:sz w:val="22"/>
      <w:szCs w:val="56"/>
      <w:lang w:val="en-US" w:eastAsia="zh-CN"/>
    </w:rPr>
  </w:style>
  <w:style w:type="character" w:customStyle="1" w:styleId="StyleBoldBold">
    <w:name w:val="Style Bold + Bold"/>
    <w:basedOn w:val="DefaultParagraphFont"/>
    <w:rsid w:val="00B0107E"/>
    <w:rPr>
      <w:b/>
      <w:bCs/>
      <w:sz w:val="20"/>
      <w:szCs w:val="24"/>
    </w:rPr>
  </w:style>
  <w:style w:type="paragraph" w:customStyle="1" w:styleId="Tablebullet">
    <w:name w:val="Table bullet"/>
    <w:basedOn w:val="Normal"/>
    <w:rsid w:val="00B0107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after="160" w:line="259" w:lineRule="auto"/>
      <w:contextualSpacing/>
      <w:jc w:val="left"/>
      <w:textAlignment w:val="auto"/>
    </w:pPr>
    <w:rPr>
      <w:rFonts w:eastAsiaTheme="minorEastAsia" w:cstheme="minorBidi"/>
      <w:sz w:val="22"/>
      <w:szCs w:val="56"/>
      <w:lang w:val="en-US" w:eastAsia="zh-CN"/>
    </w:rPr>
  </w:style>
  <w:style w:type="character" w:customStyle="1" w:styleId="StyleBoldBold1">
    <w:name w:val="Style Bold + Bold1"/>
    <w:basedOn w:val="DefaultParagraphFont"/>
    <w:rsid w:val="00B0107E"/>
    <w:rPr>
      <w:b/>
      <w:bCs/>
      <w:sz w:val="20"/>
      <w:szCs w:val="24"/>
    </w:rPr>
  </w:style>
  <w:style w:type="paragraph" w:customStyle="1" w:styleId="StyleTablebulletLeft0cmHanging051cm">
    <w:name w:val="Style Table bullet + Left:  0 cm Hanging:  0.51 cm"/>
    <w:basedOn w:val="Tablebullet"/>
    <w:rsid w:val="00B0107E"/>
    <w:pPr>
      <w:ind w:left="288" w:hanging="288"/>
    </w:pPr>
    <w:rPr>
      <w:rFonts w:eastAsia="Times New Roman"/>
      <w:szCs w:val="20"/>
    </w:rPr>
  </w:style>
  <w:style w:type="paragraph" w:customStyle="1" w:styleId="StyleTabletextBoldLeft01cm">
    <w:name w:val="Style Table text + Bold Left:  0.1 cm"/>
    <w:basedOn w:val="Tabletext"/>
    <w:rsid w:val="00B0107E"/>
    <w:rPr>
      <w:rFonts w:eastAsia="Times New Roman"/>
      <w:b/>
      <w:bCs/>
      <w:szCs w:val="20"/>
    </w:rPr>
  </w:style>
  <w:style w:type="paragraph" w:customStyle="1" w:styleId="Tableheadcentredwhite">
    <w:name w:val="Table head centred white"/>
    <w:basedOn w:val="Normal"/>
    <w:rsid w:val="00B0107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contextualSpacing/>
      <w:jc w:val="center"/>
      <w:textAlignment w:val="auto"/>
    </w:pPr>
    <w:rPr>
      <w:rFonts w:eastAsiaTheme="minorEastAsia" w:cstheme="minorBidi"/>
      <w:b/>
      <w:sz w:val="22"/>
      <w:szCs w:val="56"/>
      <w:lang w:val="en-US" w:eastAsia="zh-CN"/>
    </w:rPr>
  </w:style>
  <w:style w:type="paragraph" w:customStyle="1" w:styleId="Tabletextcentred">
    <w:name w:val="Table text centred"/>
    <w:basedOn w:val="Normal"/>
    <w:rsid w:val="00B0107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contextualSpacing/>
      <w:jc w:val="center"/>
      <w:textAlignment w:val="auto"/>
    </w:pPr>
    <w:rPr>
      <w:rFonts w:eastAsiaTheme="minorEastAsia" w:cstheme="minorBidi"/>
      <w:sz w:val="22"/>
      <w:szCs w:val="5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B0107E"/>
    <w:rPr>
      <w:color w:val="2F5496" w:themeColor="accent1" w:themeShade="BF"/>
    </w:rPr>
  </w:style>
  <w:style w:type="character" w:customStyle="1" w:styleId="Colored-Normal">
    <w:name w:val="Colored - Normal"/>
    <w:rsid w:val="00B0107E"/>
    <w:rPr>
      <w:color w:val="365F91"/>
      <w:sz w:val="22"/>
      <w:szCs w:val="24"/>
    </w:rPr>
  </w:style>
  <w:style w:type="paragraph" w:customStyle="1" w:styleId="Bulletlist2">
    <w:name w:val="Bullet list 2"/>
    <w:basedOn w:val="Normal"/>
    <w:rsid w:val="008A4CA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contextualSpacing/>
      <w:jc w:val="left"/>
      <w:textAlignment w:val="auto"/>
    </w:pPr>
    <w:rPr>
      <w:rFonts w:eastAsiaTheme="minorEastAsia" w:cstheme="minorBidi"/>
      <w:sz w:val="22"/>
      <w:szCs w:val="56"/>
      <w:lang w:val="en-US" w:eastAsia="zh-CN"/>
    </w:rPr>
  </w:style>
  <w:style w:type="paragraph" w:customStyle="1" w:styleId="Bulletlist3">
    <w:name w:val="Bullet list 3"/>
    <w:basedOn w:val="Normal"/>
    <w:rsid w:val="008A4CA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contextualSpacing/>
      <w:jc w:val="right"/>
      <w:textAlignment w:val="auto"/>
    </w:pPr>
    <w:rPr>
      <w:rFonts w:eastAsiaTheme="minorEastAsia" w:cstheme="minorBidi"/>
      <w:sz w:val="22"/>
      <w:szCs w:val="56"/>
      <w:lang w:val="en-US" w:eastAsia="zh-CN"/>
    </w:rPr>
  </w:style>
  <w:style w:type="paragraph" w:customStyle="1" w:styleId="HeadingSum">
    <w:name w:val="Heading_Sum"/>
    <w:basedOn w:val="Normal"/>
    <w:next w:val="Normal"/>
    <w:autoRedefine/>
    <w:rsid w:val="00BF353A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autoSpaceDE/>
      <w:autoSpaceDN/>
      <w:adjustRightInd/>
      <w:spacing w:before="240" w:after="160" w:line="259" w:lineRule="auto"/>
    </w:pPr>
    <w:rPr>
      <w:rFonts w:ascii="Times New Roman" w:hAnsi="Times New Roman" w:cstheme="minorBidi"/>
      <w:b/>
      <w:sz w:val="22"/>
      <w:lang w:val="es-ES_tradnl" w:eastAsia="zh-CN"/>
    </w:rPr>
  </w:style>
  <w:style w:type="paragraph" w:customStyle="1" w:styleId="Summary">
    <w:name w:val="Summary"/>
    <w:basedOn w:val="Normal"/>
    <w:next w:val="Normal"/>
    <w:autoRedefine/>
    <w:rsid w:val="00BF353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autoSpaceDE/>
      <w:autoSpaceDN/>
      <w:adjustRightInd/>
      <w:spacing w:before="0" w:after="480" w:line="259" w:lineRule="auto"/>
    </w:pPr>
    <w:rPr>
      <w:rFonts w:ascii="Times New Roman" w:hAnsi="Times New Roman" w:cstheme="minorBidi"/>
      <w:sz w:val="22"/>
      <w:lang w:val="es-ES_tradnl" w:eastAsia="zh-CN"/>
    </w:rPr>
  </w:style>
  <w:style w:type="paragraph" w:customStyle="1" w:styleId="Bulletlist1">
    <w:name w:val="Bullet list 1"/>
    <w:basedOn w:val="Normal"/>
    <w:autoRedefine/>
    <w:rsid w:val="00EA221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jc w:val="left"/>
      <w:textAlignment w:val="auto"/>
    </w:pPr>
    <w:rPr>
      <w:rFonts w:eastAsiaTheme="minorEastAsia" w:cstheme="minorHAnsi"/>
      <w:sz w:val="22"/>
      <w:szCs w:val="24"/>
      <w:lang w:val="en-US" w:eastAsia="zh-CN"/>
    </w:rPr>
  </w:style>
  <w:style w:type="paragraph" w:customStyle="1" w:styleId="Call">
    <w:name w:val="Call"/>
    <w:basedOn w:val="Normal"/>
    <w:next w:val="Normal"/>
    <w:link w:val="CallChar"/>
    <w:rsid w:val="009D187D"/>
    <w:pPr>
      <w:keepNext/>
      <w:keepLines/>
      <w:spacing w:before="160"/>
      <w:ind w:left="1134"/>
    </w:pPr>
    <w:rPr>
      <w:i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Italic,Style"/>
    <w:basedOn w:val="DefaultParagraphFont"/>
    <w:qFormat/>
    <w:rsid w:val="009D187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9D187D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9D187D"/>
    <w:rPr>
      <w:rFonts w:eastAsia="Times New Roman" w:cs="Times New Roman"/>
      <w:szCs w:val="20"/>
    </w:rPr>
  </w:style>
  <w:style w:type="paragraph" w:customStyle="1" w:styleId="Normalaftertitle">
    <w:name w:val="Normal after title"/>
    <w:basedOn w:val="Normal"/>
    <w:next w:val="Normal"/>
    <w:link w:val="NormalaftertitleChar"/>
    <w:rsid w:val="009D187D"/>
    <w:pPr>
      <w:spacing w:before="280"/>
    </w:pPr>
  </w:style>
  <w:style w:type="paragraph" w:customStyle="1" w:styleId="Reasons">
    <w:name w:val="Reasons"/>
    <w:basedOn w:val="Normal"/>
    <w:qFormat/>
    <w:rsid w:val="009D187D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9D187D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0" w:after="0" w:line="240" w:lineRule="auto"/>
      <w:ind w:left="1134" w:hanging="1134"/>
      <w:jc w:val="center"/>
      <w:textAlignment w:val="baseline"/>
    </w:pPr>
    <w:rPr>
      <w:rFonts w:cs="Times New Roman"/>
      <w:bCs w:val="0"/>
      <w:iCs w:val="0"/>
      <w:color w:val="auto"/>
      <w:sz w:val="28"/>
      <w:szCs w:val="20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9D187D"/>
    <w:pPr>
      <w:keepNext/>
      <w:keepLines/>
      <w:spacing w:before="240"/>
      <w:jc w:val="center"/>
    </w:pPr>
    <w:rPr>
      <w:b/>
      <w:sz w:val="28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D187D"/>
    <w:rPr>
      <w:rFonts w:eastAsia="Times New Roman" w:cs="Times New Roman"/>
      <w:sz w:val="24"/>
      <w:szCs w:val="20"/>
    </w:rPr>
  </w:style>
  <w:style w:type="character" w:customStyle="1" w:styleId="href">
    <w:name w:val="href"/>
    <w:basedOn w:val="DefaultParagraphFont"/>
    <w:rsid w:val="009D187D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9D187D"/>
    <w:rPr>
      <w:rFonts w:eastAsia="Times New Roman" w:cs="Times New Roman"/>
      <w:i/>
      <w:sz w:val="24"/>
      <w:szCs w:val="20"/>
    </w:rPr>
  </w:style>
  <w:style w:type="character" w:customStyle="1" w:styleId="RestitleChar">
    <w:name w:val="Res_title Char"/>
    <w:basedOn w:val="DefaultParagraphFont"/>
    <w:link w:val="Restitle"/>
    <w:rsid w:val="009D187D"/>
    <w:rPr>
      <w:rFonts w:eastAsia="Times New Roman" w:cs="Times New Roman"/>
      <w:b/>
      <w:sz w:val="28"/>
      <w:szCs w:val="20"/>
    </w:rPr>
  </w:style>
  <w:style w:type="character" w:customStyle="1" w:styleId="ResNoChar">
    <w:name w:val="Res_No Char"/>
    <w:basedOn w:val="DefaultParagraphFont"/>
    <w:link w:val="ResNo"/>
    <w:rsid w:val="009D187D"/>
    <w:rPr>
      <w:rFonts w:eastAsia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1"/>
    <w:unhideWhenUsed/>
    <w:rsid w:val="009D187D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1"/>
    <w:rsid w:val="009D187D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87D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D187D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15 (Rev. Kigali, 2022) – Investigación aplicada y transferencia de tecnología</dc:title>
  <dc:subject/>
  <dc:creator>Catalano Moreira, Rossana</dc:creator>
  <cp:keywords/>
  <dc:description/>
  <cp:lastModifiedBy>Catalano Moreira, Rossana</cp:lastModifiedBy>
  <cp:revision>2</cp:revision>
  <dcterms:created xsi:type="dcterms:W3CDTF">2023-10-17T07:22:00Z</dcterms:created>
  <dcterms:modified xsi:type="dcterms:W3CDTF">2023-10-17T07:34:00Z</dcterms:modified>
</cp:coreProperties>
</file>