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F4BF" w14:textId="77777777" w:rsidR="00457580" w:rsidRPr="002B2BF7" w:rsidRDefault="00457580" w:rsidP="00457580">
      <w:pPr>
        <w:pStyle w:val="ResNo"/>
        <w:rPr>
          <w:lang w:val="ru-RU"/>
        </w:rPr>
      </w:pPr>
      <w:bookmarkStart w:id="0" w:name="_Toc116554150"/>
      <w:r w:rsidRPr="002B2BF7">
        <w:rPr>
          <w:lang w:val="ru-RU"/>
        </w:rPr>
        <w:t xml:space="preserve">РЕЗОЛЮЦИЯ </w:t>
      </w:r>
      <w:r w:rsidRPr="002B2BF7">
        <w:rPr>
          <w:rStyle w:val="href"/>
          <w:lang w:val="ru-RU"/>
        </w:rPr>
        <w:t>15</w:t>
      </w:r>
      <w:r w:rsidRPr="002B2BF7">
        <w:rPr>
          <w:lang w:val="ru-RU"/>
        </w:rPr>
        <w:t xml:space="preserve"> (Пересм. Кигали, 2022 г.)</w:t>
      </w:r>
      <w:bookmarkEnd w:id="0"/>
    </w:p>
    <w:p w14:paraId="0A8C2193" w14:textId="77777777" w:rsidR="00457580" w:rsidRPr="002B2BF7" w:rsidRDefault="00457580" w:rsidP="00457580">
      <w:pPr>
        <w:pStyle w:val="Restitle"/>
        <w:rPr>
          <w:lang w:val="ru-RU"/>
        </w:rPr>
      </w:pPr>
      <w:bookmarkStart w:id="1" w:name="_Toc116554151"/>
      <w:r w:rsidRPr="002B2BF7">
        <w:rPr>
          <w:lang w:val="ru-RU"/>
        </w:rPr>
        <w:t>Прикладные исследования и передача технологий</w:t>
      </w:r>
      <w:bookmarkEnd w:id="1"/>
    </w:p>
    <w:p w14:paraId="3CF0C43E" w14:textId="77777777" w:rsidR="00457580" w:rsidRPr="002B2BF7" w:rsidRDefault="00457580" w:rsidP="00457580">
      <w:pPr>
        <w:pStyle w:val="Normalaftertitle"/>
        <w:rPr>
          <w:lang w:val="ru-RU"/>
        </w:rPr>
      </w:pPr>
      <w:r w:rsidRPr="002B2BF7">
        <w:rPr>
          <w:lang w:val="ru-RU"/>
        </w:rPr>
        <w:t>Всемирная конференция по развитию электросвязи (Кигали, 2022 г.),</w:t>
      </w:r>
    </w:p>
    <w:p w14:paraId="7BA54F11" w14:textId="77777777" w:rsidR="00457580" w:rsidRPr="002B2BF7" w:rsidRDefault="00457580" w:rsidP="00457580">
      <w:pPr>
        <w:pStyle w:val="Call"/>
        <w:rPr>
          <w:lang w:val="ru-RU"/>
        </w:rPr>
      </w:pPr>
      <w:r w:rsidRPr="002B2BF7">
        <w:rPr>
          <w:lang w:val="ru-RU"/>
        </w:rPr>
        <w:t>напоминая</w:t>
      </w:r>
    </w:p>
    <w:p w14:paraId="0FD7497F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a)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>о пункте 19 Статьи 1 Конвенции МСЭ о целях Союза и пункте 124 Статьи 21 о функциях и структуре Сектора развития электросвязи (МСЭ-</w:t>
      </w:r>
      <w:r w:rsidRPr="002B2BF7">
        <w:rPr>
          <w:lang w:val="en-US"/>
        </w:rPr>
        <w:t>D</w:t>
      </w:r>
      <w:r w:rsidRPr="002B2BF7">
        <w:rPr>
          <w:lang w:val="ru-RU"/>
        </w:rPr>
        <w:t>);</w:t>
      </w:r>
    </w:p>
    <w:p w14:paraId="512B4C9A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о Тунисском обязательстве Всемирной встречи на высшем уровне по вопросам информационного общества (ВВУИО), в котором признаются принципы универсального, недискриминационного, равноправного и приемлемого в ценовом отношении доступа к информационно-коммуникационным технологиям (ИКТ) для всех стран и людей во всем мире (см. пункты 15, 18 и 19 Тунисского обязательства);</w:t>
      </w:r>
    </w:p>
    <w:p w14:paraId="05268405" w14:textId="77777777" w:rsidR="00457580" w:rsidRPr="002B2BF7" w:rsidRDefault="00457580" w:rsidP="00457580">
      <w:pPr>
        <w:rPr>
          <w:rFonts w:cstheme="minorHAnsi"/>
          <w:szCs w:val="22"/>
          <w:lang w:val="ru-RU"/>
        </w:rPr>
      </w:pPr>
      <w:r w:rsidRPr="002B2BF7">
        <w:rPr>
          <w:i/>
          <w:iCs/>
          <w:lang w:val="ru-RU"/>
        </w:rPr>
        <w:t>c)</w:t>
      </w:r>
      <w:r w:rsidRPr="002B2BF7">
        <w:rPr>
          <w:i/>
          <w:iCs/>
          <w:lang w:val="ru-RU"/>
        </w:rPr>
        <w:tab/>
      </w:r>
      <w:r w:rsidRPr="002B2BF7">
        <w:rPr>
          <w:lang w:val="ru-RU"/>
        </w:rPr>
        <w:t xml:space="preserve">о </w:t>
      </w:r>
      <w:r w:rsidRPr="002B2BF7">
        <w:rPr>
          <w:rFonts w:cstheme="minorHAnsi"/>
          <w:szCs w:val="22"/>
          <w:lang w:val="ru-RU"/>
        </w:rPr>
        <w:t>Резолюции 64 (Пересм. Дубай, 2018 г.) Полномочной конференции о недискриминационном доступе к современным средствам, услугам и приложениям электросвязи/ИКТ, включая прикладные исследования, передачу технологий и электронные собрания, на взаимно согласованных условиях;</w:t>
      </w:r>
    </w:p>
    <w:p w14:paraId="31A35FA7" w14:textId="77777777" w:rsidR="00457580" w:rsidRPr="002B2BF7" w:rsidRDefault="00457580" w:rsidP="00457580">
      <w:pPr>
        <w:rPr>
          <w:rFonts w:cstheme="minorHAnsi"/>
          <w:szCs w:val="22"/>
          <w:lang w:val="ru-RU"/>
        </w:rPr>
      </w:pPr>
      <w:r w:rsidRPr="002B2BF7">
        <w:rPr>
          <w:rFonts w:cstheme="minorHAnsi"/>
          <w:i/>
          <w:szCs w:val="22"/>
          <w:lang w:val="ru-RU"/>
        </w:rPr>
        <w:t>d)</w:t>
      </w:r>
      <w:r w:rsidRPr="002B2BF7">
        <w:rPr>
          <w:rFonts w:cstheme="minorHAnsi"/>
          <w:szCs w:val="22"/>
          <w:lang w:val="ru-RU"/>
        </w:rPr>
        <w:tab/>
        <w:t>об Аддис-Абебской программе действий третьей Международной конференции по финансированию развития, одобренной резолюцией 69/313 Генеральной Ассамблеи Организации Объединенных Наций (ГА ООН), в которой передача технологий на взаимно согласованных условиях признается мощным фактором, стимулирующим экономический рост и устойчивое развитие;</w:t>
      </w:r>
    </w:p>
    <w:p w14:paraId="6399471B" w14:textId="5AFFCF3E" w:rsidR="00457580" w:rsidRPr="002B2BF7" w:rsidRDefault="00457580" w:rsidP="00457580">
      <w:pPr>
        <w:rPr>
          <w:lang w:val="ru-RU"/>
        </w:rPr>
      </w:pPr>
      <w:r w:rsidRPr="002B2BF7">
        <w:rPr>
          <w:rFonts w:cstheme="minorHAnsi"/>
          <w:i/>
          <w:szCs w:val="22"/>
          <w:lang w:val="ru-RU"/>
        </w:rPr>
        <w:t>e)</w:t>
      </w:r>
      <w:r w:rsidRPr="002B2BF7">
        <w:rPr>
          <w:rFonts w:cstheme="minorHAnsi"/>
          <w:szCs w:val="22"/>
          <w:lang w:val="ru-RU"/>
        </w:rPr>
        <w:tab/>
        <w:t>о Найробийском итоговом документе Конференции Организации Объединенных Наций на высоком уровне по сотрудничеству Юг-Юг, одобренном резолюцией 64/222 ГА ООН, в котором подчеркивается необходимость поощрения доступа к технологиям и их передачи на взаимосогласованных условиях, в том числе с использованием канала сотрудничества Юг</w:t>
      </w:r>
      <w:r w:rsidR="00213C60">
        <w:rPr>
          <w:rFonts w:cstheme="minorHAnsi"/>
          <w:szCs w:val="22"/>
          <w:lang w:val="ru-RU"/>
        </w:rPr>
        <w:noBreakHyphen/>
      </w:r>
      <w:r w:rsidRPr="002B2BF7">
        <w:rPr>
          <w:rFonts w:cstheme="minorHAnsi"/>
          <w:szCs w:val="22"/>
          <w:lang w:val="ru-RU"/>
        </w:rPr>
        <w:t>Юг,</w:t>
      </w:r>
    </w:p>
    <w:p w14:paraId="0A49D4EB" w14:textId="77777777" w:rsidR="00457580" w:rsidRPr="002B2BF7" w:rsidRDefault="00457580" w:rsidP="00457580">
      <w:pPr>
        <w:pStyle w:val="Call"/>
        <w:rPr>
          <w:lang w:val="ru-RU"/>
        </w:rPr>
      </w:pPr>
      <w:r w:rsidRPr="002B2BF7">
        <w:rPr>
          <w:lang w:val="ru-RU"/>
        </w:rPr>
        <w:t>признавая</w:t>
      </w:r>
      <w:r w:rsidRPr="002B2BF7">
        <w:rPr>
          <w:i w:val="0"/>
          <w:iCs/>
          <w:lang w:val="ru-RU"/>
        </w:rPr>
        <w:t>,</w:t>
      </w:r>
    </w:p>
    <w:p w14:paraId="4D79E362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а)</w:t>
      </w:r>
      <w:r w:rsidRPr="002B2BF7">
        <w:rPr>
          <w:lang w:val="ru-RU"/>
        </w:rPr>
        <w:tab/>
        <w:t>что многие страны получили бы выгоду от передачи технологий;</w:t>
      </w:r>
    </w:p>
    <w:p w14:paraId="5815004A" w14:textId="77777777" w:rsidR="00457580" w:rsidRPr="002B2BF7" w:rsidRDefault="00457580" w:rsidP="00457580">
      <w:pPr>
        <w:rPr>
          <w:i/>
          <w:iCs/>
          <w:lang w:val="ru-RU"/>
        </w:rPr>
      </w:pPr>
      <w:r w:rsidRPr="002B2BF7">
        <w:rPr>
          <w:i/>
          <w:iCs/>
          <w:lang w:val="ru-RU"/>
        </w:rPr>
        <w:t>b)</w:t>
      </w:r>
      <w:r w:rsidRPr="002B2BF7">
        <w:rPr>
          <w:lang w:val="ru-RU"/>
        </w:rPr>
        <w:tab/>
        <w:t>что эффективным средством передачи технологий могут служить совместные предприятия;</w:t>
      </w:r>
      <w:r w:rsidRPr="002B2BF7">
        <w:rPr>
          <w:i/>
          <w:iCs/>
          <w:lang w:val="ru-RU"/>
        </w:rPr>
        <w:br w:type="page"/>
      </w:r>
    </w:p>
    <w:p w14:paraId="38B900FB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lastRenderedPageBreak/>
        <w:t>c)</w:t>
      </w:r>
      <w:r w:rsidRPr="002B2BF7">
        <w:rPr>
          <w:lang w:val="ru-RU"/>
        </w:rPr>
        <w:tab/>
        <w:t>что проводимые различными странами, а также международными и региональными организациями семинары и профессиональная подготовка способствуют передаче технологий и, следовательно, развитию сетей электросвязи/ИКТ в регионах;</w:t>
      </w:r>
    </w:p>
    <w:p w14:paraId="2C677ED1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d)</w:t>
      </w:r>
      <w:r w:rsidRPr="002B2BF7">
        <w:rPr>
          <w:lang w:val="ru-RU"/>
        </w:rPr>
        <w:tab/>
        <w:t>что поставщики оборудования и услуг электросвязи/ИКТ являются важными партнерами в обеспечении притока технологий в развивающиеся страны</w:t>
      </w:r>
      <w:r w:rsidRPr="002B2BF7">
        <w:rPr>
          <w:rStyle w:val="FootnoteReference"/>
          <w:lang w:val="ru-RU"/>
        </w:rPr>
        <w:footnoteReference w:id="1"/>
      </w:r>
      <w:r w:rsidRPr="002B2BF7">
        <w:rPr>
          <w:lang w:val="ru-RU"/>
        </w:rPr>
        <w:t xml:space="preserve"> и готовы свободно заключать такие соглашения;</w:t>
      </w:r>
    </w:p>
    <w:p w14:paraId="1978E568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e)</w:t>
      </w:r>
      <w:r w:rsidRPr="002B2BF7">
        <w:rPr>
          <w:lang w:val="ru-RU"/>
        </w:rPr>
        <w:tab/>
        <w:t>что прикладные исследования являются перспективным видом деятельности для развивающихся стран;</w:t>
      </w:r>
    </w:p>
    <w:p w14:paraId="4E057337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f)</w:t>
      </w:r>
      <w:r w:rsidRPr="002B2BF7">
        <w:rPr>
          <w:lang w:val="ru-RU"/>
        </w:rPr>
        <w:tab/>
        <w:t>что большое число инженеров, являющихся выходцами из развивающихся стран, вносят свой вклад в прикладные исследования, проводимые в развитых странах;</w:t>
      </w:r>
    </w:p>
    <w:p w14:paraId="4221D3CE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g)</w:t>
      </w:r>
      <w:r w:rsidRPr="002B2BF7">
        <w:rPr>
          <w:lang w:val="ru-RU"/>
        </w:rPr>
        <w:tab/>
        <w:t>что по сравнению с развивающимися странами научно-исследовательские институты развитых стран располагают значительными людскими и материальными ресурсами;</w:t>
      </w:r>
    </w:p>
    <w:p w14:paraId="26C762F9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iCs/>
          <w:lang w:val="ru-RU"/>
        </w:rPr>
        <w:t>h)</w:t>
      </w:r>
      <w:r w:rsidRPr="002B2BF7">
        <w:rPr>
          <w:lang w:val="ru-RU"/>
        </w:rPr>
        <w:tab/>
        <w:t>что наличие отношений партнерства и сотрудничества между центрами прикладных исследований и лабораториями способствует передаче технологий;</w:t>
      </w:r>
    </w:p>
    <w:p w14:paraId="4A2CBBD4" w14:textId="77777777" w:rsidR="00457580" w:rsidRPr="002B2BF7" w:rsidRDefault="00457580" w:rsidP="00457580">
      <w:pPr>
        <w:rPr>
          <w:lang w:val="ru-RU"/>
        </w:rPr>
      </w:pPr>
      <w:r w:rsidRPr="002B2BF7">
        <w:rPr>
          <w:i/>
          <w:lang w:val="ru-RU"/>
        </w:rPr>
        <w:t>i)</w:t>
      </w:r>
      <w:r w:rsidRPr="002B2BF7">
        <w:rPr>
          <w:lang w:val="ru-RU"/>
        </w:rPr>
        <w:tab/>
        <w:t>что сотрудничество между развивающимися странами, включая сотрудничество Юг-Юг, имеет громадный потенциал по эффективной передаче технологий</w:t>
      </w:r>
      <w:r w:rsidRPr="002B2BF7">
        <w:rPr>
          <w:rFonts w:cstheme="minorHAnsi"/>
          <w:szCs w:val="22"/>
          <w:lang w:val="ru-RU"/>
        </w:rPr>
        <w:t xml:space="preserve"> на взаимосогласованных условиях</w:t>
      </w:r>
      <w:r w:rsidRPr="002B2BF7">
        <w:rPr>
          <w:lang w:val="ru-RU"/>
        </w:rPr>
        <w:t>,</w:t>
      </w:r>
    </w:p>
    <w:p w14:paraId="312E97E5" w14:textId="77777777" w:rsidR="00457580" w:rsidRPr="002B2BF7" w:rsidRDefault="00457580" w:rsidP="00457580">
      <w:pPr>
        <w:pStyle w:val="Call"/>
        <w:rPr>
          <w:iCs/>
          <w:lang w:val="ru-RU"/>
        </w:rPr>
      </w:pPr>
      <w:r w:rsidRPr="002B2BF7">
        <w:rPr>
          <w:lang w:val="ru-RU"/>
        </w:rPr>
        <w:t>решает</w:t>
      </w:r>
      <w:r w:rsidRPr="002B2BF7">
        <w:rPr>
          <w:i w:val="0"/>
          <w:lang w:val="ru-RU"/>
        </w:rPr>
        <w:t>,</w:t>
      </w:r>
    </w:p>
    <w:p w14:paraId="63860AE6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что на основе соглашения между заинтересованными сторонами следует, по возможности, содействовать передаче технологий в области электросвязи/ИКТ в отношении как традиционных технологий, так и новых технологий и услуг;</w:t>
      </w:r>
    </w:p>
    <w:p w14:paraId="285D0A2C" w14:textId="77777777" w:rsidR="00457580" w:rsidRPr="002B2BF7" w:rsidRDefault="00457580" w:rsidP="00457580">
      <w:pPr>
        <w:rPr>
          <w:i/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что развивающимся и развитым странами следует и далее сотрудничать путем обмена экспертами, организации семинаров, специализированных практикумов и совещаний, а также установления связей между учреждениями, занимающимися прикладными исследованиями в области электросвязи/ИКТ, в том числе посредством организации телеконференций и т. п.,</w:t>
      </w:r>
      <w:r w:rsidRPr="002B2BF7">
        <w:rPr>
          <w:lang w:val="ru-RU"/>
        </w:rPr>
        <w:br w:type="page"/>
      </w:r>
    </w:p>
    <w:p w14:paraId="145C140D" w14:textId="77777777" w:rsidR="00457580" w:rsidRPr="002B2BF7" w:rsidRDefault="00457580" w:rsidP="00457580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поручает Директору Бюро развития электросвязи</w:t>
      </w:r>
      <w:r w:rsidRPr="002B2BF7">
        <w:rPr>
          <w:rFonts w:cstheme="minorHAnsi"/>
          <w:szCs w:val="22"/>
          <w:lang w:val="ru-RU"/>
        </w:rPr>
        <w:t xml:space="preserve"> в сотрудничестве с Директором Бюро радиосвязи и Директором Бюро стандартизации электросвязи</w:t>
      </w:r>
    </w:p>
    <w:p w14:paraId="2B79F6F0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продолжать проведение специализированных семинаров, практикумов и профессиональной подготовки в области электросвязи/ИКТ в целях повышения технологического уровня в развивающихся странах,</w:t>
      </w:r>
      <w:r w:rsidRPr="002B2BF7">
        <w:rPr>
          <w:iCs/>
          <w:lang w:val="ru-RU"/>
        </w:rPr>
        <w:t xml:space="preserve"> в том числе</w:t>
      </w:r>
      <w:r w:rsidRPr="002B2BF7">
        <w:rPr>
          <w:lang w:val="ru-RU"/>
        </w:rPr>
        <w:t xml:space="preserve"> с привлечением академических организаций и научно-исследовательских институтов как развитых, так и развивающихся стран;</w:t>
      </w:r>
    </w:p>
    <w:p w14:paraId="01032238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продолжать содействовать обмену информацией о передаче технологий среди международных организаций, стран-доноров и стран-получателей, в том числе оказывая им помощь в налаживании кооперативных сетевых связей между научно-исследовательскими институтами в области электросвязи/ИКТ развивающихся и развитых стран;</w:t>
      </w:r>
    </w:p>
    <w:p w14:paraId="70446754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оказывать помощь, при наличии соответствующей просьбы, в разработке круга ведения, обеспечивающего передачу технологий;</w:t>
      </w:r>
    </w:p>
    <w:p w14:paraId="0B3CE912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4</w:t>
      </w:r>
      <w:r w:rsidRPr="002B2BF7">
        <w:rPr>
          <w:lang w:val="ru-RU"/>
        </w:rPr>
        <w:tab/>
        <w:t>продолжать подготовку справочников, затрагивающих вопрос передачи технологий, а также обеспечить распространение этих справочников в развивающихся странах и надлежащую подготовку пользователей к их применению;</w:t>
      </w:r>
    </w:p>
    <w:p w14:paraId="3AC6179A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5</w:t>
      </w:r>
      <w:r w:rsidRPr="002B2BF7">
        <w:rPr>
          <w:lang w:val="ru-RU"/>
        </w:rPr>
        <w:tab/>
        <w:t>оказывать финансовую поддержку научно-исследовательским институтам развивающихся стран, с тем чтобы они могли участвовать в работе собраний, семинаров-практикумов и программ МСЭ по вопросам проведения научных исследований в рамках имеющихся ресурсов;</w:t>
      </w:r>
    </w:p>
    <w:p w14:paraId="5C845466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6</w:t>
      </w:r>
      <w:r w:rsidRPr="002B2BF7">
        <w:rPr>
          <w:lang w:val="ru-RU"/>
        </w:rPr>
        <w:tab/>
        <w:t>содействовать допуску академических организаций, университетов и соответствующих исследовательских учреждений к участию в работе Сектора развития электросвязи МСЭ в качестве Членов Сектора либо Ассоциированных членов при сниженном уровне финансовых взносов, в частности для академических учреждений развивающихся стран,</w:t>
      </w:r>
    </w:p>
    <w:p w14:paraId="5BA6A4A5" w14:textId="77777777" w:rsidR="00457580" w:rsidRPr="002B2BF7" w:rsidRDefault="00457580" w:rsidP="00457580">
      <w:pPr>
        <w:pStyle w:val="Call"/>
        <w:rPr>
          <w:lang w:val="ru-RU"/>
        </w:rPr>
      </w:pPr>
      <w:r w:rsidRPr="002B2BF7">
        <w:rPr>
          <w:lang w:val="ru-RU"/>
        </w:rPr>
        <w:t>предлагает развивающимся странам</w:t>
      </w:r>
    </w:p>
    <w:p w14:paraId="230734BF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1</w:t>
      </w:r>
      <w:r w:rsidRPr="002B2BF7">
        <w:rPr>
          <w:lang w:val="ru-RU"/>
        </w:rPr>
        <w:tab/>
        <w:t>продолжать разрабатывать новые проекты по исследованиям в области электросвязи/ИКТ и представлять их действующим учреждениям, занимающимся прикладными исследованиями, с целью облегчения сотрудничества с другими научно-исследовательскими институтами;</w:t>
      </w:r>
    </w:p>
    <w:p w14:paraId="667F3EF4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2</w:t>
      </w:r>
      <w:r w:rsidRPr="002B2BF7">
        <w:rPr>
          <w:lang w:val="ru-RU"/>
        </w:rPr>
        <w:tab/>
        <w:t>принимать участие в деятельности организаций по разработке стандартов;</w:t>
      </w:r>
    </w:p>
    <w:p w14:paraId="3A9EFFFE" w14:textId="77777777" w:rsidR="00457580" w:rsidRPr="002B2BF7" w:rsidRDefault="00457580" w:rsidP="00457580">
      <w:pPr>
        <w:rPr>
          <w:i/>
          <w:lang w:val="ru-RU"/>
        </w:rPr>
      </w:pPr>
      <w:r w:rsidRPr="002B2BF7">
        <w:rPr>
          <w:lang w:val="ru-RU"/>
        </w:rPr>
        <w:t>3</w:t>
      </w:r>
      <w:r w:rsidRPr="002B2BF7">
        <w:rPr>
          <w:lang w:val="ru-RU"/>
        </w:rPr>
        <w:tab/>
        <w:t>участвовать в совместной деятельности и передаче технологий в области электросвязи/ИКТ между развивающимися странами,</w:t>
      </w:r>
      <w:r w:rsidRPr="002B2BF7">
        <w:rPr>
          <w:lang w:val="ru-RU"/>
        </w:rPr>
        <w:br w:type="page"/>
      </w:r>
    </w:p>
    <w:p w14:paraId="00CF7597" w14:textId="77777777" w:rsidR="00457580" w:rsidRPr="002B2BF7" w:rsidRDefault="00457580" w:rsidP="00457580">
      <w:pPr>
        <w:pStyle w:val="Call"/>
        <w:rPr>
          <w:lang w:val="ru-RU"/>
        </w:rPr>
      </w:pPr>
      <w:r w:rsidRPr="002B2BF7">
        <w:rPr>
          <w:lang w:val="ru-RU"/>
        </w:rPr>
        <w:lastRenderedPageBreak/>
        <w:t>предлагает поставщикам оборудования и услуг электросвязи</w:t>
      </w:r>
    </w:p>
    <w:p w14:paraId="31DECBD1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в соответствии с Женевской декларацией принципов, принятой на первом этапе ВВУИО, и Тунисским обязательством, принятым на втором этапе, предоставлять на добровольной основе и/или в соответствии с разумными коммерческими принципами соответствующие новые технологии и ноу</w:t>
      </w:r>
      <w:r w:rsidRPr="002B2BF7">
        <w:rPr>
          <w:lang w:val="ru-RU"/>
        </w:rPr>
        <w:noBreakHyphen/>
        <w:t>хау своим клиентам в развивающихся странах,</w:t>
      </w:r>
    </w:p>
    <w:p w14:paraId="4B3DDFFA" w14:textId="77777777" w:rsidR="00457580" w:rsidRPr="002B2BF7" w:rsidRDefault="00457580" w:rsidP="00457580">
      <w:pPr>
        <w:pStyle w:val="Call"/>
        <w:rPr>
          <w:lang w:val="ru-RU"/>
        </w:rPr>
      </w:pPr>
      <w:r w:rsidRPr="002B2BF7">
        <w:rPr>
          <w:lang w:val="ru-RU"/>
        </w:rPr>
        <w:t>призывает международные организации и страны-доноры</w:t>
      </w:r>
    </w:p>
    <w:p w14:paraId="1FC65100" w14:textId="77777777" w:rsidR="00457580" w:rsidRPr="002B2BF7" w:rsidRDefault="00457580" w:rsidP="00457580">
      <w:pPr>
        <w:rPr>
          <w:lang w:val="ru-RU"/>
        </w:rPr>
      </w:pPr>
      <w:r w:rsidRPr="002B2BF7">
        <w:rPr>
          <w:lang w:val="ru-RU"/>
        </w:rPr>
        <w:t>оказывать развивающимся странам помощь, в том числе техническую и финансовую, в изучении путей и средств совершенствования передачи технологий и создания центров и лабораторий прикладных исследований в области электросвязи/ИКТ.</w:t>
      </w:r>
    </w:p>
    <w:p w14:paraId="161E409F" w14:textId="77777777" w:rsidR="00457580" w:rsidRPr="002B2BF7" w:rsidRDefault="00457580" w:rsidP="00457580">
      <w:pPr>
        <w:pStyle w:val="Reasons"/>
        <w:rPr>
          <w:lang w:val="ru-RU"/>
        </w:rPr>
      </w:pPr>
    </w:p>
    <w:p w14:paraId="21A1E283" w14:textId="77777777" w:rsidR="00457580" w:rsidRPr="002B2BF7" w:rsidRDefault="00457580" w:rsidP="00457580">
      <w:pPr>
        <w:pStyle w:val="Reasons"/>
        <w:rPr>
          <w:lang w:val="ru-RU"/>
        </w:rPr>
      </w:pPr>
    </w:p>
    <w:p w14:paraId="5A7B91C2" w14:textId="77777777" w:rsidR="00457580" w:rsidRPr="002B2BF7" w:rsidRDefault="00457580" w:rsidP="00457580">
      <w:pPr>
        <w:pStyle w:val="Reasons"/>
        <w:rPr>
          <w:lang w:val="ru-RU"/>
        </w:rPr>
      </w:pPr>
    </w:p>
    <w:p w14:paraId="519394F8" w14:textId="77777777" w:rsidR="00457580" w:rsidRPr="002B2BF7" w:rsidRDefault="00457580" w:rsidP="00457580">
      <w:pPr>
        <w:pStyle w:val="Reasons"/>
        <w:rPr>
          <w:lang w:val="ru-RU"/>
        </w:rPr>
      </w:pPr>
    </w:p>
    <w:p w14:paraId="25C6D19A" w14:textId="77777777" w:rsidR="00457580" w:rsidRPr="002B2BF7" w:rsidRDefault="00457580" w:rsidP="00457580">
      <w:pPr>
        <w:pStyle w:val="Reasons"/>
        <w:rPr>
          <w:lang w:val="ru-RU"/>
        </w:rPr>
      </w:pPr>
    </w:p>
    <w:p w14:paraId="5763BCD0" w14:textId="77777777" w:rsidR="00457580" w:rsidRPr="002B2BF7" w:rsidRDefault="00457580" w:rsidP="00457580">
      <w:pPr>
        <w:pStyle w:val="Reasons"/>
        <w:rPr>
          <w:lang w:val="ru-RU"/>
        </w:rPr>
      </w:pPr>
    </w:p>
    <w:p w14:paraId="284F566C" w14:textId="77777777" w:rsidR="00457580" w:rsidRPr="002B2BF7" w:rsidRDefault="00457580" w:rsidP="00457580">
      <w:pPr>
        <w:pStyle w:val="Reasons"/>
        <w:rPr>
          <w:lang w:val="ru-RU"/>
        </w:rPr>
      </w:pPr>
    </w:p>
    <w:p w14:paraId="06B3456E" w14:textId="77777777" w:rsidR="00457580" w:rsidRPr="002B2BF7" w:rsidRDefault="00457580" w:rsidP="00457580">
      <w:pPr>
        <w:pStyle w:val="Reasons"/>
        <w:rPr>
          <w:lang w:val="ru-RU"/>
        </w:rPr>
      </w:pPr>
    </w:p>
    <w:p w14:paraId="2234F2FF" w14:textId="7BBF1AE9" w:rsidR="00976299" w:rsidRPr="00457580" w:rsidRDefault="00976299" w:rsidP="00457580">
      <w:pPr>
        <w:rPr>
          <w:lang w:val="ru-RU"/>
        </w:rPr>
      </w:pPr>
    </w:p>
    <w:sectPr w:rsidR="00976299" w:rsidRPr="00457580" w:rsidSect="003E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EC4" w14:textId="77777777" w:rsidR="003E584B" w:rsidRDefault="003E584B" w:rsidP="003E584B">
      <w:pPr>
        <w:spacing w:before="0"/>
      </w:pPr>
      <w:r>
        <w:separator/>
      </w:r>
    </w:p>
  </w:endnote>
  <w:endnote w:type="continuationSeparator" w:id="0">
    <w:p w14:paraId="55BD7F9B" w14:textId="77777777" w:rsidR="003E584B" w:rsidRDefault="003E584B" w:rsidP="003E5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D65" w14:textId="77777777" w:rsidR="003E584B" w:rsidRDefault="003E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E26" w14:textId="77777777" w:rsidR="003E584B" w:rsidRDefault="003E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AEB" w14:textId="77777777" w:rsidR="003E584B" w:rsidRDefault="003E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58AD" w14:textId="77777777" w:rsidR="003E584B" w:rsidRDefault="003E584B" w:rsidP="003E584B">
      <w:pPr>
        <w:spacing w:before="0"/>
      </w:pPr>
      <w:r>
        <w:separator/>
      </w:r>
    </w:p>
  </w:footnote>
  <w:footnote w:type="continuationSeparator" w:id="0">
    <w:p w14:paraId="72557AB2" w14:textId="77777777" w:rsidR="003E584B" w:rsidRDefault="003E584B" w:rsidP="003E584B">
      <w:pPr>
        <w:spacing w:before="0"/>
      </w:pPr>
      <w:r>
        <w:continuationSeparator/>
      </w:r>
    </w:p>
  </w:footnote>
  <w:footnote w:id="1">
    <w:p w14:paraId="267B386C" w14:textId="77777777" w:rsidR="00457580" w:rsidRPr="00FE2866" w:rsidRDefault="00457580" w:rsidP="004575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E2866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157714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14:paraId="4EAB3C34" w14:textId="6362815D" w:rsidR="003E584B" w:rsidRPr="003E584B" w:rsidRDefault="003E584B" w:rsidP="003E584B">
        <w:pPr>
          <w:pStyle w:val="Header"/>
          <w:tabs>
            <w:tab w:val="clear" w:pos="4513"/>
            <w:tab w:val="left" w:pos="851"/>
          </w:tabs>
          <w:jc w:val="left"/>
          <w:rPr>
            <w:szCs w:val="22"/>
            <w:lang w:val="ru-RU"/>
          </w:rPr>
        </w:pPr>
        <w:r w:rsidRPr="00BF1EE0">
          <w:rPr>
            <w:szCs w:val="22"/>
          </w:rPr>
          <w:fldChar w:fldCharType="begin"/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instrText>PAGE</w:instrText>
        </w:r>
        <w:r w:rsidRPr="00E3202A">
          <w:rPr>
            <w:szCs w:val="22"/>
            <w:lang w:val="ru-RU"/>
          </w:rPr>
          <w:instrText xml:space="preserve">   \* </w:instrText>
        </w:r>
        <w:r w:rsidRPr="00BF1EE0">
          <w:rPr>
            <w:szCs w:val="22"/>
          </w:rPr>
          <w:instrText>MERGEFORMAT</w:instrText>
        </w:r>
        <w:r w:rsidRPr="00E3202A">
          <w:rPr>
            <w:szCs w:val="22"/>
            <w:lang w:val="ru-RU"/>
          </w:rPr>
          <w:instrText xml:space="preserve"> </w:instrText>
        </w:r>
        <w:r w:rsidRPr="00BF1EE0">
          <w:rPr>
            <w:szCs w:val="22"/>
          </w:rPr>
          <w:fldChar w:fldCharType="separate"/>
        </w:r>
        <w:r w:rsidRPr="003E584B">
          <w:rPr>
            <w:szCs w:val="22"/>
            <w:lang w:val="ru-RU"/>
          </w:rPr>
          <w:t>144</w:t>
        </w:r>
        <w:r w:rsidRPr="00BF1EE0">
          <w:rPr>
            <w:noProof/>
            <w:szCs w:val="22"/>
          </w:rPr>
          <w:fldChar w:fldCharType="end"/>
        </w:r>
        <w:r w:rsidRPr="00E3202A">
          <w:rPr>
            <w:noProof/>
            <w:szCs w:val="22"/>
            <w:lang w:val="ru-RU"/>
          </w:rPr>
          <w:tab/>
        </w:r>
        <w:r w:rsidRPr="00E3202A">
          <w:rPr>
            <w:szCs w:val="22"/>
            <w:lang w:val="ru-RU"/>
          </w:rPr>
          <w:t xml:space="preserve">Заключительный отчет ВКРЭ-22 – Часть </w:t>
        </w:r>
        <w:r w:rsidRPr="00895A25">
          <w:rPr>
            <w:szCs w:val="22"/>
          </w:rPr>
          <w:t>IV</w:t>
        </w:r>
        <w:r w:rsidRPr="00E3202A">
          <w:rPr>
            <w:szCs w:val="22"/>
            <w:lang w:val="ru-RU"/>
          </w:rPr>
          <w:t xml:space="preserve"> – </w:t>
        </w:r>
        <w:r w:rsidRPr="00895A25">
          <w:rPr>
            <w:szCs w:val="22"/>
            <w:lang w:val="ru-RU"/>
          </w:rPr>
          <w:t>Резолюци</w:t>
        </w:r>
        <w:r>
          <w:rPr>
            <w:szCs w:val="22"/>
            <w:lang w:val="ru-RU"/>
          </w:rPr>
          <w:t xml:space="preserve">я </w:t>
        </w:r>
        <w:r w:rsidRPr="00F910FE">
          <w:rPr>
            <w:szCs w:val="22"/>
          </w:rPr>
          <w:fldChar w:fldCharType="begin"/>
        </w:r>
        <w:r w:rsidRPr="00F910FE">
          <w:rPr>
            <w:szCs w:val="22"/>
          </w:rPr>
          <w:instrText>styleref</w:instrText>
        </w:r>
        <w:r w:rsidRPr="00E3202A">
          <w:rPr>
            <w:szCs w:val="22"/>
            <w:lang w:val="ru-RU"/>
          </w:rPr>
          <w:instrText xml:space="preserve"> </w:instrText>
        </w:r>
        <w:r w:rsidRPr="00F910FE">
          <w:rPr>
            <w:szCs w:val="22"/>
          </w:rPr>
          <w:instrText>href</w:instrText>
        </w:r>
        <w:r w:rsidRPr="00F910FE">
          <w:rPr>
            <w:szCs w:val="22"/>
          </w:rPr>
          <w:fldChar w:fldCharType="separate"/>
        </w:r>
        <w:r w:rsidR="00213C60">
          <w:rPr>
            <w:noProof/>
            <w:szCs w:val="22"/>
          </w:rPr>
          <w:t>15</w:t>
        </w:r>
        <w:r w:rsidRPr="00F910FE">
          <w:rPr>
            <w:szCs w:val="22"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513" w14:textId="73BF1AF1" w:rsidR="003E584B" w:rsidRPr="003E584B" w:rsidRDefault="003E584B" w:rsidP="003E584B">
    <w:pPr>
      <w:pStyle w:val="Header"/>
      <w:tabs>
        <w:tab w:val="clear" w:pos="4513"/>
        <w:tab w:val="clear" w:pos="9026"/>
        <w:tab w:val="right" w:pos="8789"/>
        <w:tab w:val="right" w:pos="9639"/>
      </w:tabs>
      <w:jc w:val="right"/>
      <w:rPr>
        <w:szCs w:val="22"/>
        <w:lang w:val="ru-RU"/>
      </w:rPr>
    </w:pPr>
    <w:r>
      <w:rPr>
        <w:szCs w:val="22"/>
      </w:rPr>
      <w:tab/>
    </w:r>
    <w:r w:rsidRPr="00E3202A">
      <w:rPr>
        <w:szCs w:val="22"/>
        <w:lang w:val="ru-RU"/>
      </w:rPr>
      <w:t xml:space="preserve">Заключительный отчет ВКРЭ-22 – Часть </w:t>
    </w:r>
    <w:r w:rsidRPr="00895A25">
      <w:rPr>
        <w:szCs w:val="22"/>
      </w:rPr>
      <w:t>IV</w:t>
    </w:r>
    <w:r w:rsidRPr="00895A25">
      <w:rPr>
        <w:szCs w:val="22"/>
        <w:lang w:val="ru-RU"/>
      </w:rPr>
      <w:t xml:space="preserve"> − Резолюци</w:t>
    </w:r>
    <w:r>
      <w:rPr>
        <w:szCs w:val="22"/>
        <w:lang w:val="ru-RU"/>
      </w:rPr>
      <w:t xml:space="preserve">я </w:t>
    </w:r>
    <w:r w:rsidRPr="00F910FE">
      <w:rPr>
        <w:szCs w:val="22"/>
      </w:rPr>
      <w:fldChar w:fldCharType="begin"/>
    </w:r>
    <w:r w:rsidRPr="00F910FE">
      <w:rPr>
        <w:szCs w:val="22"/>
      </w:rPr>
      <w:instrText>styleref</w:instrText>
    </w:r>
    <w:r w:rsidRPr="00E3202A">
      <w:rPr>
        <w:szCs w:val="22"/>
        <w:lang w:val="ru-RU"/>
      </w:rPr>
      <w:instrText xml:space="preserve"> </w:instrText>
    </w:r>
    <w:r w:rsidRPr="00F910FE">
      <w:rPr>
        <w:szCs w:val="22"/>
      </w:rPr>
      <w:instrText>href</w:instrText>
    </w:r>
    <w:r w:rsidRPr="00F910FE">
      <w:rPr>
        <w:szCs w:val="22"/>
      </w:rPr>
      <w:fldChar w:fldCharType="separate"/>
    </w:r>
    <w:r w:rsidR="00213C60">
      <w:rPr>
        <w:noProof/>
        <w:szCs w:val="22"/>
      </w:rPr>
      <w:t>15</w:t>
    </w:r>
    <w:r w:rsidRPr="00F910FE">
      <w:rPr>
        <w:szCs w:val="22"/>
        <w:lang w:val="ru-RU"/>
      </w:rPr>
      <w:fldChar w:fldCharType="end"/>
    </w:r>
    <w:r w:rsidRPr="00E3202A">
      <w:rPr>
        <w:szCs w:val="22"/>
        <w:lang w:val="ru-RU"/>
      </w:rPr>
      <w:tab/>
    </w:r>
    <w:r w:rsidRPr="00763A31">
      <w:fldChar w:fldCharType="begin"/>
    </w:r>
    <w:r w:rsidRPr="00E3202A">
      <w:rPr>
        <w:lang w:val="ru-RU"/>
      </w:rPr>
      <w:instrText xml:space="preserve"> </w:instrText>
    </w:r>
    <w:r w:rsidRPr="00763A31">
      <w:instrText>PAGE</w:instrText>
    </w:r>
    <w:r w:rsidRPr="00E3202A">
      <w:rPr>
        <w:lang w:val="ru-RU"/>
      </w:rPr>
      <w:instrText xml:space="preserve">   \* </w:instrText>
    </w:r>
    <w:r w:rsidRPr="00763A31">
      <w:instrText>MERGEFORMAT</w:instrText>
    </w:r>
    <w:r w:rsidRPr="00E3202A">
      <w:rPr>
        <w:lang w:val="ru-RU"/>
      </w:rPr>
      <w:instrText xml:space="preserve"> </w:instrText>
    </w:r>
    <w:r w:rsidRPr="00763A31">
      <w:fldChar w:fldCharType="separate"/>
    </w:r>
    <w:r w:rsidRPr="003E584B">
      <w:rPr>
        <w:lang w:val="ru-RU"/>
      </w:rPr>
      <w:t>143</w:t>
    </w:r>
    <w:r w:rsidRPr="00763A3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C37" w14:textId="77777777" w:rsidR="003E584B" w:rsidRDefault="003E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B"/>
    <w:rsid w:val="000637AD"/>
    <w:rsid w:val="000D1BE4"/>
    <w:rsid w:val="000F689C"/>
    <w:rsid w:val="00204E9F"/>
    <w:rsid w:val="00213C60"/>
    <w:rsid w:val="003E584B"/>
    <w:rsid w:val="00457580"/>
    <w:rsid w:val="00595A93"/>
    <w:rsid w:val="006A35C7"/>
    <w:rsid w:val="009374F3"/>
    <w:rsid w:val="00976299"/>
    <w:rsid w:val="00DD3985"/>
    <w:rsid w:val="00E45F09"/>
    <w:rsid w:val="00F063A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872"/>
  <w15:chartTrackingRefBased/>
  <w15:docId w15:val="{5D9E5091-FCB2-40A4-8374-0543ED6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5C7"/>
    <w:pPr>
      <w:keepNext/>
      <w:keepLines/>
      <w:spacing w:before="240"/>
      <w:ind w:left="1134" w:hanging="1134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3E584B"/>
    <w:pPr>
      <w:keepNext/>
      <w:keepLines/>
      <w:spacing w:before="160"/>
      <w:ind w:left="113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3E584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Reasons">
    <w:name w:val="Reasons"/>
    <w:basedOn w:val="Normal"/>
    <w:qFormat/>
    <w:rsid w:val="003E584B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3E584B"/>
    <w:pPr>
      <w:spacing w:before="200"/>
      <w:ind w:left="1134" w:hanging="1134"/>
      <w:jc w:val="center"/>
      <w:outlineLvl w:val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Restitle">
    <w:name w:val="Res_title"/>
    <w:basedOn w:val="Heading2"/>
    <w:next w:val="Normal"/>
    <w:link w:val="RestitleChar"/>
    <w:rsid w:val="003E584B"/>
    <w:pPr>
      <w:tabs>
        <w:tab w:val="clear" w:pos="1134"/>
        <w:tab w:val="clear" w:pos="1871"/>
        <w:tab w:val="clear" w:pos="2268"/>
      </w:tabs>
      <w:spacing w:before="200"/>
      <w:jc w:val="center"/>
    </w:pPr>
    <w:rPr>
      <w:rFonts w:ascii="Calibri" w:eastAsia="Times New Roman" w:hAnsi="Calibri" w:cs="Times New Roman"/>
      <w:b/>
      <w:color w:val="auto"/>
      <w:sz w:val="28"/>
      <w:szCs w:val="20"/>
    </w:rPr>
  </w:style>
  <w:style w:type="character" w:customStyle="1" w:styleId="href">
    <w:name w:val="href"/>
    <w:basedOn w:val="DefaultParagraphFont"/>
    <w:rsid w:val="003E584B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3E584B"/>
    <w:rPr>
      <w:rFonts w:ascii="Calibri" w:eastAsia="Times New Roman" w:hAnsi="Calibri" w:cs="Times New Roman"/>
      <w:i/>
      <w:kern w:val="0"/>
      <w:sz w:val="24"/>
      <w:szCs w:val="20"/>
      <w14:ligatures w14:val="none"/>
    </w:rPr>
  </w:style>
  <w:style w:type="character" w:customStyle="1" w:styleId="ResNoChar">
    <w:name w:val="Res_No Char"/>
    <w:basedOn w:val="DefaultParagraphFont"/>
    <w:link w:val="ResNo"/>
    <w:rsid w:val="003E584B"/>
    <w:rPr>
      <w:rFonts w:ascii="Calibri" w:eastAsia="Times New Roman" w:hAnsi="Calibri" w:cs="Times New Roman"/>
      <w:kern w:val="0"/>
      <w:sz w:val="28"/>
      <w:szCs w:val="20"/>
      <w14:ligatures w14:val="none"/>
    </w:rPr>
  </w:style>
  <w:style w:type="character" w:customStyle="1" w:styleId="RestitleChar">
    <w:name w:val="Res_title Char"/>
    <w:basedOn w:val="DefaultParagraphFont"/>
    <w:link w:val="Restitle"/>
    <w:rsid w:val="003E584B"/>
    <w:rPr>
      <w:rFonts w:ascii="Calibri" w:eastAsia="Times New Roman" w:hAnsi="Calibri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84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E584B"/>
    <w:rPr>
      <w:rFonts w:ascii="Calibri" w:eastAsia="Times New Roman" w:hAnsi="Calibri" w:cs="Times New Roman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84B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E584B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customStyle="1" w:styleId="Normalcenteraligned">
    <w:name w:val="Normal center aligned"/>
    <w:basedOn w:val="Normal"/>
    <w:rsid w:val="000D1BE4"/>
    <w:pPr>
      <w:jc w:val="center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6A35C7"/>
    <w:rPr>
      <w:rFonts w:eastAsiaTheme="majorEastAsia" w:cstheme="majorBidi"/>
      <w:b/>
      <w:kern w:val="0"/>
      <w:sz w:val="28"/>
      <w:szCs w:val="32"/>
      <w14:ligatures w14:val="none"/>
    </w:rPr>
  </w:style>
  <w:style w:type="paragraph" w:customStyle="1" w:styleId="AnnexNo">
    <w:name w:val="Annex_No"/>
    <w:basedOn w:val="Normal"/>
    <w:next w:val="Normal"/>
    <w:link w:val="AnnexNoChar"/>
    <w:rsid w:val="0097629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Heading2"/>
    <w:next w:val="Normal"/>
    <w:rsid w:val="00204E9F"/>
    <w:pPr>
      <w:spacing w:before="240" w:after="280"/>
      <w:jc w:val="center"/>
    </w:pPr>
    <w:rPr>
      <w:rFonts w:ascii="Calibri" w:eastAsia="Calibri" w:hAnsi="Calibri" w:cs="Times New Roman"/>
      <w:b/>
      <w:iCs/>
      <w:color w:val="auto"/>
      <w:sz w:val="28"/>
      <w:szCs w:val="20"/>
      <w:bdr w:val="none" w:sz="0" w:space="0" w:color="auto" w:frame="1"/>
      <w:lang w:eastAsia="en-GB"/>
    </w:rPr>
  </w:style>
  <w:style w:type="paragraph" w:customStyle="1" w:styleId="enumlev1">
    <w:name w:val="enumlev1"/>
    <w:basedOn w:val="Normal"/>
    <w:link w:val="enumlev1Char"/>
    <w:rsid w:val="009762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976299"/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rsid w:val="0097629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976299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976299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Tabletext">
    <w:name w:val="Table_text"/>
    <w:basedOn w:val="Normal"/>
    <w:link w:val="TabletextChar"/>
    <w:rsid w:val="009762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Headingb">
    <w:name w:val="Heading_b"/>
    <w:basedOn w:val="Normal"/>
    <w:next w:val="Normal"/>
    <w:link w:val="HeadingbChar"/>
    <w:qFormat/>
    <w:rsid w:val="00976299"/>
    <w:pPr>
      <w:keepNext/>
      <w:spacing w:before="160"/>
    </w:pPr>
    <w:rPr>
      <w:rFonts w:cs="Times New Roman Bold"/>
      <w:b/>
      <w:lang w:val="fr-CH"/>
    </w:rPr>
  </w:style>
  <w:style w:type="character" w:customStyle="1" w:styleId="HeadingbChar">
    <w:name w:val="Heading_b Char"/>
    <w:basedOn w:val="DefaultParagraphFont"/>
    <w:link w:val="Headingb"/>
    <w:locked/>
    <w:rsid w:val="00976299"/>
    <w:rPr>
      <w:rFonts w:ascii="Calibri" w:eastAsia="Times New Roman" w:hAnsi="Calibri" w:cs="Times New Roman Bold"/>
      <w:b/>
      <w:kern w:val="0"/>
      <w:sz w:val="24"/>
      <w:szCs w:val="20"/>
      <w:lang w:val="fr-CH"/>
      <w14:ligatures w14:val="none"/>
    </w:rPr>
  </w:style>
  <w:style w:type="character" w:styleId="Hyperlink">
    <w:name w:val="Hyperlink"/>
    <w:rsid w:val="00976299"/>
    <w:rPr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97629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nnexNoChar">
    <w:name w:val="Annex_No Char"/>
    <w:basedOn w:val="DefaultParagraphFont"/>
    <w:link w:val="AnnexNo"/>
    <w:rsid w:val="00976299"/>
    <w:rPr>
      <w:rFonts w:ascii="Calibri" w:eastAsia="Times New Roman" w:hAnsi="Calibri" w:cs="Times New Roman"/>
      <w:caps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A771-F19C-48C8-A8DF-69AD9E90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Berdyeva, Elena</dc:creator>
  <cp:keywords/>
  <dc:description/>
  <cp:lastModifiedBy>Berdyeva, Elena</cp:lastModifiedBy>
  <cp:revision>10</cp:revision>
  <dcterms:created xsi:type="dcterms:W3CDTF">2023-10-16T12:49:00Z</dcterms:created>
  <dcterms:modified xsi:type="dcterms:W3CDTF">2023-10-16T15:00:00Z</dcterms:modified>
</cp:coreProperties>
</file>