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5C4" w:rsidRPr="00C5494E" w:rsidRDefault="008105C4" w:rsidP="008105C4">
      <w:pPr>
        <w:pStyle w:val="Title"/>
        <w:rPr>
          <w:lang w:val="en-GB"/>
        </w:rPr>
      </w:pPr>
    </w:p>
    <w:p w:rsidR="00262FB0" w:rsidRPr="00C5494E" w:rsidRDefault="008105C4" w:rsidP="00262FB0">
      <w:pPr>
        <w:pStyle w:val="Title"/>
        <w:spacing w:after="0"/>
        <w:ind w:left="425"/>
        <w:jc w:val="left"/>
        <w:rPr>
          <w:rFonts w:cs="Aharoni"/>
          <w:sz w:val="100"/>
          <w:szCs w:val="100"/>
          <w:lang w:val="en-GB"/>
        </w:rPr>
      </w:pPr>
      <w:bookmarkStart w:id="0" w:name="_Toc273610068"/>
      <w:bookmarkStart w:id="1" w:name="_Toc273623604"/>
      <w:r w:rsidRPr="00C5494E">
        <w:rPr>
          <w:rFonts w:cs="Aharoni"/>
          <w:sz w:val="100"/>
          <w:szCs w:val="100"/>
          <w:lang w:val="en-GB"/>
        </w:rPr>
        <w:t>S</w:t>
      </w:r>
      <w:r w:rsidRPr="00C5494E">
        <w:rPr>
          <w:rFonts w:cs="Aharoni"/>
          <w:smallCaps/>
          <w:sz w:val="100"/>
          <w:szCs w:val="100"/>
          <w:lang w:val="en-GB"/>
        </w:rPr>
        <w:t>timulating</w:t>
      </w:r>
      <w:r w:rsidRPr="00C5494E">
        <w:rPr>
          <w:rFonts w:cs="Aharoni"/>
          <w:sz w:val="100"/>
          <w:szCs w:val="100"/>
          <w:lang w:val="en-GB"/>
        </w:rPr>
        <w:t xml:space="preserve"> </w:t>
      </w:r>
      <w:r w:rsidR="000F4A58" w:rsidRPr="00C5494E">
        <w:rPr>
          <w:rFonts w:cs="Aharoni"/>
          <w:smallCaps/>
          <w:sz w:val="100"/>
          <w:szCs w:val="100"/>
          <w:lang w:val="en-GB"/>
        </w:rPr>
        <w:t>universal</w:t>
      </w:r>
      <w:r w:rsidR="000F4A58" w:rsidRPr="00C5494E">
        <w:rPr>
          <w:rFonts w:cs="Aharoni"/>
          <w:sz w:val="100"/>
          <w:szCs w:val="100"/>
          <w:lang w:val="en-GB"/>
        </w:rPr>
        <w:t xml:space="preserve"> </w:t>
      </w:r>
    </w:p>
    <w:p w:rsidR="008105C4" w:rsidRPr="00C5494E" w:rsidRDefault="000F4A58" w:rsidP="00262FB0">
      <w:pPr>
        <w:pStyle w:val="Title"/>
        <w:spacing w:before="0"/>
        <w:ind w:left="426"/>
        <w:jc w:val="left"/>
        <w:rPr>
          <w:rFonts w:cs="Aharoni"/>
          <w:smallCaps/>
          <w:sz w:val="100"/>
          <w:szCs w:val="100"/>
          <w:lang w:val="en-GB"/>
        </w:rPr>
      </w:pPr>
      <w:r w:rsidRPr="00C5494E">
        <w:rPr>
          <w:rFonts w:cs="Aharoni"/>
          <w:smallCaps/>
          <w:sz w:val="100"/>
          <w:szCs w:val="100"/>
          <w:lang w:val="en-GB"/>
        </w:rPr>
        <w:t xml:space="preserve">access </w:t>
      </w:r>
      <w:r w:rsidR="008105C4" w:rsidRPr="00C5494E">
        <w:rPr>
          <w:rFonts w:cs="Aharoni"/>
          <w:smallCaps/>
          <w:sz w:val="100"/>
          <w:szCs w:val="100"/>
          <w:lang w:val="en-GB"/>
        </w:rPr>
        <w:t xml:space="preserve">to </w:t>
      </w:r>
      <w:r w:rsidRPr="00C5494E">
        <w:rPr>
          <w:rFonts w:cs="Aharoni"/>
          <w:smallCaps/>
          <w:sz w:val="100"/>
          <w:szCs w:val="100"/>
          <w:lang w:val="en-GB"/>
        </w:rPr>
        <w:t>broadband</w:t>
      </w:r>
      <w:bookmarkEnd w:id="0"/>
      <w:bookmarkEnd w:id="1"/>
      <w:r w:rsidRPr="00C5494E">
        <w:rPr>
          <w:rFonts w:cs="Aharoni"/>
          <w:smallCaps/>
          <w:sz w:val="100"/>
          <w:szCs w:val="100"/>
          <w:lang w:val="en-GB"/>
        </w:rPr>
        <w:t xml:space="preserve"> </w:t>
      </w:r>
    </w:p>
    <w:p w:rsidR="00262FB0" w:rsidRPr="00C5494E" w:rsidRDefault="00262FB0" w:rsidP="008105C4">
      <w:pPr>
        <w:pStyle w:val="Title"/>
        <w:rPr>
          <w:rFonts w:cs="Aharoni"/>
          <w:lang w:val="en-GB"/>
        </w:rPr>
      </w:pPr>
      <w:bookmarkStart w:id="2" w:name="_Toc273610069"/>
      <w:bookmarkStart w:id="3" w:name="_Toc273623605"/>
    </w:p>
    <w:p w:rsidR="00262FB0" w:rsidRPr="00C5494E" w:rsidRDefault="00262FB0" w:rsidP="008105C4">
      <w:pPr>
        <w:pStyle w:val="Title"/>
        <w:rPr>
          <w:rFonts w:cs="Aharoni"/>
          <w:lang w:val="en-GB"/>
        </w:rPr>
      </w:pPr>
    </w:p>
    <w:p w:rsidR="00262FB0" w:rsidRPr="00C5494E" w:rsidRDefault="00262FB0" w:rsidP="008105C4">
      <w:pPr>
        <w:pStyle w:val="Title"/>
        <w:rPr>
          <w:rFonts w:cs="Aharoni"/>
          <w:lang w:val="en-GB"/>
        </w:rPr>
      </w:pPr>
    </w:p>
    <w:p w:rsidR="009643E4" w:rsidRPr="00C5494E" w:rsidRDefault="008105C4" w:rsidP="00262FB0">
      <w:pPr>
        <w:pStyle w:val="Title"/>
        <w:spacing w:line="360" w:lineRule="auto"/>
        <w:ind w:left="425"/>
        <w:jc w:val="left"/>
        <w:rPr>
          <w:rFonts w:cs="Aharoni"/>
          <w:i/>
          <w:iCs/>
          <w:color w:val="auto"/>
          <w:sz w:val="40"/>
          <w:szCs w:val="40"/>
          <w:lang w:val="en-GB"/>
        </w:rPr>
      </w:pPr>
      <w:r w:rsidRPr="00C5494E">
        <w:rPr>
          <w:rFonts w:cs="Aharoni"/>
          <w:i/>
          <w:iCs/>
          <w:color w:val="auto"/>
          <w:sz w:val="40"/>
          <w:szCs w:val="40"/>
          <w:lang w:val="en-GB"/>
        </w:rPr>
        <w:t>in</w:t>
      </w:r>
      <w:bookmarkEnd w:id="2"/>
      <w:bookmarkEnd w:id="3"/>
      <w:r w:rsidRPr="00C5494E">
        <w:rPr>
          <w:rFonts w:cs="Aharoni"/>
          <w:i/>
          <w:iCs/>
          <w:color w:val="auto"/>
          <w:sz w:val="40"/>
          <w:szCs w:val="40"/>
          <w:lang w:val="en-GB"/>
        </w:rPr>
        <w:t xml:space="preserve"> </w:t>
      </w:r>
      <w:bookmarkStart w:id="4" w:name="_Toc273610070"/>
      <w:bookmarkStart w:id="5" w:name="_Toc273623606"/>
      <w:r w:rsidRPr="00C5494E">
        <w:rPr>
          <w:rFonts w:cs="Aharoni"/>
          <w:i/>
          <w:iCs/>
          <w:color w:val="auto"/>
          <w:sz w:val="40"/>
          <w:szCs w:val="40"/>
          <w:lang w:val="en-GB"/>
        </w:rPr>
        <w:t xml:space="preserve">Afghanistan, Bangladesh, </w:t>
      </w:r>
      <w:r w:rsidR="00262FB0" w:rsidRPr="00C5494E">
        <w:rPr>
          <w:rFonts w:cs="Aharoni"/>
          <w:i/>
          <w:iCs/>
          <w:color w:val="auto"/>
          <w:sz w:val="40"/>
          <w:szCs w:val="40"/>
          <w:lang w:val="en-GB"/>
        </w:rPr>
        <w:br/>
      </w:r>
      <w:r w:rsidRPr="00C5494E">
        <w:rPr>
          <w:rFonts w:cs="Aharoni"/>
          <w:i/>
          <w:iCs/>
          <w:color w:val="auto"/>
          <w:sz w:val="40"/>
          <w:szCs w:val="40"/>
          <w:lang w:val="en-GB"/>
        </w:rPr>
        <w:t>Bhutan, Maldives and Nepal</w:t>
      </w:r>
      <w:bookmarkEnd w:id="4"/>
      <w:bookmarkEnd w:id="5"/>
    </w:p>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Pr>
        <w:jc w:val="right"/>
        <w:rPr>
          <w:sz w:val="28"/>
          <w:szCs w:val="24"/>
        </w:rPr>
      </w:pPr>
      <w:r w:rsidRPr="00C5494E">
        <w:rPr>
          <w:sz w:val="28"/>
          <w:szCs w:val="24"/>
        </w:rPr>
        <w:t>November 2010</w:t>
      </w:r>
    </w:p>
    <w:p w:rsidR="008105C4" w:rsidRPr="00C5494E" w:rsidRDefault="008105C4" w:rsidP="008105C4"/>
    <w:p w:rsidR="00B77126" w:rsidRPr="00C5494E" w:rsidRDefault="00B77126" w:rsidP="008105C4"/>
    <w:p w:rsidR="00B77126" w:rsidRPr="00C5494E" w:rsidRDefault="00B77126" w:rsidP="008105C4"/>
    <w:p w:rsidR="008105C4" w:rsidRPr="00C5494E" w:rsidRDefault="008105C4" w:rsidP="00B77126">
      <w:r w:rsidRPr="00C5494E">
        <w:rPr>
          <w:rFonts w:ascii="Bookman Old Style" w:hAnsi="Bookman Old Style"/>
          <w:noProof/>
          <w:lang w:val="en-US" w:eastAsia="zh-CN"/>
        </w:rPr>
        <w:drawing>
          <wp:inline distT="0" distB="0" distL="0" distR="0">
            <wp:extent cx="6120765" cy="80027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27547"/>
                    <a:stretch>
                      <a:fillRect/>
                    </a:stretch>
                  </pic:blipFill>
                  <pic:spPr bwMode="auto">
                    <a:xfrm>
                      <a:off x="0" y="0"/>
                      <a:ext cx="6120765" cy="800272"/>
                    </a:xfrm>
                    <a:prstGeom prst="rect">
                      <a:avLst/>
                    </a:prstGeom>
                    <a:noFill/>
                    <a:ln w="9525">
                      <a:noFill/>
                      <a:miter lim="800000"/>
                      <a:headEnd/>
                      <a:tailEnd/>
                    </a:ln>
                  </pic:spPr>
                </pic:pic>
              </a:graphicData>
            </a:graphic>
          </wp:inline>
        </w:drawing>
      </w:r>
    </w:p>
    <w:p w:rsidR="008105C4" w:rsidRPr="00C5494E" w:rsidRDefault="008105C4" w:rsidP="008105C4"/>
    <w:p w:rsidR="008105C4" w:rsidRPr="00C5494E" w:rsidRDefault="008105C4" w:rsidP="008105C4">
      <w:pPr>
        <w:jc w:val="right"/>
      </w:pPr>
    </w:p>
    <w:p w:rsidR="008105C4" w:rsidRPr="00C5494E" w:rsidRDefault="008105C4">
      <w:pPr>
        <w:tabs>
          <w:tab w:val="clear" w:pos="794"/>
          <w:tab w:val="clear" w:pos="1191"/>
          <w:tab w:val="clear" w:pos="1588"/>
          <w:tab w:val="clear" w:pos="1985"/>
        </w:tabs>
        <w:overflowPunct/>
        <w:autoSpaceDE/>
        <w:autoSpaceDN/>
        <w:adjustRightInd/>
        <w:spacing w:before="0"/>
        <w:jc w:val="left"/>
        <w:textAlignment w:val="auto"/>
      </w:pPr>
      <w:r w:rsidRPr="00C5494E">
        <w:rPr>
          <w:noProof/>
          <w:lang w:val="en-US" w:eastAsia="zh-CN"/>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537210" cy="607060"/>
            <wp:effectExtent l="19050" t="0" r="0" b="0"/>
            <wp:wrapSquare wrapText="bothSides"/>
            <wp:docPr id="2" name="Picture 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stretch>
                      <a:fillRect/>
                    </a:stretch>
                  </pic:blipFill>
                  <pic:spPr>
                    <a:xfrm>
                      <a:off x="0" y="0"/>
                      <a:ext cx="537210" cy="607060"/>
                    </a:xfrm>
                    <a:prstGeom prst="rect">
                      <a:avLst/>
                    </a:prstGeom>
                  </pic:spPr>
                </pic:pic>
              </a:graphicData>
            </a:graphic>
          </wp:anchor>
        </w:drawing>
      </w:r>
      <w:r w:rsidRPr="00C5494E">
        <w:br w:type="page"/>
      </w:r>
    </w:p>
    <w:p w:rsidR="008105C4" w:rsidRPr="00C5494E" w:rsidRDefault="008105C4" w:rsidP="008105C4"/>
    <w:p w:rsidR="008105C4" w:rsidRPr="00C5494E" w:rsidRDefault="008105C4" w:rsidP="008105C4"/>
    <w:p w:rsidR="008105C4" w:rsidRPr="00C5494E" w:rsidRDefault="008105C4" w:rsidP="008105C4">
      <w:pPr>
        <w:pStyle w:val="Heading1"/>
        <w:pBdr>
          <w:top w:val="single" w:sz="6" w:space="1" w:color="990033"/>
          <w:left w:val="single" w:sz="6" w:space="4" w:color="990033"/>
          <w:bottom w:val="single" w:sz="6" w:space="1" w:color="990033"/>
          <w:right w:val="single" w:sz="6" w:space="4" w:color="990033"/>
        </w:pBdr>
        <w:shd w:val="clear" w:color="auto" w:fill="D9D9D9" w:themeFill="background1" w:themeFillShade="D9"/>
      </w:pPr>
      <w:bookmarkStart w:id="6" w:name="_Toc273610071"/>
      <w:bookmarkStart w:id="7" w:name="_Toc273623607"/>
      <w:r w:rsidRPr="00C5494E">
        <w:t>ACKNOWLEDGEMENTS</w:t>
      </w:r>
      <w:bookmarkEnd w:id="6"/>
      <w:bookmarkEnd w:id="7"/>
    </w:p>
    <w:p w:rsidR="00011BA4" w:rsidRPr="00011BA4" w:rsidRDefault="00011BA4" w:rsidP="00011BA4">
      <w:pPr>
        <w:pBdr>
          <w:top w:val="single" w:sz="6" w:space="1" w:color="990033"/>
          <w:left w:val="single" w:sz="6" w:space="4" w:color="990033"/>
          <w:bottom w:val="single" w:sz="6" w:space="1" w:color="990033"/>
          <w:right w:val="single" w:sz="6" w:space="4" w:color="990033"/>
        </w:pBdr>
        <w:shd w:val="clear" w:color="auto" w:fill="D9D9D9"/>
        <w:rPr>
          <w:rFonts w:ascii="Calibri" w:hAnsi="Calibri"/>
          <w:lang w:val="en-US"/>
        </w:rPr>
      </w:pPr>
      <w:r w:rsidRPr="00011BA4">
        <w:rPr>
          <w:rFonts w:ascii="Calibri" w:hAnsi="Calibri"/>
          <w:lang w:val="en-US"/>
        </w:rPr>
        <w:t xml:space="preserve">This report has been prepared by Ivan Vallejo, Expert for the International Telecommunication Union (ITU), under the supervision of </w:t>
      </w:r>
      <w:proofErr w:type="spellStart"/>
      <w:r w:rsidRPr="00011BA4">
        <w:rPr>
          <w:rFonts w:ascii="Calibri" w:hAnsi="Calibri"/>
          <w:lang w:val="en-US"/>
        </w:rPr>
        <w:t>Sameer</w:t>
      </w:r>
      <w:proofErr w:type="spellEnd"/>
      <w:r w:rsidRPr="00011BA4">
        <w:rPr>
          <w:rFonts w:ascii="Calibri" w:hAnsi="Calibri"/>
          <w:lang w:val="en-US"/>
        </w:rPr>
        <w:t xml:space="preserve"> Sharma, Senior Advisor, ITU Regional Office for </w:t>
      </w:r>
      <w:smartTag w:uri="urn:schemas-microsoft-com:office:smarttags" w:element="place">
        <w:r w:rsidRPr="00011BA4">
          <w:rPr>
            <w:rFonts w:ascii="Calibri" w:hAnsi="Calibri"/>
            <w:lang w:val="en-US"/>
          </w:rPr>
          <w:t>Asia</w:t>
        </w:r>
      </w:smartTag>
      <w:r w:rsidRPr="00011BA4">
        <w:rPr>
          <w:rFonts w:ascii="Calibri" w:hAnsi="Calibri"/>
          <w:lang w:val="en-US"/>
        </w:rPr>
        <w:t xml:space="preserve"> and the Pacific. The author would like to acknowledge the comprehensive support received from Susan </w:t>
      </w:r>
      <w:proofErr w:type="spellStart"/>
      <w:r w:rsidRPr="00011BA4">
        <w:rPr>
          <w:rFonts w:ascii="Calibri" w:hAnsi="Calibri"/>
          <w:lang w:val="en-US"/>
        </w:rPr>
        <w:t>Teltscher</w:t>
      </w:r>
      <w:proofErr w:type="spellEnd"/>
      <w:r w:rsidRPr="00011BA4">
        <w:rPr>
          <w:rFonts w:ascii="Calibri" w:hAnsi="Calibri"/>
          <w:lang w:val="en-US"/>
        </w:rPr>
        <w:t xml:space="preserve">, Esperanza </w:t>
      </w:r>
      <w:proofErr w:type="spellStart"/>
      <w:r w:rsidRPr="00011BA4">
        <w:rPr>
          <w:rFonts w:ascii="Calibri" w:hAnsi="Calibri"/>
          <w:lang w:val="en-US"/>
        </w:rPr>
        <w:t>Magpantay</w:t>
      </w:r>
      <w:proofErr w:type="spellEnd"/>
      <w:r w:rsidRPr="00011BA4">
        <w:rPr>
          <w:rFonts w:ascii="Calibri" w:hAnsi="Calibri"/>
          <w:lang w:val="en-US"/>
        </w:rPr>
        <w:t xml:space="preserve">, Vanessa Gray and Olivier </w:t>
      </w:r>
      <w:proofErr w:type="spellStart"/>
      <w:r w:rsidRPr="00011BA4">
        <w:rPr>
          <w:rFonts w:ascii="Calibri" w:hAnsi="Calibri"/>
          <w:lang w:val="en-US"/>
        </w:rPr>
        <w:t>Poupaert</w:t>
      </w:r>
      <w:proofErr w:type="spellEnd"/>
      <w:r w:rsidRPr="00011BA4">
        <w:rPr>
          <w:rFonts w:ascii="Calibri" w:hAnsi="Calibri"/>
          <w:lang w:val="en-US"/>
        </w:rPr>
        <w:t xml:space="preserve"> from the ITU Market Information and Statistics Division (STAT). Valuable contributions were also received from Nancy </w:t>
      </w:r>
      <w:proofErr w:type="spellStart"/>
      <w:r w:rsidRPr="00011BA4">
        <w:rPr>
          <w:rFonts w:ascii="Calibri" w:hAnsi="Calibri"/>
          <w:lang w:val="en-US"/>
        </w:rPr>
        <w:t>Sundberg</w:t>
      </w:r>
      <w:proofErr w:type="spellEnd"/>
      <w:r w:rsidRPr="00011BA4">
        <w:rPr>
          <w:rFonts w:ascii="Calibri" w:hAnsi="Calibri"/>
          <w:lang w:val="en-US"/>
        </w:rPr>
        <w:t xml:space="preserve"> and </w:t>
      </w:r>
      <w:proofErr w:type="spellStart"/>
      <w:r w:rsidRPr="00011BA4">
        <w:rPr>
          <w:rFonts w:ascii="Calibri" w:hAnsi="Calibri"/>
          <w:lang w:val="en-US"/>
        </w:rPr>
        <w:t>Youlia</w:t>
      </w:r>
      <w:proofErr w:type="spellEnd"/>
      <w:r w:rsidRPr="00011BA4">
        <w:rPr>
          <w:rFonts w:ascii="Calibri" w:hAnsi="Calibri"/>
          <w:lang w:val="en-US"/>
        </w:rPr>
        <w:t xml:space="preserve"> </w:t>
      </w:r>
      <w:proofErr w:type="spellStart"/>
      <w:r w:rsidRPr="00011BA4">
        <w:rPr>
          <w:rFonts w:ascii="Calibri" w:hAnsi="Calibri"/>
          <w:lang w:val="en-US"/>
        </w:rPr>
        <w:t>Lozanova</w:t>
      </w:r>
      <w:proofErr w:type="spellEnd"/>
      <w:r w:rsidRPr="00011BA4">
        <w:rPr>
          <w:rFonts w:ascii="Calibri" w:hAnsi="Calibri"/>
          <w:lang w:val="en-US"/>
        </w:rPr>
        <w:t xml:space="preserve">, of the ITU Regulatory and Market Environment Division (RME), and </w:t>
      </w:r>
      <w:proofErr w:type="spellStart"/>
      <w:r w:rsidRPr="00011BA4">
        <w:rPr>
          <w:rFonts w:ascii="Calibri" w:hAnsi="Calibri"/>
          <w:lang w:val="en-US"/>
        </w:rPr>
        <w:t>Ashish</w:t>
      </w:r>
      <w:proofErr w:type="spellEnd"/>
      <w:r w:rsidRPr="00011BA4">
        <w:rPr>
          <w:rFonts w:ascii="Calibri" w:hAnsi="Calibri"/>
          <w:lang w:val="en-US"/>
        </w:rPr>
        <w:t xml:space="preserve"> </w:t>
      </w:r>
      <w:proofErr w:type="spellStart"/>
      <w:r w:rsidRPr="00011BA4">
        <w:rPr>
          <w:rFonts w:ascii="Calibri" w:hAnsi="Calibri"/>
          <w:lang w:val="en-US"/>
        </w:rPr>
        <w:t>Narayan</w:t>
      </w:r>
      <w:proofErr w:type="spellEnd"/>
      <w:r w:rsidRPr="00011BA4">
        <w:rPr>
          <w:rFonts w:ascii="Calibri" w:hAnsi="Calibri"/>
          <w:lang w:val="en-US"/>
        </w:rPr>
        <w:t xml:space="preserve">, of the ITU Regional Office for </w:t>
      </w:r>
      <w:smartTag w:uri="urn:schemas-microsoft-com:office:smarttags" w:element="place">
        <w:r w:rsidRPr="00011BA4">
          <w:rPr>
            <w:rFonts w:ascii="Calibri" w:hAnsi="Calibri"/>
            <w:lang w:val="en-US"/>
          </w:rPr>
          <w:t>Asia</w:t>
        </w:r>
      </w:smartTag>
      <w:r w:rsidRPr="00011BA4">
        <w:rPr>
          <w:rFonts w:ascii="Calibri" w:hAnsi="Calibri"/>
          <w:lang w:val="en-US"/>
        </w:rPr>
        <w:t xml:space="preserve"> and the Pacific. Additional support was provided by ITU colleagues including </w:t>
      </w:r>
      <w:proofErr w:type="spellStart"/>
      <w:r w:rsidRPr="00011BA4">
        <w:rPr>
          <w:rFonts w:ascii="Calibri" w:hAnsi="Calibri"/>
          <w:lang w:val="en-US"/>
        </w:rPr>
        <w:t>Souheil</w:t>
      </w:r>
      <w:proofErr w:type="spellEnd"/>
      <w:r w:rsidRPr="00011BA4">
        <w:rPr>
          <w:rFonts w:ascii="Calibri" w:hAnsi="Calibri"/>
          <w:lang w:val="en-US"/>
        </w:rPr>
        <w:t xml:space="preserve"> Marine, </w:t>
      </w:r>
      <w:proofErr w:type="spellStart"/>
      <w:r w:rsidRPr="00011BA4">
        <w:rPr>
          <w:rFonts w:ascii="Calibri" w:hAnsi="Calibri"/>
          <w:lang w:val="en-US"/>
        </w:rPr>
        <w:t>Riccardo</w:t>
      </w:r>
      <w:proofErr w:type="spellEnd"/>
      <w:r w:rsidRPr="00011BA4">
        <w:rPr>
          <w:rFonts w:ascii="Calibri" w:hAnsi="Calibri"/>
          <w:lang w:val="en-US"/>
        </w:rPr>
        <w:t xml:space="preserve"> </w:t>
      </w:r>
      <w:proofErr w:type="spellStart"/>
      <w:r w:rsidRPr="00011BA4">
        <w:rPr>
          <w:rFonts w:ascii="Calibri" w:hAnsi="Calibri"/>
          <w:lang w:val="en-US"/>
        </w:rPr>
        <w:t>Passerini</w:t>
      </w:r>
      <w:proofErr w:type="spellEnd"/>
      <w:r w:rsidRPr="00011BA4">
        <w:rPr>
          <w:rFonts w:ascii="Calibri" w:hAnsi="Calibri"/>
          <w:lang w:val="en-US"/>
        </w:rPr>
        <w:t xml:space="preserve">, </w:t>
      </w:r>
      <w:proofErr w:type="spellStart"/>
      <w:r w:rsidRPr="00011BA4">
        <w:rPr>
          <w:rFonts w:ascii="Calibri" w:hAnsi="Calibri"/>
          <w:lang w:val="en-US"/>
        </w:rPr>
        <w:t>Cosmas</w:t>
      </w:r>
      <w:proofErr w:type="spellEnd"/>
      <w:r w:rsidRPr="00011BA4">
        <w:rPr>
          <w:rFonts w:ascii="Calibri" w:hAnsi="Calibri"/>
          <w:lang w:val="en-US"/>
        </w:rPr>
        <w:t xml:space="preserve"> </w:t>
      </w:r>
      <w:proofErr w:type="spellStart"/>
      <w:r w:rsidRPr="00011BA4">
        <w:rPr>
          <w:rFonts w:ascii="Calibri" w:hAnsi="Calibri"/>
          <w:lang w:val="en-US"/>
        </w:rPr>
        <w:t>Zavazava</w:t>
      </w:r>
      <w:proofErr w:type="spellEnd"/>
      <w:r w:rsidRPr="00011BA4">
        <w:rPr>
          <w:rFonts w:ascii="Calibri" w:hAnsi="Calibri"/>
          <w:lang w:val="en-US"/>
        </w:rPr>
        <w:t xml:space="preserve">, </w:t>
      </w:r>
      <w:proofErr w:type="spellStart"/>
      <w:r w:rsidRPr="00011BA4">
        <w:rPr>
          <w:rFonts w:ascii="Calibri" w:hAnsi="Calibri"/>
          <w:lang w:val="en-US"/>
        </w:rPr>
        <w:t>Wisit</w:t>
      </w:r>
      <w:proofErr w:type="spellEnd"/>
      <w:r w:rsidRPr="00011BA4">
        <w:rPr>
          <w:rFonts w:ascii="Calibri" w:hAnsi="Calibri"/>
          <w:lang w:val="en-US"/>
        </w:rPr>
        <w:t xml:space="preserve"> </w:t>
      </w:r>
      <w:proofErr w:type="spellStart"/>
      <w:r w:rsidRPr="00011BA4">
        <w:rPr>
          <w:rFonts w:ascii="Calibri" w:hAnsi="Calibri"/>
          <w:lang w:val="en-US"/>
        </w:rPr>
        <w:t>Atipayakoon</w:t>
      </w:r>
      <w:proofErr w:type="spellEnd"/>
      <w:r w:rsidRPr="00011BA4">
        <w:rPr>
          <w:rFonts w:ascii="Calibri" w:hAnsi="Calibri"/>
          <w:lang w:val="en-US"/>
        </w:rPr>
        <w:t xml:space="preserve"> and </w:t>
      </w:r>
      <w:proofErr w:type="spellStart"/>
      <w:r w:rsidRPr="00011BA4">
        <w:rPr>
          <w:rFonts w:ascii="Calibri" w:hAnsi="Calibri"/>
          <w:lang w:val="en-US"/>
        </w:rPr>
        <w:t>Porntip</w:t>
      </w:r>
      <w:proofErr w:type="spellEnd"/>
      <w:r w:rsidRPr="00011BA4">
        <w:rPr>
          <w:rFonts w:ascii="Calibri" w:hAnsi="Calibri"/>
          <w:lang w:val="en-US"/>
        </w:rPr>
        <w:t xml:space="preserve"> </w:t>
      </w:r>
      <w:proofErr w:type="spellStart"/>
      <w:r w:rsidRPr="00011BA4">
        <w:rPr>
          <w:rFonts w:ascii="Calibri" w:hAnsi="Calibri"/>
          <w:lang w:val="en-US"/>
        </w:rPr>
        <w:t>Modethes</w:t>
      </w:r>
      <w:proofErr w:type="spellEnd"/>
      <w:r w:rsidRPr="00011BA4">
        <w:rPr>
          <w:rFonts w:ascii="Calibri" w:hAnsi="Calibri"/>
          <w:lang w:val="en-US"/>
        </w:rPr>
        <w:t>.</w:t>
      </w:r>
    </w:p>
    <w:p w:rsidR="00011BA4" w:rsidRPr="00011BA4" w:rsidRDefault="00011BA4" w:rsidP="00011BA4">
      <w:pPr>
        <w:pBdr>
          <w:top w:val="single" w:sz="6" w:space="1" w:color="990033"/>
          <w:left w:val="single" w:sz="6" w:space="4" w:color="990033"/>
          <w:bottom w:val="single" w:sz="6" w:space="1" w:color="990033"/>
          <w:right w:val="single" w:sz="6" w:space="4" w:color="990033"/>
        </w:pBdr>
        <w:shd w:val="clear" w:color="auto" w:fill="D9D9D9"/>
        <w:rPr>
          <w:rFonts w:ascii="Calibri" w:hAnsi="Calibri"/>
          <w:lang w:val="en-US"/>
        </w:rPr>
      </w:pPr>
      <w:r w:rsidRPr="00011BA4">
        <w:rPr>
          <w:rFonts w:ascii="Calibri" w:hAnsi="Calibri"/>
          <w:lang w:val="en-US"/>
        </w:rPr>
        <w:t xml:space="preserve">ITU would like to express its sincere gratitude to </w:t>
      </w:r>
      <w:smartTag w:uri="urn:schemas-microsoft-com:office:smarttags" w:element="country-region">
        <w:r w:rsidRPr="00011BA4">
          <w:rPr>
            <w:rFonts w:ascii="Calibri" w:hAnsi="Calibri"/>
            <w:lang w:val="en-US"/>
          </w:rPr>
          <w:t>Afghanistan</w:t>
        </w:r>
      </w:smartTag>
      <w:r w:rsidRPr="00011BA4">
        <w:rPr>
          <w:rFonts w:ascii="Calibri" w:hAnsi="Calibri"/>
          <w:lang w:val="en-US"/>
        </w:rPr>
        <w:t xml:space="preserve">, </w:t>
      </w:r>
      <w:smartTag w:uri="urn:schemas-microsoft-com:office:smarttags" w:element="country-region">
        <w:r w:rsidRPr="00011BA4">
          <w:rPr>
            <w:rFonts w:ascii="Calibri" w:hAnsi="Calibri"/>
            <w:lang w:val="en-US"/>
          </w:rPr>
          <w:t>Bangladesh</w:t>
        </w:r>
      </w:smartTag>
      <w:r w:rsidRPr="00011BA4">
        <w:rPr>
          <w:rFonts w:ascii="Calibri" w:hAnsi="Calibri"/>
          <w:lang w:val="en-US"/>
        </w:rPr>
        <w:t xml:space="preserve">, </w:t>
      </w:r>
      <w:smartTag w:uri="urn:schemas-microsoft-com:office:smarttags" w:element="country-region">
        <w:r w:rsidRPr="00011BA4">
          <w:rPr>
            <w:rFonts w:ascii="Calibri" w:hAnsi="Calibri"/>
            <w:lang w:val="en-US"/>
          </w:rPr>
          <w:t>Bhutan</w:t>
        </w:r>
      </w:smartTag>
      <w:r w:rsidRPr="00011BA4">
        <w:rPr>
          <w:rFonts w:ascii="Calibri" w:hAnsi="Calibri"/>
          <w:lang w:val="en-US"/>
        </w:rPr>
        <w:t xml:space="preserve">, </w:t>
      </w:r>
      <w:smartTag w:uri="urn:schemas-microsoft-com:office:smarttags" w:element="country-region">
        <w:r w:rsidRPr="00011BA4">
          <w:rPr>
            <w:rFonts w:ascii="Calibri" w:hAnsi="Calibri"/>
            <w:lang w:val="en-US"/>
          </w:rPr>
          <w:t>Maldives</w:t>
        </w:r>
      </w:smartTag>
      <w:r w:rsidRPr="00011BA4">
        <w:rPr>
          <w:rFonts w:ascii="Calibri" w:hAnsi="Calibri"/>
          <w:lang w:val="en-US"/>
        </w:rPr>
        <w:t xml:space="preserve"> and </w:t>
      </w:r>
      <w:smartTag w:uri="urn:schemas-microsoft-com:office:smarttags" w:element="country-region">
        <w:smartTag w:uri="urn:schemas-microsoft-com:office:smarttags" w:element="place">
          <w:r w:rsidRPr="00011BA4">
            <w:rPr>
              <w:rFonts w:ascii="Calibri" w:hAnsi="Calibri"/>
              <w:lang w:val="en-US"/>
            </w:rPr>
            <w:t>Nepal</w:t>
          </w:r>
        </w:smartTag>
      </w:smartTag>
      <w:r w:rsidRPr="00011BA4">
        <w:rPr>
          <w:rFonts w:ascii="Calibri" w:hAnsi="Calibri"/>
          <w:lang w:val="en-US"/>
        </w:rPr>
        <w:t xml:space="preserve"> for their support and cooperation in providing valuable inputs for the preparation of this report. In particular, we would like to convey our appreciation to Mohammad </w:t>
      </w:r>
      <w:proofErr w:type="spellStart"/>
      <w:r w:rsidRPr="00011BA4">
        <w:rPr>
          <w:rFonts w:ascii="Calibri" w:hAnsi="Calibri"/>
          <w:lang w:val="en-US"/>
        </w:rPr>
        <w:t>Yousaf</w:t>
      </w:r>
      <w:proofErr w:type="spellEnd"/>
      <w:r w:rsidRPr="00011BA4">
        <w:rPr>
          <w:rFonts w:ascii="Calibri" w:hAnsi="Calibri"/>
          <w:lang w:val="en-US"/>
        </w:rPr>
        <w:t xml:space="preserve"> (</w:t>
      </w:r>
      <w:smartTag w:uri="urn:schemas-microsoft-com:office:smarttags" w:element="country-region">
        <w:r w:rsidRPr="00011BA4">
          <w:rPr>
            <w:rFonts w:ascii="Calibri" w:hAnsi="Calibri"/>
            <w:lang w:val="en-US"/>
          </w:rPr>
          <w:t>Afghanistan</w:t>
        </w:r>
      </w:smartTag>
      <w:r w:rsidRPr="00011BA4">
        <w:rPr>
          <w:rFonts w:ascii="Calibri" w:hAnsi="Calibri"/>
          <w:lang w:val="en-US"/>
        </w:rPr>
        <w:t xml:space="preserve">), </w:t>
      </w:r>
      <w:proofErr w:type="spellStart"/>
      <w:r w:rsidRPr="00011BA4">
        <w:rPr>
          <w:rFonts w:ascii="Calibri" w:hAnsi="Calibri"/>
          <w:lang w:val="en-US"/>
        </w:rPr>
        <w:t>Shamsuzzoha</w:t>
      </w:r>
      <w:proofErr w:type="spellEnd"/>
      <w:r w:rsidRPr="00011BA4">
        <w:rPr>
          <w:rFonts w:ascii="Calibri" w:hAnsi="Calibri"/>
          <w:lang w:val="en-US"/>
        </w:rPr>
        <w:t xml:space="preserve"> (</w:t>
      </w:r>
      <w:smartTag w:uri="urn:schemas-microsoft-com:office:smarttags" w:element="country-region">
        <w:r w:rsidRPr="00011BA4">
          <w:rPr>
            <w:rFonts w:ascii="Calibri" w:hAnsi="Calibri"/>
            <w:lang w:val="en-US"/>
          </w:rPr>
          <w:t>Bangladesh</w:t>
        </w:r>
      </w:smartTag>
      <w:r w:rsidRPr="00011BA4">
        <w:rPr>
          <w:rFonts w:ascii="Calibri" w:hAnsi="Calibri"/>
          <w:lang w:val="en-US"/>
        </w:rPr>
        <w:t xml:space="preserve">), </w:t>
      </w:r>
      <w:proofErr w:type="spellStart"/>
      <w:r w:rsidRPr="00011BA4">
        <w:rPr>
          <w:rFonts w:ascii="Calibri" w:hAnsi="Calibri"/>
          <w:lang w:val="en-US"/>
        </w:rPr>
        <w:t>Sonam</w:t>
      </w:r>
      <w:proofErr w:type="spellEnd"/>
      <w:r w:rsidRPr="00011BA4">
        <w:rPr>
          <w:rFonts w:ascii="Calibri" w:hAnsi="Calibri"/>
          <w:lang w:val="en-US"/>
        </w:rPr>
        <w:t xml:space="preserve"> </w:t>
      </w:r>
      <w:proofErr w:type="spellStart"/>
      <w:r w:rsidRPr="00011BA4">
        <w:rPr>
          <w:rFonts w:ascii="Calibri" w:hAnsi="Calibri"/>
          <w:lang w:val="en-US"/>
        </w:rPr>
        <w:t>Dudka</w:t>
      </w:r>
      <w:proofErr w:type="spellEnd"/>
      <w:r w:rsidRPr="00011BA4">
        <w:rPr>
          <w:rFonts w:ascii="Calibri" w:hAnsi="Calibri"/>
          <w:lang w:val="en-US"/>
        </w:rPr>
        <w:t>, (</w:t>
      </w:r>
      <w:smartTag w:uri="urn:schemas-microsoft-com:office:smarttags" w:element="country-region">
        <w:r w:rsidRPr="00011BA4">
          <w:rPr>
            <w:rFonts w:ascii="Calibri" w:hAnsi="Calibri"/>
            <w:lang w:val="en-US"/>
          </w:rPr>
          <w:t>Bhutan</w:t>
        </w:r>
      </w:smartTag>
      <w:r w:rsidRPr="00011BA4">
        <w:rPr>
          <w:rFonts w:ascii="Calibri" w:hAnsi="Calibri"/>
          <w:lang w:val="en-US"/>
        </w:rPr>
        <w:t xml:space="preserve">), Mohamed </w:t>
      </w:r>
      <w:proofErr w:type="spellStart"/>
      <w:r w:rsidRPr="00011BA4">
        <w:rPr>
          <w:rFonts w:ascii="Calibri" w:hAnsi="Calibri"/>
          <w:lang w:val="en-US"/>
        </w:rPr>
        <w:t>Nasih</w:t>
      </w:r>
      <w:proofErr w:type="spellEnd"/>
      <w:r w:rsidRPr="00011BA4">
        <w:rPr>
          <w:rFonts w:ascii="Calibri" w:hAnsi="Calibri"/>
          <w:lang w:val="en-US"/>
        </w:rPr>
        <w:t xml:space="preserve"> (</w:t>
      </w:r>
      <w:smartTag w:uri="urn:schemas-microsoft-com:office:smarttags" w:element="country-region">
        <w:r w:rsidRPr="00011BA4">
          <w:rPr>
            <w:rFonts w:ascii="Calibri" w:hAnsi="Calibri"/>
            <w:lang w:val="en-US"/>
          </w:rPr>
          <w:t>Maldives</w:t>
        </w:r>
      </w:smartTag>
      <w:r w:rsidRPr="00011BA4">
        <w:rPr>
          <w:rFonts w:ascii="Calibri" w:hAnsi="Calibri"/>
          <w:lang w:val="en-US"/>
        </w:rPr>
        <w:t xml:space="preserve">) and </w:t>
      </w:r>
      <w:proofErr w:type="spellStart"/>
      <w:r w:rsidRPr="00011BA4">
        <w:rPr>
          <w:rFonts w:ascii="Calibri" w:hAnsi="Calibri"/>
          <w:lang w:val="en-US"/>
        </w:rPr>
        <w:t>Swoyambhu</w:t>
      </w:r>
      <w:proofErr w:type="spellEnd"/>
      <w:r w:rsidRPr="00011BA4">
        <w:rPr>
          <w:rFonts w:ascii="Calibri" w:hAnsi="Calibri"/>
          <w:lang w:val="en-US"/>
        </w:rPr>
        <w:t xml:space="preserve"> Man </w:t>
      </w:r>
      <w:proofErr w:type="spellStart"/>
      <w:r w:rsidRPr="00011BA4">
        <w:rPr>
          <w:rFonts w:ascii="Calibri" w:hAnsi="Calibri"/>
          <w:lang w:val="en-US"/>
        </w:rPr>
        <w:t>Amatya</w:t>
      </w:r>
      <w:proofErr w:type="spellEnd"/>
      <w:r w:rsidRPr="00011BA4">
        <w:rPr>
          <w:rFonts w:ascii="Calibri" w:hAnsi="Calibri"/>
          <w:lang w:val="en-US"/>
        </w:rPr>
        <w:t xml:space="preserve"> (</w:t>
      </w:r>
      <w:smartTag w:uri="urn:schemas-microsoft-com:office:smarttags" w:element="place">
        <w:smartTag w:uri="urn:schemas-microsoft-com:office:smarttags" w:element="country-region">
          <w:r w:rsidRPr="00011BA4">
            <w:rPr>
              <w:rFonts w:ascii="Calibri" w:hAnsi="Calibri"/>
              <w:lang w:val="en-US"/>
            </w:rPr>
            <w:t>Nepal</w:t>
          </w:r>
        </w:smartTag>
      </w:smartTag>
      <w:r w:rsidRPr="00011BA4">
        <w:rPr>
          <w:rFonts w:ascii="Calibri" w:hAnsi="Calibri"/>
          <w:lang w:val="en-US"/>
        </w:rPr>
        <w:t>) for their detailed comments on the survey questionnaire used for the analysis carried out in this report.</w:t>
      </w:r>
    </w:p>
    <w:p w:rsidR="00011BA4" w:rsidRPr="00011BA4" w:rsidRDefault="00011BA4" w:rsidP="00011BA4">
      <w:pPr>
        <w:pBdr>
          <w:top w:val="single" w:sz="6" w:space="1" w:color="990033"/>
          <w:left w:val="single" w:sz="6" w:space="4" w:color="990033"/>
          <w:bottom w:val="single" w:sz="6" w:space="1" w:color="990033"/>
          <w:right w:val="single" w:sz="6" w:space="4" w:color="990033"/>
        </w:pBdr>
        <w:shd w:val="clear" w:color="auto" w:fill="D9D9D9"/>
        <w:rPr>
          <w:rFonts w:ascii="Calibri" w:hAnsi="Calibri"/>
          <w:lang w:val="en-US"/>
        </w:rPr>
      </w:pPr>
      <w:r w:rsidRPr="00011BA4">
        <w:rPr>
          <w:rFonts w:ascii="Calibri" w:hAnsi="Calibri"/>
          <w:lang w:val="en-US"/>
        </w:rPr>
        <w:t>We would also like to thank the Department of Broadband, Communications and the Digital Economy of the Government of Australia for their support to this study.</w:t>
      </w:r>
    </w:p>
    <w:p w:rsidR="00011BA4" w:rsidRPr="00011BA4" w:rsidRDefault="00011BA4" w:rsidP="00011BA4">
      <w:pPr>
        <w:pBdr>
          <w:top w:val="single" w:sz="6" w:space="1" w:color="990033"/>
          <w:left w:val="single" w:sz="6" w:space="4" w:color="990033"/>
          <w:bottom w:val="single" w:sz="6" w:space="1" w:color="990033"/>
          <w:right w:val="single" w:sz="6" w:space="4" w:color="990033"/>
        </w:pBdr>
        <w:shd w:val="clear" w:color="auto" w:fill="D9D9D9"/>
        <w:rPr>
          <w:rFonts w:ascii="Calibri" w:hAnsi="Calibri"/>
          <w:lang w:val="en-US"/>
        </w:rPr>
      </w:pPr>
      <w:r w:rsidRPr="00011BA4">
        <w:rPr>
          <w:rFonts w:ascii="Calibri" w:hAnsi="Calibri"/>
          <w:lang w:val="en-US"/>
        </w:rPr>
        <w:t xml:space="preserve">The cover was designed by </w:t>
      </w:r>
      <w:r>
        <w:rPr>
          <w:lang w:val="en-US"/>
        </w:rPr>
        <w:t xml:space="preserve">David </w:t>
      </w:r>
      <w:proofErr w:type="spellStart"/>
      <w:r>
        <w:rPr>
          <w:lang w:val="en-US"/>
        </w:rPr>
        <w:t>Studer</w:t>
      </w:r>
      <w:proofErr w:type="spellEnd"/>
      <w:r>
        <w:rPr>
          <w:lang w:val="en-US"/>
        </w:rPr>
        <w:t>, and the layout by Isabelle Lucas, Publication Composition Service</w:t>
      </w:r>
      <w:r w:rsidRPr="00011BA4">
        <w:rPr>
          <w:rFonts w:ascii="Calibri" w:hAnsi="Calibri"/>
          <w:lang w:val="en-US"/>
        </w:rPr>
        <w:t>. The report, edited by Mark Woodall (RME) and proofread by Carmen Montenegro (Conference and Publications Department),</w:t>
      </w:r>
      <w:r>
        <w:rPr>
          <w:rFonts w:ascii="Calibri" w:hAnsi="Calibri"/>
          <w:lang w:val="en-US"/>
        </w:rPr>
        <w:t xml:space="preserve"> </w:t>
      </w:r>
      <w:r w:rsidRPr="00011BA4">
        <w:rPr>
          <w:rFonts w:ascii="Calibri" w:hAnsi="Calibri"/>
          <w:lang w:val="en-US"/>
        </w:rPr>
        <w:t xml:space="preserve">was printed on the ITU press. </w:t>
      </w:r>
    </w:p>
    <w:p w:rsidR="00011BA4" w:rsidRPr="00011BA4" w:rsidRDefault="00011BA4" w:rsidP="00011BA4">
      <w:pPr>
        <w:pBdr>
          <w:top w:val="single" w:sz="6" w:space="1" w:color="990033"/>
          <w:left w:val="single" w:sz="6" w:space="4" w:color="990033"/>
          <w:bottom w:val="single" w:sz="6" w:space="1" w:color="990033"/>
          <w:right w:val="single" w:sz="6" w:space="4" w:color="990033"/>
        </w:pBdr>
        <w:shd w:val="clear" w:color="auto" w:fill="D9D9D9"/>
        <w:rPr>
          <w:rFonts w:ascii="Calibri" w:hAnsi="Calibri"/>
          <w:lang w:val="en-US"/>
        </w:rPr>
      </w:pPr>
      <w:r w:rsidRPr="00011BA4">
        <w:rPr>
          <w:rFonts w:ascii="Calibri" w:hAnsi="Calibri"/>
          <w:lang w:val="en-US"/>
        </w:rPr>
        <w:t>Special thanks to Francine Lambert from the Conference and Event Organization Division for her overall guidance and coordination during the entire process of editing , production and publication of the report.</w:t>
      </w:r>
    </w:p>
    <w:p w:rsidR="008105C4" w:rsidRPr="00C5494E" w:rsidRDefault="00011BA4" w:rsidP="00011BA4">
      <w:pPr>
        <w:pBdr>
          <w:top w:val="single" w:sz="6" w:space="1" w:color="990033"/>
          <w:left w:val="single" w:sz="6" w:space="4" w:color="990033"/>
          <w:bottom w:val="single" w:sz="6" w:space="1" w:color="990033"/>
          <w:right w:val="single" w:sz="6" w:space="4" w:color="990033"/>
        </w:pBdr>
        <w:shd w:val="clear" w:color="auto" w:fill="D9D9D9" w:themeFill="background1" w:themeFillShade="D9"/>
      </w:pPr>
      <w:r w:rsidRPr="00011BA4">
        <w:rPr>
          <w:rFonts w:ascii="Calibri" w:hAnsi="Calibri"/>
          <w:lang w:val="en-US"/>
        </w:rPr>
        <w:t>The view expressed in the report are those of the authors and do not necessarily reflect the opinions of ITU or its membership.</w:t>
      </w:r>
    </w:p>
    <w:p w:rsidR="008105C4" w:rsidRPr="00C5494E" w:rsidRDefault="008105C4" w:rsidP="008105C4">
      <w:pPr>
        <w:pBdr>
          <w:top w:val="single" w:sz="6" w:space="1" w:color="990033"/>
          <w:left w:val="single" w:sz="6" w:space="4" w:color="990033"/>
          <w:bottom w:val="single" w:sz="6" w:space="1" w:color="990033"/>
          <w:right w:val="single" w:sz="6" w:space="4" w:color="990033"/>
        </w:pBdr>
        <w:shd w:val="clear" w:color="auto" w:fill="D9D9D9" w:themeFill="background1" w:themeFillShade="D9"/>
      </w:pPr>
    </w:p>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Pr>
        <w:jc w:val="center"/>
      </w:pPr>
      <w:r w:rsidRPr="00C5494E">
        <w:sym w:font="Symbol" w:char="F0D3"/>
      </w:r>
      <w:r w:rsidR="00A326B4" w:rsidRPr="00C5494E">
        <w:t xml:space="preserve"> </w:t>
      </w:r>
      <w:r w:rsidRPr="00C5494E">
        <w:t>ITU</w:t>
      </w:r>
      <w:r w:rsidR="00A326B4" w:rsidRPr="00C5494E">
        <w:t xml:space="preserve"> </w:t>
      </w:r>
      <w:r w:rsidRPr="00C5494E">
        <w:t>2010</w:t>
      </w:r>
    </w:p>
    <w:p w:rsidR="008105C4" w:rsidRPr="00C5494E" w:rsidRDefault="008105C4" w:rsidP="008105C4">
      <w:r w:rsidRPr="00C5494E">
        <w:t>All rights reserved. No part of this publication may be reproduced, by any means whatsoever, without the prior written permission of ITU.</w:t>
      </w:r>
    </w:p>
    <w:p w:rsidR="008105C4" w:rsidRPr="00C5494E" w:rsidRDefault="008105C4" w:rsidP="008105C4">
      <w:pPr>
        <w:sectPr w:rsidR="008105C4" w:rsidRPr="00C5494E" w:rsidSect="008105C4">
          <w:footerReference w:type="default" r:id="rId10"/>
          <w:headerReference w:type="first" r:id="rId11"/>
          <w:pgSz w:w="11907" w:h="16834"/>
          <w:pgMar w:top="1134" w:right="1134" w:bottom="1134" w:left="1134" w:header="567" w:footer="567" w:gutter="0"/>
          <w:paperSrc w:first="15" w:other="15"/>
          <w:cols w:space="720"/>
          <w:titlePg/>
          <w:docGrid w:linePitch="299"/>
        </w:sectPr>
      </w:pPr>
    </w:p>
    <w:p w:rsidR="008105C4" w:rsidRPr="00C5494E" w:rsidRDefault="008105C4" w:rsidP="008105C4">
      <w:pPr>
        <w:pStyle w:val="Heading1"/>
        <w:tabs>
          <w:tab w:val="clear" w:pos="1985"/>
          <w:tab w:val="left" w:pos="4995"/>
        </w:tabs>
      </w:pPr>
      <w:r w:rsidRPr="00C5494E">
        <w:rPr>
          <w:noProof/>
          <w:lang w:val="en-US" w:eastAsia="zh-CN"/>
        </w:rPr>
        <w:lastRenderedPageBreak/>
        <w:drawing>
          <wp:anchor distT="0" distB="0" distL="114300" distR="114300" simplePos="0" relativeHeight="251659264" behindDoc="0" locked="0" layoutInCell="1" allowOverlap="1">
            <wp:simplePos x="0" y="0"/>
            <wp:positionH relativeFrom="margin">
              <wp:align>right</wp:align>
            </wp:positionH>
            <wp:positionV relativeFrom="margin">
              <wp:posOffset>413385</wp:posOffset>
            </wp:positionV>
            <wp:extent cx="1695450" cy="1695450"/>
            <wp:effectExtent l="19050" t="0" r="0" b="0"/>
            <wp:wrapSquare wrapText="bothSides"/>
            <wp:docPr id="4" name="Picture 4" descr="AlBasheer_DSC_0842(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Basheer_DSC_0842(VM)"/>
                    <pic:cNvPicPr>
                      <a:picLocks noChangeAspect="1" noChangeArrowheads="1"/>
                    </pic:cNvPicPr>
                  </pic:nvPicPr>
                  <pic:blipFill>
                    <a:blip r:embed="rId12" cstate="print"/>
                    <a:srcRect/>
                    <a:stretch>
                      <a:fillRect/>
                    </a:stretch>
                  </pic:blipFill>
                  <pic:spPr bwMode="auto">
                    <a:xfrm>
                      <a:off x="0" y="0"/>
                      <a:ext cx="1695450" cy="1695450"/>
                    </a:xfrm>
                    <a:prstGeom prst="rect">
                      <a:avLst/>
                    </a:prstGeom>
                    <a:noFill/>
                    <a:ln w="9525">
                      <a:noFill/>
                      <a:miter lim="800000"/>
                      <a:headEnd/>
                      <a:tailEnd/>
                    </a:ln>
                  </pic:spPr>
                </pic:pic>
              </a:graphicData>
            </a:graphic>
          </wp:anchor>
        </w:drawing>
      </w:r>
      <w:bookmarkStart w:id="8" w:name="_Toc273623608"/>
      <w:r w:rsidRPr="00C5494E">
        <w:t>FOREWORD</w:t>
      </w:r>
      <w:bookmarkEnd w:id="8"/>
      <w:r w:rsidRPr="00C5494E">
        <w:tab/>
      </w:r>
    </w:p>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011BA4" w:rsidRPr="00011BA4" w:rsidRDefault="00011BA4" w:rsidP="00011BA4">
      <w:pPr>
        <w:rPr>
          <w:lang w:val="en-US"/>
        </w:rPr>
      </w:pPr>
      <w:r w:rsidRPr="00011BA4">
        <w:rPr>
          <w:lang w:val="en-US"/>
        </w:rPr>
        <w:t xml:space="preserve">I am pleased to present this report of the </w:t>
      </w:r>
      <w:smartTag w:uri="urn:schemas-microsoft-com:office:smarttags" w:element="country-region">
        <w:r w:rsidRPr="00011BA4">
          <w:rPr>
            <w:lang w:val="en-US"/>
          </w:rPr>
          <w:t>Afghanistan</w:t>
        </w:r>
      </w:smartTag>
      <w:r w:rsidRPr="00011BA4">
        <w:rPr>
          <w:lang w:val="en-US"/>
        </w:rPr>
        <w:t xml:space="preserve">, </w:t>
      </w:r>
      <w:smartTag w:uri="urn:schemas-microsoft-com:office:smarttags" w:element="country-region">
        <w:r w:rsidRPr="00011BA4">
          <w:rPr>
            <w:lang w:val="en-US"/>
          </w:rPr>
          <w:t>Bangladesh</w:t>
        </w:r>
      </w:smartTag>
      <w:r w:rsidRPr="00011BA4">
        <w:rPr>
          <w:lang w:val="en-US"/>
        </w:rPr>
        <w:t xml:space="preserve">, </w:t>
      </w:r>
      <w:smartTag w:uri="urn:schemas-microsoft-com:office:smarttags" w:element="country-region">
        <w:r w:rsidRPr="00011BA4">
          <w:rPr>
            <w:lang w:val="en-US"/>
          </w:rPr>
          <w:t>Bhutan</w:t>
        </w:r>
      </w:smartTag>
      <w:r w:rsidRPr="00011BA4">
        <w:rPr>
          <w:lang w:val="en-US"/>
        </w:rPr>
        <w:t xml:space="preserve">, </w:t>
      </w:r>
      <w:smartTag w:uri="urn:schemas-microsoft-com:office:smarttags" w:element="place">
        <w:smartTag w:uri="urn:schemas-microsoft-com:office:smarttags" w:element="country-region">
          <w:r w:rsidRPr="00011BA4">
            <w:rPr>
              <w:lang w:val="en-US"/>
            </w:rPr>
            <w:t>Maldives</w:t>
          </w:r>
        </w:smartTag>
      </w:smartTag>
      <w:r w:rsidRPr="00011BA4">
        <w:rPr>
          <w:lang w:val="en-US"/>
        </w:rPr>
        <w:t xml:space="preserve">, and Nepal (ABBMN) Ministerial Forum, Digital Inclusion: Connecting Responsibly. The ABBMN Forum took place on 3-5 August 2010 in the </w:t>
      </w:r>
      <w:smartTag w:uri="urn:schemas-microsoft-com:office:smarttags" w:element="place">
        <w:smartTag w:uri="urn:schemas-microsoft-com:office:smarttags" w:element="country-region">
          <w:r w:rsidRPr="00011BA4">
            <w:rPr>
              <w:lang w:val="en-US"/>
            </w:rPr>
            <w:t>Maldives</w:t>
          </w:r>
        </w:smartTag>
      </w:smartTag>
      <w:r w:rsidRPr="00011BA4">
        <w:rPr>
          <w:lang w:val="en-US"/>
        </w:rPr>
        <w:t>, with the active participation of governments, industry and other interested stakeholders.</w:t>
      </w:r>
      <w:r>
        <w:rPr>
          <w:lang w:val="en-US"/>
        </w:rPr>
        <w:t xml:space="preserve"> </w:t>
      </w:r>
    </w:p>
    <w:p w:rsidR="00011BA4" w:rsidRPr="00011BA4" w:rsidRDefault="00011BA4" w:rsidP="00011BA4">
      <w:pPr>
        <w:rPr>
          <w:lang w:val="en-US"/>
        </w:rPr>
      </w:pPr>
      <w:r w:rsidRPr="00011BA4">
        <w:rPr>
          <w:lang w:val="en-US"/>
        </w:rPr>
        <w:t xml:space="preserve">ABBMN countries have seen unprecedented ICT growth in recent years, mainly driven by mobile cellular development, including an increase of more than 10 percentage points in mobile penetration in Afghanistan, Bhutan and Nepal between 2008 and 2009; and the record mobile cellular penetration reached by the Maldives in 2009 (148 mobile subscriptions per 100 inhabitants). </w:t>
      </w:r>
    </w:p>
    <w:p w:rsidR="00011BA4" w:rsidRPr="00011BA4" w:rsidRDefault="00011BA4" w:rsidP="00F009C1">
      <w:pPr>
        <w:rPr>
          <w:lang w:val="en-US"/>
        </w:rPr>
      </w:pPr>
      <w:r w:rsidRPr="00011BA4">
        <w:rPr>
          <w:lang w:val="en-US"/>
        </w:rPr>
        <w:t>Despite this progress, broadband penetration levels in ABBMN countries remain low when compared to the rest of the world. In 2009, fixed broadband penetration was less than 0.5 per</w:t>
      </w:r>
      <w:r>
        <w:rPr>
          <w:lang w:val="en-US"/>
        </w:rPr>
        <w:t xml:space="preserve"> </w:t>
      </w:r>
      <w:r w:rsidRPr="00011BA4">
        <w:rPr>
          <w:lang w:val="en-US"/>
        </w:rPr>
        <w:t xml:space="preserve">cent in </w:t>
      </w:r>
      <w:smartTag w:uri="urn:schemas-microsoft-com:office:smarttags" w:element="country-region">
        <w:r w:rsidRPr="00011BA4">
          <w:rPr>
            <w:lang w:val="en-US"/>
          </w:rPr>
          <w:t>Afghanistan</w:t>
        </w:r>
      </w:smartTag>
      <w:r w:rsidRPr="00011BA4">
        <w:rPr>
          <w:lang w:val="en-US"/>
        </w:rPr>
        <w:t xml:space="preserve">, </w:t>
      </w:r>
      <w:smartTag w:uri="urn:schemas-microsoft-com:office:smarttags" w:element="country-region">
        <w:r w:rsidRPr="00011BA4">
          <w:rPr>
            <w:lang w:val="en-US"/>
          </w:rPr>
          <w:t>Bangladesh</w:t>
        </w:r>
      </w:smartTag>
      <w:r w:rsidRPr="00011BA4">
        <w:rPr>
          <w:lang w:val="en-US"/>
        </w:rPr>
        <w:t xml:space="preserve">, </w:t>
      </w:r>
      <w:smartTag w:uri="urn:schemas-microsoft-com:office:smarttags" w:element="country-region">
        <w:r w:rsidRPr="00011BA4">
          <w:rPr>
            <w:lang w:val="en-US"/>
          </w:rPr>
          <w:t>Nepal</w:t>
        </w:r>
      </w:smartTag>
      <w:r w:rsidRPr="00011BA4">
        <w:rPr>
          <w:lang w:val="en-US"/>
        </w:rPr>
        <w:t xml:space="preserve"> and Bhutan</w:t>
      </w:r>
      <w:r w:rsidR="00F009C1">
        <w:rPr>
          <w:lang w:val="en-US"/>
        </w:rPr>
        <w:t xml:space="preserve"> whereas</w:t>
      </w:r>
      <w:r w:rsidRPr="00011BA4">
        <w:rPr>
          <w:lang w:val="en-US"/>
        </w:rPr>
        <w:t xml:space="preserve"> </w:t>
      </w:r>
      <w:smartTag w:uri="urn:schemas-microsoft-com:office:smarttags" w:element="place">
        <w:smartTag w:uri="urn:schemas-microsoft-com:office:smarttags" w:element="country-region">
          <w:r w:rsidRPr="00011BA4">
            <w:rPr>
              <w:lang w:val="en-US"/>
            </w:rPr>
            <w:t>Maldives</w:t>
          </w:r>
        </w:smartTag>
      </w:smartTag>
      <w:r w:rsidRPr="00011BA4">
        <w:rPr>
          <w:lang w:val="en-US"/>
        </w:rPr>
        <w:t xml:space="preserve"> recorded a rate of 5.8 per cent. The situation of mobile broadband uptake was marginally better, with negligible rates in </w:t>
      </w:r>
      <w:smartTag w:uri="urn:schemas-microsoft-com:office:smarttags" w:element="country-region">
        <w:r w:rsidRPr="00011BA4">
          <w:rPr>
            <w:lang w:val="en-US"/>
          </w:rPr>
          <w:t>Afghanistan</w:t>
        </w:r>
      </w:smartTag>
      <w:r w:rsidRPr="00011BA4">
        <w:rPr>
          <w:lang w:val="en-US"/>
        </w:rPr>
        <w:t xml:space="preserve">, </w:t>
      </w:r>
      <w:smartTag w:uri="urn:schemas-microsoft-com:office:smarttags" w:element="country-region">
        <w:r w:rsidRPr="00011BA4">
          <w:rPr>
            <w:lang w:val="en-US"/>
          </w:rPr>
          <w:t>Bangladesh</w:t>
        </w:r>
      </w:smartTag>
      <w:r w:rsidRPr="00011BA4">
        <w:rPr>
          <w:lang w:val="en-US"/>
        </w:rPr>
        <w:t xml:space="preserve"> and </w:t>
      </w:r>
      <w:smartTag w:uri="urn:schemas-microsoft-com:office:smarttags" w:element="country-region">
        <w:r w:rsidRPr="00011BA4">
          <w:rPr>
            <w:lang w:val="en-US"/>
          </w:rPr>
          <w:t>Nepal</w:t>
        </w:r>
      </w:smartTag>
      <w:r w:rsidRPr="00011BA4">
        <w:rPr>
          <w:lang w:val="en-US"/>
        </w:rPr>
        <w:t xml:space="preserve"> and 1.7 per</w:t>
      </w:r>
      <w:r>
        <w:rPr>
          <w:lang w:val="en-US"/>
        </w:rPr>
        <w:t xml:space="preserve"> </w:t>
      </w:r>
      <w:r w:rsidRPr="00011BA4">
        <w:rPr>
          <w:lang w:val="en-US"/>
        </w:rPr>
        <w:t xml:space="preserve">cent in </w:t>
      </w:r>
      <w:smartTag w:uri="urn:schemas-microsoft-com:office:smarttags" w:element="place">
        <w:smartTag w:uri="urn:schemas-microsoft-com:office:smarttags" w:element="country-region">
          <w:r w:rsidRPr="00011BA4">
            <w:rPr>
              <w:lang w:val="en-US"/>
            </w:rPr>
            <w:t>Bhutan</w:t>
          </w:r>
        </w:smartTag>
      </w:smartTag>
      <w:r w:rsidRPr="00011BA4">
        <w:rPr>
          <w:lang w:val="en-US"/>
        </w:rPr>
        <w:t xml:space="preserve">. However, the </w:t>
      </w:r>
      <w:smartTag w:uri="urn:schemas-microsoft-com:office:smarttags" w:element="place">
        <w:smartTag w:uri="urn:schemas-microsoft-com:office:smarttags" w:element="country-region">
          <w:r w:rsidRPr="00011BA4">
            <w:rPr>
              <w:lang w:val="en-US"/>
            </w:rPr>
            <w:t>Maldives</w:t>
          </w:r>
        </w:smartTag>
      </w:smartTag>
      <w:r w:rsidRPr="00011BA4">
        <w:rPr>
          <w:lang w:val="en-US"/>
        </w:rPr>
        <w:t xml:space="preserve"> showed how broadband rates can be boosted quickly through mobile networks with its impressive 33 per cent penetration. </w:t>
      </w:r>
    </w:p>
    <w:p w:rsidR="00011BA4" w:rsidRPr="00011BA4" w:rsidRDefault="00011BA4" w:rsidP="00E82816">
      <w:pPr>
        <w:rPr>
          <w:lang w:val="en-US"/>
        </w:rPr>
      </w:pPr>
      <w:r w:rsidRPr="00011BA4">
        <w:rPr>
          <w:lang w:val="en-US"/>
        </w:rPr>
        <w:t xml:space="preserve">This report reviews the overall context of broadband development in ABBMN countries, as well as </w:t>
      </w:r>
      <w:proofErr w:type="spellStart"/>
      <w:r w:rsidRPr="00011BA4">
        <w:rPr>
          <w:lang w:val="en-US"/>
        </w:rPr>
        <w:t>analysing</w:t>
      </w:r>
      <w:proofErr w:type="spellEnd"/>
      <w:r w:rsidRPr="00011BA4">
        <w:rPr>
          <w:lang w:val="en-US"/>
        </w:rPr>
        <w:t xml:space="preserve"> some priority policy and reg</w:t>
      </w:r>
      <w:r w:rsidR="00F009C1">
        <w:rPr>
          <w:lang w:val="en-US"/>
        </w:rPr>
        <w:t>ulatory issues for broadband deployment</w:t>
      </w:r>
      <w:r w:rsidRPr="00011BA4">
        <w:rPr>
          <w:lang w:val="en-US"/>
        </w:rPr>
        <w:t>. The report provides concrete recommendations for policy makers and regulators.</w:t>
      </w:r>
    </w:p>
    <w:p w:rsidR="008105C4" w:rsidRPr="00C5494E" w:rsidRDefault="00011BA4" w:rsidP="00011BA4">
      <w:r w:rsidRPr="00011BA4">
        <w:rPr>
          <w:lang w:val="en-US"/>
        </w:rPr>
        <w:t>I hope that the findings and recommendations of the report will help ABBMN countries in their efforts to stimulate broadband investment and development and in turn, achieve the WSIS targets and the UN Millennium Development Goals.</w:t>
      </w:r>
    </w:p>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0F4A58">
      <w:pPr>
        <w:jc w:val="right"/>
        <w:rPr>
          <w:szCs w:val="24"/>
        </w:rPr>
      </w:pPr>
      <w:r w:rsidRPr="00C5494E">
        <w:rPr>
          <w:szCs w:val="24"/>
        </w:rPr>
        <w:tab/>
        <w:t xml:space="preserve">Sami Al </w:t>
      </w:r>
      <w:proofErr w:type="spellStart"/>
      <w:r w:rsidRPr="00C5494E">
        <w:rPr>
          <w:szCs w:val="24"/>
        </w:rPr>
        <w:t>Basheer</w:t>
      </w:r>
      <w:proofErr w:type="spellEnd"/>
      <w:r w:rsidRPr="00C5494E">
        <w:rPr>
          <w:szCs w:val="24"/>
        </w:rPr>
        <w:t xml:space="preserve"> Al </w:t>
      </w:r>
      <w:proofErr w:type="spellStart"/>
      <w:r w:rsidRPr="00C5494E">
        <w:rPr>
          <w:szCs w:val="24"/>
        </w:rPr>
        <w:t>Morshid</w:t>
      </w:r>
      <w:proofErr w:type="spellEnd"/>
      <w:r w:rsidRPr="00C5494E">
        <w:rPr>
          <w:szCs w:val="24"/>
        </w:rPr>
        <w:br/>
      </w:r>
      <w:r w:rsidRPr="00C5494E">
        <w:rPr>
          <w:szCs w:val="24"/>
        </w:rPr>
        <w:tab/>
        <w:t>Director</w:t>
      </w:r>
      <w:r w:rsidR="000F4A58" w:rsidRPr="00C5494E">
        <w:rPr>
          <w:szCs w:val="24"/>
        </w:rPr>
        <w:br/>
      </w:r>
      <w:r w:rsidRPr="00C5494E">
        <w:rPr>
          <w:szCs w:val="24"/>
        </w:rPr>
        <w:t>Telecommunication Development Bureau</w:t>
      </w:r>
    </w:p>
    <w:p w:rsidR="008105C4" w:rsidRPr="00C5494E" w:rsidRDefault="008105C4" w:rsidP="008105C4">
      <w:pPr>
        <w:sectPr w:rsidR="008105C4" w:rsidRPr="00C5494E" w:rsidSect="008105C4">
          <w:headerReference w:type="default" r:id="rId13"/>
          <w:footerReference w:type="default" r:id="rId14"/>
          <w:type w:val="oddPage"/>
          <w:pgSz w:w="11907" w:h="16834"/>
          <w:pgMar w:top="1134" w:right="1134" w:bottom="1134" w:left="1134" w:header="567" w:footer="567" w:gutter="0"/>
          <w:paperSrc w:first="15" w:other="15"/>
          <w:pgNumType w:fmt="lowerRoman" w:start="1"/>
          <w:cols w:space="720"/>
        </w:sectPr>
      </w:pPr>
    </w:p>
    <w:p w:rsidR="008105C4" w:rsidRPr="00C5494E" w:rsidRDefault="008105C4" w:rsidP="008105C4">
      <w:pPr>
        <w:pStyle w:val="Heading1"/>
      </w:pPr>
      <w:bookmarkStart w:id="9" w:name="_Toc273610073"/>
      <w:bookmarkStart w:id="10" w:name="_Toc273623609"/>
      <w:r w:rsidRPr="00C5494E">
        <w:lastRenderedPageBreak/>
        <w:t xml:space="preserve">TABLE OF </w:t>
      </w:r>
      <w:r w:rsidRPr="00C5494E">
        <w:rPr>
          <w:szCs w:val="36"/>
        </w:rPr>
        <w:t>CONTENTS</w:t>
      </w:r>
      <w:bookmarkEnd w:id="9"/>
      <w:bookmarkEnd w:id="10"/>
    </w:p>
    <w:p w:rsidR="008105C4" w:rsidRPr="00C5494E" w:rsidRDefault="008105C4" w:rsidP="008105C4"/>
    <w:p w:rsidR="008105C4" w:rsidRPr="00C5494E" w:rsidRDefault="00580D80" w:rsidP="00580D80">
      <w:pPr>
        <w:jc w:val="right"/>
        <w:rPr>
          <w:b/>
          <w:bCs/>
          <w:color w:val="990033"/>
        </w:rPr>
      </w:pPr>
      <w:r w:rsidRPr="00C5494E">
        <w:rPr>
          <w:b/>
          <w:bCs/>
          <w:color w:val="990033"/>
        </w:rPr>
        <w:tab/>
      </w:r>
      <w:r w:rsidRPr="00C5494E">
        <w:rPr>
          <w:b/>
          <w:bCs/>
          <w:color w:val="990033"/>
        </w:rPr>
        <w:tab/>
        <w:t>Page</w:t>
      </w:r>
    </w:p>
    <w:p w:rsidR="00844684" w:rsidRPr="00C5494E" w:rsidRDefault="00D736C6" w:rsidP="00844684">
      <w:pPr>
        <w:pStyle w:val="TOC1"/>
        <w:rPr>
          <w:rFonts w:eastAsiaTheme="minorEastAsia" w:cstheme="minorBidi"/>
          <w:noProof/>
          <w:color w:val="auto"/>
          <w:szCs w:val="22"/>
          <w:lang w:eastAsia="zh-CN"/>
        </w:rPr>
      </w:pPr>
      <w:r w:rsidRPr="00D736C6">
        <w:fldChar w:fldCharType="begin"/>
      </w:r>
      <w:r w:rsidR="00580D80" w:rsidRPr="00C5494E">
        <w:instrText xml:space="preserve"> TOC \o "1-3" \h \z \u </w:instrText>
      </w:r>
      <w:r w:rsidRPr="00D736C6">
        <w:fldChar w:fldCharType="separate"/>
      </w:r>
      <w:hyperlink w:anchor="_Toc273623608" w:history="1">
        <w:r w:rsidR="00844684" w:rsidRPr="00C5494E">
          <w:rPr>
            <w:rStyle w:val="Hyperlink"/>
            <w:noProof/>
          </w:rPr>
          <w:t>FOREWORD</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_Toc273623608 \h </w:instrText>
        </w:r>
        <w:r w:rsidRPr="00C5494E">
          <w:rPr>
            <w:noProof/>
            <w:webHidden/>
          </w:rPr>
        </w:r>
        <w:r w:rsidRPr="00C5494E">
          <w:rPr>
            <w:noProof/>
            <w:webHidden/>
          </w:rPr>
          <w:fldChar w:fldCharType="separate"/>
        </w:r>
        <w:r w:rsidR="00011BA4">
          <w:rPr>
            <w:noProof/>
            <w:webHidden/>
          </w:rPr>
          <w:t>i</w:t>
        </w:r>
        <w:r w:rsidRPr="00C5494E">
          <w:rPr>
            <w:noProof/>
            <w:webHidden/>
          </w:rPr>
          <w:fldChar w:fldCharType="end"/>
        </w:r>
      </w:hyperlink>
    </w:p>
    <w:p w:rsidR="00844684" w:rsidRPr="00C5494E" w:rsidRDefault="00D736C6">
      <w:pPr>
        <w:pStyle w:val="TOC1"/>
        <w:rPr>
          <w:rFonts w:eastAsiaTheme="minorEastAsia" w:cstheme="minorBidi"/>
          <w:noProof/>
          <w:color w:val="auto"/>
          <w:szCs w:val="22"/>
          <w:lang w:eastAsia="zh-CN"/>
        </w:rPr>
      </w:pPr>
      <w:hyperlink w:anchor="_Toc273623610" w:history="1">
        <w:r w:rsidR="00844684" w:rsidRPr="00C5494E">
          <w:rPr>
            <w:rStyle w:val="Hyperlink"/>
            <w:noProof/>
          </w:rPr>
          <w:t>1</w:t>
        </w:r>
        <w:r w:rsidR="00844684" w:rsidRPr="00C5494E">
          <w:rPr>
            <w:rFonts w:eastAsiaTheme="minorEastAsia" w:cstheme="minorBidi"/>
            <w:noProof/>
            <w:color w:val="auto"/>
            <w:szCs w:val="22"/>
            <w:lang w:eastAsia="zh-CN"/>
          </w:rPr>
          <w:tab/>
        </w:r>
        <w:r w:rsidR="00844684" w:rsidRPr="00C5494E">
          <w:rPr>
            <w:rStyle w:val="Hyperlink"/>
            <w:noProof/>
          </w:rPr>
          <w:t>EXECUTIVE SUMMARY</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_Toc273623610 \h </w:instrText>
        </w:r>
        <w:r w:rsidRPr="00C5494E">
          <w:rPr>
            <w:noProof/>
            <w:webHidden/>
          </w:rPr>
        </w:r>
        <w:r w:rsidRPr="00C5494E">
          <w:rPr>
            <w:noProof/>
            <w:webHidden/>
          </w:rPr>
          <w:fldChar w:fldCharType="separate"/>
        </w:r>
        <w:r w:rsidR="00011BA4">
          <w:rPr>
            <w:noProof/>
            <w:webHidden/>
          </w:rPr>
          <w:t>1</w:t>
        </w:r>
        <w:r w:rsidRPr="00C5494E">
          <w:rPr>
            <w:noProof/>
            <w:webHidden/>
          </w:rPr>
          <w:fldChar w:fldCharType="end"/>
        </w:r>
      </w:hyperlink>
    </w:p>
    <w:p w:rsidR="00844684" w:rsidRPr="00C5494E" w:rsidRDefault="00D736C6">
      <w:pPr>
        <w:pStyle w:val="TOC1"/>
        <w:rPr>
          <w:rFonts w:eastAsiaTheme="minorEastAsia" w:cstheme="minorBidi"/>
          <w:noProof/>
          <w:color w:val="auto"/>
          <w:szCs w:val="22"/>
          <w:lang w:eastAsia="zh-CN"/>
        </w:rPr>
      </w:pPr>
      <w:hyperlink w:anchor="_Toc273623611" w:history="1">
        <w:r w:rsidR="00844684" w:rsidRPr="00C5494E">
          <w:rPr>
            <w:rStyle w:val="Hyperlink"/>
            <w:noProof/>
            <w:lang w:bidi="hi-IN"/>
          </w:rPr>
          <w:t>MINISTERIAL DECLARATION</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_Toc273623611 \h </w:instrText>
        </w:r>
        <w:r w:rsidRPr="00C5494E">
          <w:rPr>
            <w:noProof/>
            <w:webHidden/>
          </w:rPr>
        </w:r>
        <w:r w:rsidRPr="00C5494E">
          <w:rPr>
            <w:noProof/>
            <w:webHidden/>
          </w:rPr>
          <w:fldChar w:fldCharType="separate"/>
        </w:r>
        <w:r w:rsidR="00011BA4">
          <w:rPr>
            <w:noProof/>
            <w:webHidden/>
          </w:rPr>
          <w:t>2</w:t>
        </w:r>
        <w:r w:rsidRPr="00C5494E">
          <w:rPr>
            <w:noProof/>
            <w:webHidden/>
          </w:rPr>
          <w:fldChar w:fldCharType="end"/>
        </w:r>
      </w:hyperlink>
    </w:p>
    <w:p w:rsidR="00844684" w:rsidRPr="00C5494E" w:rsidRDefault="00D736C6">
      <w:pPr>
        <w:pStyle w:val="TOC1"/>
        <w:rPr>
          <w:rFonts w:eastAsiaTheme="minorEastAsia" w:cstheme="minorBidi"/>
          <w:noProof/>
          <w:color w:val="auto"/>
          <w:szCs w:val="22"/>
          <w:lang w:eastAsia="zh-CN"/>
        </w:rPr>
      </w:pPr>
      <w:hyperlink w:anchor="_Toc273623615" w:history="1">
        <w:r w:rsidR="00844684" w:rsidRPr="00C5494E">
          <w:rPr>
            <w:rStyle w:val="Hyperlink"/>
            <w:noProof/>
          </w:rPr>
          <w:t>2</w:t>
        </w:r>
        <w:r w:rsidR="00844684" w:rsidRPr="00C5494E">
          <w:rPr>
            <w:rFonts w:eastAsiaTheme="minorEastAsia" w:cstheme="minorBidi"/>
            <w:noProof/>
            <w:color w:val="auto"/>
            <w:szCs w:val="22"/>
            <w:lang w:eastAsia="zh-CN"/>
          </w:rPr>
          <w:tab/>
        </w:r>
        <w:r w:rsidR="00844684" w:rsidRPr="00C5494E">
          <w:rPr>
            <w:rStyle w:val="Hyperlink"/>
            <w:noProof/>
          </w:rPr>
          <w:t>METHODOLOGY</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_Toc273623615 \h </w:instrText>
        </w:r>
        <w:r w:rsidRPr="00C5494E">
          <w:rPr>
            <w:noProof/>
            <w:webHidden/>
          </w:rPr>
        </w:r>
        <w:r w:rsidRPr="00C5494E">
          <w:rPr>
            <w:noProof/>
            <w:webHidden/>
          </w:rPr>
          <w:fldChar w:fldCharType="separate"/>
        </w:r>
        <w:r w:rsidR="00011BA4">
          <w:rPr>
            <w:noProof/>
            <w:webHidden/>
          </w:rPr>
          <w:t>5</w:t>
        </w:r>
        <w:r w:rsidRPr="00C5494E">
          <w:rPr>
            <w:noProof/>
            <w:webHidden/>
          </w:rPr>
          <w:fldChar w:fldCharType="end"/>
        </w:r>
      </w:hyperlink>
    </w:p>
    <w:p w:rsidR="00844684" w:rsidRPr="00C5494E" w:rsidRDefault="00D736C6">
      <w:pPr>
        <w:pStyle w:val="TOC1"/>
        <w:rPr>
          <w:rFonts w:eastAsiaTheme="minorEastAsia" w:cstheme="minorBidi"/>
          <w:noProof/>
          <w:color w:val="auto"/>
          <w:szCs w:val="22"/>
          <w:lang w:eastAsia="zh-CN"/>
        </w:rPr>
      </w:pPr>
      <w:hyperlink w:anchor="_Toc273623616" w:history="1">
        <w:r w:rsidR="00844684" w:rsidRPr="00C5494E">
          <w:rPr>
            <w:rStyle w:val="Hyperlink"/>
            <w:noProof/>
          </w:rPr>
          <w:t>3</w:t>
        </w:r>
        <w:r w:rsidR="00844684" w:rsidRPr="00C5494E">
          <w:rPr>
            <w:rFonts w:eastAsiaTheme="minorEastAsia" w:cstheme="minorBidi"/>
            <w:noProof/>
            <w:color w:val="auto"/>
            <w:szCs w:val="22"/>
            <w:lang w:eastAsia="zh-CN"/>
          </w:rPr>
          <w:tab/>
        </w:r>
        <w:r w:rsidR="00844684" w:rsidRPr="00C5494E">
          <w:rPr>
            <w:rStyle w:val="Hyperlink"/>
            <w:noProof/>
          </w:rPr>
          <w:t>OVERVIEW</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_Toc273623616 \h </w:instrText>
        </w:r>
        <w:r w:rsidRPr="00C5494E">
          <w:rPr>
            <w:noProof/>
            <w:webHidden/>
          </w:rPr>
        </w:r>
        <w:r w:rsidRPr="00C5494E">
          <w:rPr>
            <w:noProof/>
            <w:webHidden/>
          </w:rPr>
          <w:fldChar w:fldCharType="separate"/>
        </w:r>
        <w:r w:rsidR="00011BA4">
          <w:rPr>
            <w:noProof/>
            <w:webHidden/>
          </w:rPr>
          <w:t>6</w:t>
        </w:r>
        <w:r w:rsidRPr="00C5494E">
          <w:rPr>
            <w:noProof/>
            <w:webHidden/>
          </w:rPr>
          <w:fldChar w:fldCharType="end"/>
        </w:r>
      </w:hyperlink>
    </w:p>
    <w:p w:rsidR="00844684" w:rsidRPr="00C5494E" w:rsidRDefault="00D736C6">
      <w:pPr>
        <w:pStyle w:val="TOC2"/>
        <w:rPr>
          <w:rFonts w:eastAsiaTheme="minorEastAsia" w:cstheme="minorBidi"/>
          <w:i w:val="0"/>
          <w:noProof/>
          <w:szCs w:val="22"/>
          <w:lang w:eastAsia="zh-CN"/>
        </w:rPr>
      </w:pPr>
      <w:hyperlink w:anchor="_Toc273623617" w:history="1">
        <w:r w:rsidR="00844684" w:rsidRPr="00C5494E">
          <w:rPr>
            <w:rStyle w:val="Hyperlink"/>
            <w:noProof/>
          </w:rPr>
          <w:t>3.1</w:t>
        </w:r>
        <w:r w:rsidR="00844684" w:rsidRPr="00C5494E">
          <w:rPr>
            <w:rStyle w:val="Hyperlink"/>
            <w:noProof/>
          </w:rPr>
          <w:tab/>
        </w:r>
        <w:r w:rsidR="00844684" w:rsidRPr="00C5494E">
          <w:rPr>
            <w:rFonts w:eastAsiaTheme="minorEastAsia" w:cstheme="minorBidi"/>
            <w:i w:val="0"/>
            <w:noProof/>
            <w:szCs w:val="22"/>
            <w:lang w:eastAsia="zh-CN"/>
          </w:rPr>
          <w:tab/>
        </w:r>
        <w:r w:rsidR="00844684" w:rsidRPr="00C5494E">
          <w:rPr>
            <w:rStyle w:val="Hyperlink"/>
            <w:noProof/>
          </w:rPr>
          <w:t>SOCIO-ECONOMIC, GEOGRAPHIC AND DEMOGRAPHIC PARAMETERS</w:t>
        </w:r>
        <w:r w:rsidR="00844684" w:rsidRPr="00C5494E">
          <w:rPr>
            <w:rStyle w:val="Hyperlink"/>
            <w:noProof/>
          </w:rPr>
          <w:tab/>
        </w:r>
        <w:r w:rsidR="00844684" w:rsidRPr="00C5494E">
          <w:rPr>
            <w:noProof/>
            <w:webHidden/>
          </w:rPr>
          <w:tab/>
        </w:r>
        <w:r w:rsidRPr="00C5494E">
          <w:rPr>
            <w:noProof/>
            <w:webHidden/>
          </w:rPr>
          <w:fldChar w:fldCharType="begin"/>
        </w:r>
        <w:r w:rsidR="00844684" w:rsidRPr="00C5494E">
          <w:rPr>
            <w:noProof/>
            <w:webHidden/>
          </w:rPr>
          <w:instrText xml:space="preserve"> PAGEREF _Toc273623617 \h </w:instrText>
        </w:r>
        <w:r w:rsidRPr="00C5494E">
          <w:rPr>
            <w:noProof/>
            <w:webHidden/>
          </w:rPr>
        </w:r>
        <w:r w:rsidRPr="00C5494E">
          <w:rPr>
            <w:noProof/>
            <w:webHidden/>
          </w:rPr>
          <w:fldChar w:fldCharType="separate"/>
        </w:r>
        <w:r w:rsidR="00011BA4">
          <w:rPr>
            <w:noProof/>
            <w:webHidden/>
          </w:rPr>
          <w:t>6</w:t>
        </w:r>
        <w:r w:rsidRPr="00C5494E">
          <w:rPr>
            <w:noProof/>
            <w:webHidden/>
          </w:rPr>
          <w:fldChar w:fldCharType="end"/>
        </w:r>
      </w:hyperlink>
    </w:p>
    <w:p w:rsidR="00844684" w:rsidRPr="00C5494E" w:rsidRDefault="00D736C6">
      <w:pPr>
        <w:pStyle w:val="TOC2"/>
        <w:rPr>
          <w:rFonts w:eastAsiaTheme="minorEastAsia" w:cstheme="minorBidi"/>
          <w:i w:val="0"/>
          <w:noProof/>
          <w:szCs w:val="22"/>
          <w:lang w:eastAsia="zh-CN"/>
        </w:rPr>
      </w:pPr>
      <w:hyperlink w:anchor="_Toc273623619" w:history="1">
        <w:r w:rsidR="00844684" w:rsidRPr="00C5494E">
          <w:rPr>
            <w:rStyle w:val="Hyperlink"/>
            <w:noProof/>
          </w:rPr>
          <w:t>3.2</w:t>
        </w:r>
        <w:r w:rsidR="00844684" w:rsidRPr="00C5494E">
          <w:rPr>
            <w:rStyle w:val="Hyperlink"/>
            <w:noProof/>
          </w:rPr>
          <w:tab/>
        </w:r>
        <w:r w:rsidR="00844684" w:rsidRPr="00C5494E">
          <w:rPr>
            <w:rFonts w:eastAsiaTheme="minorEastAsia" w:cstheme="minorBidi"/>
            <w:i w:val="0"/>
            <w:noProof/>
            <w:szCs w:val="22"/>
            <w:lang w:eastAsia="zh-CN"/>
          </w:rPr>
          <w:tab/>
        </w:r>
        <w:r w:rsidR="00844684" w:rsidRPr="00C5494E">
          <w:rPr>
            <w:rStyle w:val="Hyperlink"/>
            <w:noProof/>
          </w:rPr>
          <w:t>ICT DEVELOPMENT</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_Toc273623619 \h </w:instrText>
        </w:r>
        <w:r w:rsidRPr="00C5494E">
          <w:rPr>
            <w:noProof/>
            <w:webHidden/>
          </w:rPr>
        </w:r>
        <w:r w:rsidRPr="00C5494E">
          <w:rPr>
            <w:noProof/>
            <w:webHidden/>
          </w:rPr>
          <w:fldChar w:fldCharType="separate"/>
        </w:r>
        <w:r w:rsidR="00011BA4">
          <w:rPr>
            <w:noProof/>
            <w:webHidden/>
          </w:rPr>
          <w:t>14</w:t>
        </w:r>
        <w:r w:rsidRPr="00C5494E">
          <w:rPr>
            <w:noProof/>
            <w:webHidden/>
          </w:rPr>
          <w:fldChar w:fldCharType="end"/>
        </w:r>
      </w:hyperlink>
    </w:p>
    <w:p w:rsidR="00844684" w:rsidRPr="00C5494E" w:rsidRDefault="00D736C6">
      <w:pPr>
        <w:pStyle w:val="TOC2"/>
        <w:rPr>
          <w:rFonts w:eastAsiaTheme="minorEastAsia" w:cstheme="minorBidi"/>
          <w:i w:val="0"/>
          <w:noProof/>
          <w:szCs w:val="22"/>
          <w:lang w:eastAsia="zh-CN"/>
        </w:rPr>
      </w:pPr>
      <w:hyperlink w:anchor="_Toc273623620" w:history="1">
        <w:r w:rsidR="00844684" w:rsidRPr="00C5494E">
          <w:rPr>
            <w:rStyle w:val="Hyperlink"/>
            <w:noProof/>
          </w:rPr>
          <w:t>3.3</w:t>
        </w:r>
        <w:r w:rsidR="00844684" w:rsidRPr="00C5494E">
          <w:rPr>
            <w:rFonts w:eastAsiaTheme="minorEastAsia" w:cstheme="minorBidi"/>
            <w:i w:val="0"/>
            <w:noProof/>
            <w:szCs w:val="22"/>
            <w:lang w:eastAsia="zh-CN"/>
          </w:rPr>
          <w:tab/>
        </w:r>
        <w:r w:rsidR="00844684" w:rsidRPr="00C5494E">
          <w:rPr>
            <w:rFonts w:eastAsiaTheme="minorEastAsia" w:cstheme="minorBidi"/>
            <w:i w:val="0"/>
            <w:noProof/>
            <w:szCs w:val="22"/>
            <w:lang w:eastAsia="zh-CN"/>
          </w:rPr>
          <w:tab/>
        </w:r>
        <w:r w:rsidR="00844684" w:rsidRPr="00C5494E">
          <w:rPr>
            <w:rStyle w:val="Hyperlink"/>
            <w:noProof/>
          </w:rPr>
          <w:t>AFFORDABILITY OF ICT SERVICES</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_Toc273623620 \h </w:instrText>
        </w:r>
        <w:r w:rsidRPr="00C5494E">
          <w:rPr>
            <w:noProof/>
            <w:webHidden/>
          </w:rPr>
        </w:r>
        <w:r w:rsidRPr="00C5494E">
          <w:rPr>
            <w:noProof/>
            <w:webHidden/>
          </w:rPr>
          <w:fldChar w:fldCharType="separate"/>
        </w:r>
        <w:r w:rsidR="00011BA4">
          <w:rPr>
            <w:noProof/>
            <w:webHidden/>
          </w:rPr>
          <w:t>24</w:t>
        </w:r>
        <w:r w:rsidRPr="00C5494E">
          <w:rPr>
            <w:noProof/>
            <w:webHidden/>
          </w:rPr>
          <w:fldChar w:fldCharType="end"/>
        </w:r>
      </w:hyperlink>
    </w:p>
    <w:p w:rsidR="00844684" w:rsidRPr="00C5494E" w:rsidRDefault="00D736C6">
      <w:pPr>
        <w:pStyle w:val="TOC1"/>
        <w:rPr>
          <w:rFonts w:eastAsiaTheme="minorEastAsia" w:cstheme="minorBidi"/>
          <w:noProof/>
          <w:color w:val="auto"/>
          <w:szCs w:val="22"/>
          <w:lang w:eastAsia="zh-CN"/>
        </w:rPr>
      </w:pPr>
      <w:hyperlink w:anchor="_Toc273623622" w:history="1">
        <w:r w:rsidR="00844684" w:rsidRPr="00C5494E">
          <w:rPr>
            <w:rStyle w:val="Hyperlink"/>
            <w:noProof/>
          </w:rPr>
          <w:t>4.</w:t>
        </w:r>
        <w:r w:rsidR="00844684" w:rsidRPr="00C5494E">
          <w:rPr>
            <w:rFonts w:eastAsiaTheme="minorEastAsia" w:cstheme="minorBidi"/>
            <w:noProof/>
            <w:color w:val="auto"/>
            <w:szCs w:val="22"/>
            <w:lang w:eastAsia="zh-CN"/>
          </w:rPr>
          <w:tab/>
        </w:r>
        <w:r w:rsidR="00844684" w:rsidRPr="00C5494E">
          <w:rPr>
            <w:rStyle w:val="Hyperlink"/>
            <w:noProof/>
          </w:rPr>
          <w:t>CURRENT STATUS OF BROADBAND DEVELOPMENT</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_Toc273623622 \h </w:instrText>
        </w:r>
        <w:r w:rsidRPr="00C5494E">
          <w:rPr>
            <w:noProof/>
            <w:webHidden/>
          </w:rPr>
        </w:r>
        <w:r w:rsidRPr="00C5494E">
          <w:rPr>
            <w:noProof/>
            <w:webHidden/>
          </w:rPr>
          <w:fldChar w:fldCharType="separate"/>
        </w:r>
        <w:r w:rsidR="00011BA4">
          <w:rPr>
            <w:noProof/>
            <w:webHidden/>
          </w:rPr>
          <w:t>29</w:t>
        </w:r>
        <w:r w:rsidRPr="00C5494E">
          <w:rPr>
            <w:noProof/>
            <w:webHidden/>
          </w:rPr>
          <w:fldChar w:fldCharType="end"/>
        </w:r>
      </w:hyperlink>
    </w:p>
    <w:p w:rsidR="00844684" w:rsidRPr="00C5494E" w:rsidRDefault="00D736C6">
      <w:pPr>
        <w:pStyle w:val="TOC2"/>
        <w:rPr>
          <w:rFonts w:eastAsiaTheme="minorEastAsia" w:cstheme="minorBidi"/>
          <w:i w:val="0"/>
          <w:noProof/>
          <w:szCs w:val="22"/>
          <w:lang w:eastAsia="zh-CN"/>
        </w:rPr>
      </w:pPr>
      <w:hyperlink w:anchor="_Toc273623623" w:history="1">
        <w:r w:rsidR="00844684" w:rsidRPr="00C5494E">
          <w:rPr>
            <w:rStyle w:val="Hyperlink"/>
            <w:noProof/>
          </w:rPr>
          <w:t>4.1</w:t>
        </w:r>
        <w:r w:rsidR="00844684" w:rsidRPr="00C5494E">
          <w:rPr>
            <w:rStyle w:val="Hyperlink"/>
            <w:noProof/>
          </w:rPr>
          <w:tab/>
        </w:r>
        <w:r w:rsidR="00844684" w:rsidRPr="00C5494E">
          <w:rPr>
            <w:rFonts w:eastAsiaTheme="minorEastAsia" w:cstheme="minorBidi"/>
            <w:i w:val="0"/>
            <w:noProof/>
            <w:szCs w:val="22"/>
            <w:lang w:eastAsia="zh-CN"/>
          </w:rPr>
          <w:tab/>
        </w:r>
        <w:r w:rsidR="00844684" w:rsidRPr="00C5494E">
          <w:rPr>
            <w:rStyle w:val="Hyperlink"/>
            <w:noProof/>
          </w:rPr>
          <w:t>NATIONAL REGULATORY AUTHORITIES</w:t>
        </w:r>
        <w:r w:rsidR="00844684" w:rsidRPr="00C5494E">
          <w:rPr>
            <w:rStyle w:val="Hyperlink"/>
            <w:noProof/>
          </w:rPr>
          <w:tab/>
        </w:r>
        <w:r w:rsidR="00844684" w:rsidRPr="00C5494E">
          <w:rPr>
            <w:noProof/>
            <w:webHidden/>
          </w:rPr>
          <w:tab/>
        </w:r>
        <w:r w:rsidRPr="00C5494E">
          <w:rPr>
            <w:noProof/>
            <w:webHidden/>
          </w:rPr>
          <w:fldChar w:fldCharType="begin"/>
        </w:r>
        <w:r w:rsidR="00844684" w:rsidRPr="00C5494E">
          <w:rPr>
            <w:noProof/>
            <w:webHidden/>
          </w:rPr>
          <w:instrText xml:space="preserve"> PAGEREF _Toc273623623 \h </w:instrText>
        </w:r>
        <w:r w:rsidRPr="00C5494E">
          <w:rPr>
            <w:noProof/>
            <w:webHidden/>
          </w:rPr>
        </w:r>
        <w:r w:rsidRPr="00C5494E">
          <w:rPr>
            <w:noProof/>
            <w:webHidden/>
          </w:rPr>
          <w:fldChar w:fldCharType="separate"/>
        </w:r>
        <w:r w:rsidR="00011BA4">
          <w:rPr>
            <w:noProof/>
            <w:webHidden/>
          </w:rPr>
          <w:t>30</w:t>
        </w:r>
        <w:r w:rsidRPr="00C5494E">
          <w:rPr>
            <w:noProof/>
            <w:webHidden/>
          </w:rPr>
          <w:fldChar w:fldCharType="end"/>
        </w:r>
      </w:hyperlink>
    </w:p>
    <w:p w:rsidR="00844684" w:rsidRPr="00C5494E" w:rsidRDefault="00D736C6">
      <w:pPr>
        <w:pStyle w:val="TOC2"/>
        <w:rPr>
          <w:rFonts w:eastAsiaTheme="minorEastAsia" w:cstheme="minorBidi"/>
          <w:i w:val="0"/>
          <w:noProof/>
          <w:szCs w:val="22"/>
          <w:lang w:eastAsia="zh-CN"/>
        </w:rPr>
      </w:pPr>
      <w:hyperlink w:anchor="_Toc273623625" w:history="1">
        <w:r w:rsidR="00844684" w:rsidRPr="00C5494E">
          <w:rPr>
            <w:rStyle w:val="Hyperlink"/>
            <w:noProof/>
          </w:rPr>
          <w:t>4.2</w:t>
        </w:r>
        <w:r w:rsidR="00C55197" w:rsidRPr="00C5494E">
          <w:rPr>
            <w:rStyle w:val="Hyperlink"/>
            <w:noProof/>
          </w:rPr>
          <w:tab/>
        </w:r>
        <w:r w:rsidR="00844684" w:rsidRPr="00C5494E">
          <w:rPr>
            <w:rFonts w:eastAsiaTheme="minorEastAsia" w:cstheme="minorBidi"/>
            <w:i w:val="0"/>
            <w:noProof/>
            <w:szCs w:val="22"/>
            <w:lang w:eastAsia="zh-CN"/>
          </w:rPr>
          <w:tab/>
        </w:r>
        <w:r w:rsidR="00844684" w:rsidRPr="00C5494E">
          <w:rPr>
            <w:rStyle w:val="Hyperlink"/>
            <w:noProof/>
          </w:rPr>
          <w:t>FIXED NETWORK INFRASTRUCTURE</w:t>
        </w:r>
        <w:r w:rsidR="00844684" w:rsidRPr="00C5494E">
          <w:rPr>
            <w:rStyle w:val="Hyperlink"/>
            <w:noProof/>
          </w:rPr>
          <w:tab/>
        </w:r>
        <w:r w:rsidR="00844684" w:rsidRPr="00C5494E">
          <w:rPr>
            <w:noProof/>
            <w:webHidden/>
          </w:rPr>
          <w:tab/>
        </w:r>
        <w:r w:rsidRPr="00C5494E">
          <w:rPr>
            <w:noProof/>
            <w:webHidden/>
          </w:rPr>
          <w:fldChar w:fldCharType="begin"/>
        </w:r>
        <w:r w:rsidR="00844684" w:rsidRPr="00C5494E">
          <w:rPr>
            <w:noProof/>
            <w:webHidden/>
          </w:rPr>
          <w:instrText xml:space="preserve"> PAGEREF _Toc273623625 \h </w:instrText>
        </w:r>
        <w:r w:rsidRPr="00C5494E">
          <w:rPr>
            <w:noProof/>
            <w:webHidden/>
          </w:rPr>
        </w:r>
        <w:r w:rsidRPr="00C5494E">
          <w:rPr>
            <w:noProof/>
            <w:webHidden/>
          </w:rPr>
          <w:fldChar w:fldCharType="separate"/>
        </w:r>
        <w:r w:rsidR="00011BA4">
          <w:rPr>
            <w:noProof/>
            <w:webHidden/>
          </w:rPr>
          <w:t>32</w:t>
        </w:r>
        <w:r w:rsidRPr="00C5494E">
          <w:rPr>
            <w:noProof/>
            <w:webHidden/>
          </w:rPr>
          <w:fldChar w:fldCharType="end"/>
        </w:r>
      </w:hyperlink>
    </w:p>
    <w:p w:rsidR="00844684" w:rsidRPr="00C5494E" w:rsidRDefault="00D736C6">
      <w:pPr>
        <w:pStyle w:val="TOC2"/>
        <w:rPr>
          <w:rFonts w:eastAsiaTheme="minorEastAsia" w:cstheme="minorBidi"/>
          <w:i w:val="0"/>
          <w:noProof/>
          <w:szCs w:val="22"/>
          <w:lang w:eastAsia="zh-CN"/>
        </w:rPr>
      </w:pPr>
      <w:hyperlink w:anchor="_Toc273623627" w:history="1">
        <w:r w:rsidR="00844684" w:rsidRPr="00C5494E">
          <w:rPr>
            <w:rStyle w:val="Hyperlink"/>
            <w:noProof/>
          </w:rPr>
          <w:t>4.3</w:t>
        </w:r>
        <w:r w:rsidR="00844684" w:rsidRPr="00C5494E">
          <w:rPr>
            <w:rFonts w:eastAsiaTheme="minorEastAsia" w:cstheme="minorBidi"/>
            <w:i w:val="0"/>
            <w:noProof/>
            <w:szCs w:val="22"/>
            <w:lang w:eastAsia="zh-CN"/>
          </w:rPr>
          <w:tab/>
        </w:r>
        <w:r w:rsidR="00C55197" w:rsidRPr="00C5494E">
          <w:rPr>
            <w:rFonts w:eastAsiaTheme="minorEastAsia" w:cstheme="minorBidi"/>
            <w:i w:val="0"/>
            <w:noProof/>
            <w:szCs w:val="22"/>
            <w:lang w:eastAsia="zh-CN"/>
          </w:rPr>
          <w:tab/>
        </w:r>
        <w:r w:rsidR="00844684" w:rsidRPr="00C5494E">
          <w:rPr>
            <w:rStyle w:val="Hyperlink"/>
            <w:noProof/>
          </w:rPr>
          <w:t>PERSONAL COMPUTER PENETRATION</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_Toc273623627 \h </w:instrText>
        </w:r>
        <w:r w:rsidRPr="00C5494E">
          <w:rPr>
            <w:noProof/>
            <w:webHidden/>
          </w:rPr>
        </w:r>
        <w:r w:rsidRPr="00C5494E">
          <w:rPr>
            <w:noProof/>
            <w:webHidden/>
          </w:rPr>
          <w:fldChar w:fldCharType="separate"/>
        </w:r>
        <w:r w:rsidR="00011BA4">
          <w:rPr>
            <w:noProof/>
            <w:webHidden/>
          </w:rPr>
          <w:t>35</w:t>
        </w:r>
        <w:r w:rsidRPr="00C5494E">
          <w:rPr>
            <w:noProof/>
            <w:webHidden/>
          </w:rPr>
          <w:fldChar w:fldCharType="end"/>
        </w:r>
      </w:hyperlink>
    </w:p>
    <w:p w:rsidR="00844684" w:rsidRPr="00C5494E" w:rsidRDefault="00D736C6">
      <w:pPr>
        <w:pStyle w:val="TOC2"/>
        <w:rPr>
          <w:rFonts w:eastAsiaTheme="minorEastAsia" w:cstheme="minorBidi"/>
          <w:i w:val="0"/>
          <w:noProof/>
          <w:szCs w:val="22"/>
          <w:lang w:eastAsia="zh-CN"/>
        </w:rPr>
      </w:pPr>
      <w:hyperlink w:anchor="_Toc273623631" w:history="1">
        <w:r w:rsidR="00844684" w:rsidRPr="00C5494E">
          <w:rPr>
            <w:rStyle w:val="Hyperlink"/>
            <w:noProof/>
          </w:rPr>
          <w:t>4.4</w:t>
        </w:r>
        <w:r w:rsidR="00C55197" w:rsidRPr="00C5494E">
          <w:rPr>
            <w:rStyle w:val="Hyperlink"/>
            <w:noProof/>
          </w:rPr>
          <w:tab/>
        </w:r>
        <w:r w:rsidR="00844684" w:rsidRPr="00C5494E">
          <w:rPr>
            <w:rFonts w:eastAsiaTheme="minorEastAsia" w:cstheme="minorBidi"/>
            <w:i w:val="0"/>
            <w:noProof/>
            <w:szCs w:val="22"/>
            <w:lang w:eastAsia="zh-CN"/>
          </w:rPr>
          <w:tab/>
        </w:r>
        <w:r w:rsidR="00844684" w:rsidRPr="00C5494E">
          <w:rPr>
            <w:rStyle w:val="Hyperlink"/>
            <w:noProof/>
          </w:rPr>
          <w:t>BROADBAND PRICES</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_Toc273623631 \h </w:instrText>
        </w:r>
        <w:r w:rsidRPr="00C5494E">
          <w:rPr>
            <w:noProof/>
            <w:webHidden/>
          </w:rPr>
        </w:r>
        <w:r w:rsidRPr="00C5494E">
          <w:rPr>
            <w:noProof/>
            <w:webHidden/>
          </w:rPr>
          <w:fldChar w:fldCharType="separate"/>
        </w:r>
        <w:r w:rsidR="00011BA4">
          <w:rPr>
            <w:noProof/>
            <w:webHidden/>
          </w:rPr>
          <w:t>38</w:t>
        </w:r>
        <w:r w:rsidRPr="00C5494E">
          <w:rPr>
            <w:noProof/>
            <w:webHidden/>
          </w:rPr>
          <w:fldChar w:fldCharType="end"/>
        </w:r>
      </w:hyperlink>
    </w:p>
    <w:p w:rsidR="00844684" w:rsidRPr="00C5494E" w:rsidRDefault="00D736C6">
      <w:pPr>
        <w:pStyle w:val="TOC2"/>
        <w:rPr>
          <w:rFonts w:eastAsiaTheme="minorEastAsia" w:cstheme="minorBidi"/>
          <w:i w:val="0"/>
          <w:noProof/>
          <w:szCs w:val="22"/>
          <w:lang w:eastAsia="zh-CN"/>
        </w:rPr>
      </w:pPr>
      <w:hyperlink w:anchor="_Toc273623634" w:history="1">
        <w:r w:rsidR="00844684" w:rsidRPr="00C5494E">
          <w:rPr>
            <w:rStyle w:val="Hyperlink"/>
            <w:noProof/>
          </w:rPr>
          <w:t>4.5</w:t>
        </w:r>
        <w:r w:rsidR="00844684" w:rsidRPr="00C5494E">
          <w:rPr>
            <w:rFonts w:eastAsiaTheme="minorEastAsia" w:cstheme="minorBidi"/>
            <w:i w:val="0"/>
            <w:noProof/>
            <w:szCs w:val="22"/>
            <w:lang w:eastAsia="zh-CN"/>
          </w:rPr>
          <w:tab/>
        </w:r>
        <w:r w:rsidR="00C55197" w:rsidRPr="00C5494E">
          <w:rPr>
            <w:rFonts w:eastAsiaTheme="minorEastAsia" w:cstheme="minorBidi"/>
            <w:i w:val="0"/>
            <w:noProof/>
            <w:szCs w:val="22"/>
            <w:lang w:eastAsia="zh-CN"/>
          </w:rPr>
          <w:tab/>
        </w:r>
        <w:r w:rsidR="00844684" w:rsidRPr="00C5494E">
          <w:rPr>
            <w:rStyle w:val="Hyperlink"/>
            <w:noProof/>
          </w:rPr>
          <w:t>NATIONAL BROADBAND PLAN AND FUNDING</w:t>
        </w:r>
        <w:r w:rsidR="00844684" w:rsidRPr="00C5494E">
          <w:rPr>
            <w:rStyle w:val="Hyperlink"/>
            <w:noProof/>
          </w:rPr>
          <w:tab/>
        </w:r>
        <w:r w:rsidR="00844684" w:rsidRPr="00C5494E">
          <w:rPr>
            <w:noProof/>
            <w:webHidden/>
          </w:rPr>
          <w:tab/>
        </w:r>
        <w:r w:rsidRPr="00C5494E">
          <w:rPr>
            <w:noProof/>
            <w:webHidden/>
          </w:rPr>
          <w:fldChar w:fldCharType="begin"/>
        </w:r>
        <w:r w:rsidR="00844684" w:rsidRPr="00C5494E">
          <w:rPr>
            <w:noProof/>
            <w:webHidden/>
          </w:rPr>
          <w:instrText xml:space="preserve"> PAGEREF _Toc273623634 \h </w:instrText>
        </w:r>
        <w:r w:rsidRPr="00C5494E">
          <w:rPr>
            <w:noProof/>
            <w:webHidden/>
          </w:rPr>
        </w:r>
        <w:r w:rsidRPr="00C5494E">
          <w:rPr>
            <w:noProof/>
            <w:webHidden/>
          </w:rPr>
          <w:fldChar w:fldCharType="separate"/>
        </w:r>
        <w:r w:rsidR="00011BA4">
          <w:rPr>
            <w:noProof/>
            <w:webHidden/>
          </w:rPr>
          <w:t>41</w:t>
        </w:r>
        <w:r w:rsidRPr="00C5494E">
          <w:rPr>
            <w:noProof/>
            <w:webHidden/>
          </w:rPr>
          <w:fldChar w:fldCharType="end"/>
        </w:r>
      </w:hyperlink>
    </w:p>
    <w:p w:rsidR="00844684" w:rsidRPr="00C5494E" w:rsidRDefault="00D736C6">
      <w:pPr>
        <w:pStyle w:val="TOC2"/>
        <w:rPr>
          <w:rFonts w:eastAsiaTheme="minorEastAsia" w:cstheme="minorBidi"/>
          <w:i w:val="0"/>
          <w:noProof/>
          <w:szCs w:val="22"/>
          <w:lang w:eastAsia="zh-CN"/>
        </w:rPr>
      </w:pPr>
      <w:hyperlink w:anchor="_Toc273623637" w:history="1">
        <w:r w:rsidR="00844684" w:rsidRPr="00C5494E">
          <w:rPr>
            <w:rStyle w:val="Hyperlink"/>
            <w:noProof/>
          </w:rPr>
          <w:t>4.6</w:t>
        </w:r>
        <w:r w:rsidR="00844684" w:rsidRPr="00C5494E">
          <w:rPr>
            <w:rFonts w:eastAsiaTheme="minorEastAsia" w:cstheme="minorBidi"/>
            <w:i w:val="0"/>
            <w:noProof/>
            <w:szCs w:val="22"/>
            <w:lang w:eastAsia="zh-CN"/>
          </w:rPr>
          <w:tab/>
        </w:r>
        <w:r w:rsidR="00C55197" w:rsidRPr="00C5494E">
          <w:rPr>
            <w:rFonts w:eastAsiaTheme="minorEastAsia" w:cstheme="minorBidi"/>
            <w:i w:val="0"/>
            <w:noProof/>
            <w:szCs w:val="22"/>
            <w:lang w:eastAsia="zh-CN"/>
          </w:rPr>
          <w:tab/>
        </w:r>
        <w:r w:rsidR="00844684" w:rsidRPr="00C5494E">
          <w:rPr>
            <w:rStyle w:val="Hyperlink"/>
            <w:noProof/>
          </w:rPr>
          <w:t>AUTHORIZATION/LICENSING</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_Toc273623637 \h </w:instrText>
        </w:r>
        <w:r w:rsidRPr="00C5494E">
          <w:rPr>
            <w:noProof/>
            <w:webHidden/>
          </w:rPr>
        </w:r>
        <w:r w:rsidRPr="00C5494E">
          <w:rPr>
            <w:noProof/>
            <w:webHidden/>
          </w:rPr>
          <w:fldChar w:fldCharType="separate"/>
        </w:r>
        <w:r w:rsidR="00011BA4">
          <w:rPr>
            <w:noProof/>
            <w:webHidden/>
          </w:rPr>
          <w:t>45</w:t>
        </w:r>
        <w:r w:rsidRPr="00C5494E">
          <w:rPr>
            <w:noProof/>
            <w:webHidden/>
          </w:rPr>
          <w:fldChar w:fldCharType="end"/>
        </w:r>
      </w:hyperlink>
    </w:p>
    <w:p w:rsidR="00844684" w:rsidRPr="00C5494E" w:rsidRDefault="00D736C6">
      <w:pPr>
        <w:pStyle w:val="TOC2"/>
        <w:rPr>
          <w:rFonts w:eastAsiaTheme="minorEastAsia" w:cstheme="minorBidi"/>
          <w:i w:val="0"/>
          <w:noProof/>
          <w:szCs w:val="22"/>
          <w:lang w:eastAsia="zh-CN"/>
        </w:rPr>
      </w:pPr>
      <w:hyperlink w:anchor="_Toc273623639" w:history="1">
        <w:r w:rsidR="00844684" w:rsidRPr="00C5494E">
          <w:rPr>
            <w:rStyle w:val="Hyperlink"/>
            <w:noProof/>
          </w:rPr>
          <w:t>4.7</w:t>
        </w:r>
        <w:r w:rsidR="00C55197" w:rsidRPr="00C5494E">
          <w:rPr>
            <w:rStyle w:val="Hyperlink"/>
            <w:noProof/>
          </w:rPr>
          <w:tab/>
        </w:r>
        <w:r w:rsidR="00844684" w:rsidRPr="00C5494E">
          <w:rPr>
            <w:rFonts w:eastAsiaTheme="minorEastAsia" w:cstheme="minorBidi"/>
            <w:i w:val="0"/>
            <w:noProof/>
            <w:szCs w:val="22"/>
            <w:lang w:eastAsia="zh-CN"/>
          </w:rPr>
          <w:tab/>
        </w:r>
        <w:r w:rsidR="00844684" w:rsidRPr="00C5494E">
          <w:rPr>
            <w:rStyle w:val="Hyperlink"/>
            <w:noProof/>
          </w:rPr>
          <w:t>COMPETITION</w:t>
        </w:r>
        <w:r w:rsidR="00844684" w:rsidRPr="00C5494E">
          <w:rPr>
            <w:rStyle w:val="Hyperlink"/>
            <w:noProof/>
          </w:rPr>
          <w:tab/>
        </w:r>
        <w:r w:rsidR="00844684" w:rsidRPr="00C5494E">
          <w:rPr>
            <w:noProof/>
            <w:webHidden/>
          </w:rPr>
          <w:tab/>
        </w:r>
        <w:r w:rsidRPr="00C5494E">
          <w:rPr>
            <w:noProof/>
            <w:webHidden/>
          </w:rPr>
          <w:fldChar w:fldCharType="begin"/>
        </w:r>
        <w:r w:rsidR="00844684" w:rsidRPr="00C5494E">
          <w:rPr>
            <w:noProof/>
            <w:webHidden/>
          </w:rPr>
          <w:instrText xml:space="preserve"> PAGEREF _Toc273623639 \h </w:instrText>
        </w:r>
        <w:r w:rsidRPr="00C5494E">
          <w:rPr>
            <w:noProof/>
            <w:webHidden/>
          </w:rPr>
        </w:r>
        <w:r w:rsidRPr="00C5494E">
          <w:rPr>
            <w:noProof/>
            <w:webHidden/>
          </w:rPr>
          <w:fldChar w:fldCharType="separate"/>
        </w:r>
        <w:r w:rsidR="00011BA4">
          <w:rPr>
            <w:noProof/>
            <w:webHidden/>
          </w:rPr>
          <w:t>49</w:t>
        </w:r>
        <w:r w:rsidRPr="00C5494E">
          <w:rPr>
            <w:noProof/>
            <w:webHidden/>
          </w:rPr>
          <w:fldChar w:fldCharType="end"/>
        </w:r>
      </w:hyperlink>
    </w:p>
    <w:p w:rsidR="00844684" w:rsidRPr="00C5494E" w:rsidRDefault="00D736C6">
      <w:pPr>
        <w:pStyle w:val="TOC1"/>
        <w:rPr>
          <w:rFonts w:eastAsiaTheme="minorEastAsia" w:cstheme="minorBidi"/>
          <w:noProof/>
          <w:color w:val="auto"/>
          <w:szCs w:val="22"/>
          <w:lang w:eastAsia="zh-CN"/>
        </w:rPr>
      </w:pPr>
      <w:hyperlink w:anchor="_Toc273623642" w:history="1">
        <w:r w:rsidR="00844684" w:rsidRPr="00C5494E">
          <w:rPr>
            <w:rStyle w:val="Hyperlink"/>
            <w:noProof/>
          </w:rPr>
          <w:t>5</w:t>
        </w:r>
        <w:r w:rsidR="00844684" w:rsidRPr="00C5494E">
          <w:rPr>
            <w:rFonts w:eastAsiaTheme="minorEastAsia" w:cstheme="minorBidi"/>
            <w:noProof/>
            <w:color w:val="auto"/>
            <w:szCs w:val="22"/>
            <w:lang w:eastAsia="zh-CN"/>
          </w:rPr>
          <w:tab/>
        </w:r>
        <w:r w:rsidR="00844684" w:rsidRPr="00C5494E">
          <w:rPr>
            <w:rStyle w:val="Hyperlink"/>
            <w:noProof/>
          </w:rPr>
          <w:t>RECOMMENDATIONS</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_Toc273623642 \h </w:instrText>
        </w:r>
        <w:r w:rsidRPr="00C5494E">
          <w:rPr>
            <w:noProof/>
            <w:webHidden/>
          </w:rPr>
        </w:r>
        <w:r w:rsidRPr="00C5494E">
          <w:rPr>
            <w:noProof/>
            <w:webHidden/>
          </w:rPr>
          <w:fldChar w:fldCharType="separate"/>
        </w:r>
        <w:r w:rsidR="00011BA4">
          <w:rPr>
            <w:noProof/>
            <w:webHidden/>
          </w:rPr>
          <w:t>54</w:t>
        </w:r>
        <w:r w:rsidRPr="00C5494E">
          <w:rPr>
            <w:noProof/>
            <w:webHidden/>
          </w:rPr>
          <w:fldChar w:fldCharType="end"/>
        </w:r>
      </w:hyperlink>
    </w:p>
    <w:p w:rsidR="00844684" w:rsidRPr="00C5494E" w:rsidRDefault="00D736C6">
      <w:pPr>
        <w:pStyle w:val="TOC1"/>
        <w:rPr>
          <w:rFonts w:eastAsiaTheme="minorEastAsia" w:cstheme="minorBidi"/>
          <w:noProof/>
          <w:color w:val="auto"/>
          <w:szCs w:val="22"/>
          <w:lang w:eastAsia="zh-CN"/>
        </w:rPr>
      </w:pPr>
      <w:hyperlink w:anchor="_Toc273623644" w:history="1">
        <w:r w:rsidR="00844684" w:rsidRPr="00C5494E">
          <w:rPr>
            <w:rStyle w:val="Hyperlink"/>
            <w:noProof/>
          </w:rPr>
          <w:t>6</w:t>
        </w:r>
        <w:r w:rsidR="00844684" w:rsidRPr="00C5494E">
          <w:rPr>
            <w:rFonts w:eastAsiaTheme="minorEastAsia" w:cstheme="minorBidi"/>
            <w:noProof/>
            <w:color w:val="auto"/>
            <w:szCs w:val="22"/>
            <w:lang w:eastAsia="zh-CN"/>
          </w:rPr>
          <w:tab/>
        </w:r>
        <w:r w:rsidR="00844684" w:rsidRPr="00C5494E">
          <w:rPr>
            <w:rStyle w:val="Hyperlink"/>
            <w:noProof/>
          </w:rPr>
          <w:t>REFERENCES</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_Toc273623644 \h </w:instrText>
        </w:r>
        <w:r w:rsidRPr="00C5494E">
          <w:rPr>
            <w:noProof/>
            <w:webHidden/>
          </w:rPr>
        </w:r>
        <w:r w:rsidRPr="00C5494E">
          <w:rPr>
            <w:noProof/>
            <w:webHidden/>
          </w:rPr>
          <w:fldChar w:fldCharType="separate"/>
        </w:r>
        <w:r w:rsidR="00011BA4">
          <w:rPr>
            <w:noProof/>
            <w:webHidden/>
          </w:rPr>
          <w:t>60</w:t>
        </w:r>
        <w:r w:rsidRPr="00C5494E">
          <w:rPr>
            <w:noProof/>
            <w:webHidden/>
          </w:rPr>
          <w:fldChar w:fldCharType="end"/>
        </w:r>
      </w:hyperlink>
    </w:p>
    <w:p w:rsidR="00844684" w:rsidRPr="00C5494E" w:rsidRDefault="00D736C6">
      <w:pPr>
        <w:pStyle w:val="TOC1"/>
        <w:rPr>
          <w:rFonts w:eastAsiaTheme="minorEastAsia" w:cstheme="minorBidi"/>
          <w:noProof/>
          <w:color w:val="auto"/>
          <w:szCs w:val="22"/>
          <w:lang w:eastAsia="zh-CN"/>
        </w:rPr>
      </w:pPr>
      <w:hyperlink w:anchor="_Toc273623645" w:history="1">
        <w:r w:rsidR="00844684" w:rsidRPr="00C5494E">
          <w:rPr>
            <w:rStyle w:val="Hyperlink"/>
            <w:noProof/>
          </w:rPr>
          <w:t>ANNEX 1: QUESTIONNAIRE ON BROADBAND STIMULUS</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_Toc273623645 \h </w:instrText>
        </w:r>
        <w:r w:rsidRPr="00C5494E">
          <w:rPr>
            <w:noProof/>
            <w:webHidden/>
          </w:rPr>
        </w:r>
        <w:r w:rsidRPr="00C5494E">
          <w:rPr>
            <w:noProof/>
            <w:webHidden/>
          </w:rPr>
          <w:fldChar w:fldCharType="separate"/>
        </w:r>
        <w:r w:rsidR="00011BA4">
          <w:rPr>
            <w:noProof/>
            <w:webHidden/>
          </w:rPr>
          <w:t>63</w:t>
        </w:r>
        <w:r w:rsidRPr="00C5494E">
          <w:rPr>
            <w:noProof/>
            <w:webHidden/>
          </w:rPr>
          <w:fldChar w:fldCharType="end"/>
        </w:r>
      </w:hyperlink>
    </w:p>
    <w:p w:rsidR="00844684" w:rsidRPr="00C5494E" w:rsidRDefault="00D736C6">
      <w:pPr>
        <w:pStyle w:val="TOC1"/>
        <w:rPr>
          <w:rFonts w:eastAsiaTheme="minorEastAsia" w:cstheme="minorBidi"/>
          <w:noProof/>
          <w:color w:val="auto"/>
          <w:szCs w:val="22"/>
          <w:lang w:eastAsia="zh-CN"/>
        </w:rPr>
      </w:pPr>
      <w:hyperlink w:anchor="_Toc273623646" w:history="1">
        <w:r w:rsidR="00844684" w:rsidRPr="00C5494E">
          <w:rPr>
            <w:rStyle w:val="Hyperlink"/>
            <w:noProof/>
          </w:rPr>
          <w:t>ANNEX 2: QUESTIONNAIRE ON INTERCONNECTION</w:t>
        </w:r>
        <w:r w:rsidR="00844684" w:rsidRPr="00C5494E">
          <w:rPr>
            <w:noProof/>
            <w:webHidden/>
          </w:rPr>
          <w:tab/>
        </w:r>
        <w:r w:rsidR="00844684" w:rsidRPr="00C5494E">
          <w:rPr>
            <w:noProof/>
            <w:webHidden/>
          </w:rPr>
          <w:tab/>
        </w:r>
        <w:r w:rsidRPr="00C5494E">
          <w:rPr>
            <w:noProof/>
            <w:webHidden/>
          </w:rPr>
          <w:fldChar w:fldCharType="begin"/>
        </w:r>
        <w:r w:rsidR="00844684" w:rsidRPr="00C5494E">
          <w:rPr>
            <w:noProof/>
            <w:webHidden/>
          </w:rPr>
          <w:instrText xml:space="preserve"> PAGEREF _Toc273623646 \h </w:instrText>
        </w:r>
        <w:r w:rsidRPr="00C5494E">
          <w:rPr>
            <w:noProof/>
            <w:webHidden/>
          </w:rPr>
        </w:r>
        <w:r w:rsidRPr="00C5494E">
          <w:rPr>
            <w:noProof/>
            <w:webHidden/>
          </w:rPr>
          <w:fldChar w:fldCharType="separate"/>
        </w:r>
        <w:r w:rsidR="00011BA4">
          <w:rPr>
            <w:noProof/>
            <w:webHidden/>
          </w:rPr>
          <w:t>74</w:t>
        </w:r>
        <w:r w:rsidRPr="00C5494E">
          <w:rPr>
            <w:noProof/>
            <w:webHidden/>
          </w:rPr>
          <w:fldChar w:fldCharType="end"/>
        </w:r>
      </w:hyperlink>
    </w:p>
    <w:p w:rsidR="008105C4" w:rsidRPr="00C5494E" w:rsidRDefault="00D736C6" w:rsidP="008105C4">
      <w:r w:rsidRPr="00C5494E">
        <w:fldChar w:fldCharType="end"/>
      </w:r>
    </w:p>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Pr>
        <w:sectPr w:rsidR="008105C4" w:rsidRPr="00C5494E" w:rsidSect="008105C4">
          <w:type w:val="oddPage"/>
          <w:pgSz w:w="11907" w:h="16834"/>
          <w:pgMar w:top="1134" w:right="1134" w:bottom="1134" w:left="1134" w:header="567" w:footer="567" w:gutter="0"/>
          <w:paperSrc w:first="15" w:other="15"/>
          <w:pgNumType w:fmt="lowerRoman"/>
          <w:cols w:space="720"/>
        </w:sectPr>
      </w:pPr>
    </w:p>
    <w:p w:rsidR="008105C4" w:rsidRPr="00C5494E" w:rsidRDefault="00A71DEE" w:rsidP="008105C4">
      <w:pPr>
        <w:pStyle w:val="Heading1"/>
      </w:pPr>
      <w:bookmarkStart w:id="11" w:name="_Toc273517392"/>
      <w:bookmarkStart w:id="12" w:name="_Toc273623610"/>
      <w:r w:rsidRPr="00C5494E">
        <w:lastRenderedPageBreak/>
        <w:t>1</w:t>
      </w:r>
      <w:r w:rsidRPr="00C5494E">
        <w:tab/>
      </w:r>
      <w:r w:rsidR="008105C4" w:rsidRPr="00C5494E">
        <w:t>EXECUTIVE SUMMARY</w:t>
      </w:r>
      <w:bookmarkEnd w:id="11"/>
      <w:bookmarkEnd w:id="12"/>
    </w:p>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8105C4" w:rsidRPr="00C5494E" w:rsidRDefault="008105C4" w:rsidP="008105C4"/>
    <w:p w:rsidR="005704BD" w:rsidRPr="00C5494E" w:rsidRDefault="005704BD" w:rsidP="00F009C1">
      <w:r w:rsidRPr="00C5494E">
        <w:t xml:space="preserve">In 2010, the Telecommunication Development Bureau (BDT) of the International Telecommunication Union (ITU) carried out an assessment of the broadband situation in five least developed countries in South Asia: Afghanistan, </w:t>
      </w:r>
      <w:smartTag w:uri="urn:schemas-microsoft-com:office:smarttags" w:element="country-region">
        <w:r w:rsidRPr="00C5494E">
          <w:t>Bangladesh</w:t>
        </w:r>
      </w:smartTag>
      <w:r w:rsidRPr="00C5494E">
        <w:t xml:space="preserve">, </w:t>
      </w:r>
      <w:smartTag w:uri="urn:schemas-microsoft-com:office:smarttags" w:element="country-region">
        <w:r w:rsidRPr="00C5494E">
          <w:t>Bhutan</w:t>
        </w:r>
      </w:smartTag>
      <w:r w:rsidRPr="00C5494E">
        <w:t>, Maldives and Nepal (</w:t>
      </w:r>
      <w:r w:rsidR="000F4A58" w:rsidRPr="00C5494E">
        <w:t xml:space="preserve">known collectively as </w:t>
      </w:r>
      <w:r w:rsidRPr="00C5494E">
        <w:t>ABBMN). The objective was to review the deployment status of broadband, identify areas of improvement and recommend ways of stimulating broadband access. This assessment was carried out as an input to the ITU Ministerial Forum held from 3 to 5 August 2010 in Maldives</w:t>
      </w:r>
      <w:r w:rsidR="000F4A58" w:rsidRPr="00C5494E">
        <w:t>,</w:t>
      </w:r>
      <w:r w:rsidRPr="00C5494E">
        <w:t xml:space="preserve"> which resulted in a Ministerial Declaration setting out, among other things, priority areas for stimulating broadband access in the five ABBMN countries. </w:t>
      </w:r>
    </w:p>
    <w:p w:rsidR="005704BD" w:rsidRPr="00C5494E" w:rsidRDefault="005704BD" w:rsidP="005704BD">
      <w:r w:rsidRPr="00C5494E">
        <w:t>The report examines the close link between economic development and broadband growth</w:t>
      </w:r>
      <w:r w:rsidR="000F4A58" w:rsidRPr="00C5494E">
        <w:t>,</w:t>
      </w:r>
      <w:r w:rsidRPr="00C5494E">
        <w:t xml:space="preserve"> which works in both directions. In ABBMN countries, </w:t>
      </w:r>
      <w:smartTag w:uri="urn:schemas-microsoft-com:office:smarttags" w:element="country-region">
        <w:r w:rsidRPr="00C5494E">
          <w:t>Afghanistan</w:t>
        </w:r>
      </w:smartTag>
      <w:r w:rsidRPr="00C5494E">
        <w:t xml:space="preserve">, </w:t>
      </w:r>
      <w:smartTag w:uri="urn:schemas-microsoft-com:office:smarttags" w:element="country-region">
        <w:r w:rsidRPr="00C5494E">
          <w:t>Bangladesh</w:t>
        </w:r>
      </w:smartTag>
      <w:r w:rsidRPr="00C5494E">
        <w:t xml:space="preserve"> and </w:t>
      </w:r>
      <w:smartTag w:uri="urn:schemas-microsoft-com:office:smarttags" w:element="country-region">
        <w:r w:rsidRPr="00C5494E">
          <w:t>Nepal</w:t>
        </w:r>
      </w:smartTag>
      <w:r w:rsidRPr="00C5494E">
        <w:t xml:space="preserve"> have significantly lower </w:t>
      </w:r>
      <w:r w:rsidR="000F4A58" w:rsidRPr="00C5494E">
        <w:t>Gross National Income (</w:t>
      </w:r>
      <w:r w:rsidRPr="00C5494E">
        <w:t>GNI</w:t>
      </w:r>
      <w:r w:rsidR="000F4A58" w:rsidRPr="00C5494E">
        <w:t>)</w:t>
      </w:r>
      <w:r w:rsidRPr="00C5494E">
        <w:t xml:space="preserve"> per capita</w:t>
      </w:r>
      <w:r w:rsidRPr="00C5494E">
        <w:rPr>
          <w:vertAlign w:val="superscript"/>
        </w:rPr>
        <w:footnoteReference w:id="2"/>
      </w:r>
      <w:r w:rsidRPr="00C5494E">
        <w:t xml:space="preserve"> compared to </w:t>
      </w:r>
      <w:smartTag w:uri="urn:schemas-microsoft-com:office:smarttags" w:element="country-region">
        <w:r w:rsidRPr="00C5494E">
          <w:t>Bhutan</w:t>
        </w:r>
      </w:smartTag>
      <w:r w:rsidRPr="00C5494E">
        <w:t xml:space="preserve"> and especially </w:t>
      </w:r>
      <w:smartTag w:uri="urn:schemas-microsoft-com:office:smarttags" w:element="country-region">
        <w:smartTag w:uri="urn:schemas-microsoft-com:office:smarttags" w:element="place">
          <w:r w:rsidRPr="00C5494E">
            <w:t>Maldives</w:t>
          </w:r>
        </w:smartTag>
      </w:smartTag>
      <w:r w:rsidRPr="00C5494E">
        <w:t xml:space="preserve">, which translates into lower broadband development. Moreover, the turbulent situation in </w:t>
      </w:r>
      <w:smartTag w:uri="urn:schemas-microsoft-com:office:smarttags" w:element="place">
        <w:smartTag w:uri="urn:schemas-microsoft-com:office:smarttags" w:element="country-region">
          <w:r w:rsidRPr="00C5494E">
            <w:t>Afghanistan</w:t>
          </w:r>
        </w:smartTag>
      </w:smartTag>
      <w:r w:rsidRPr="00C5494E">
        <w:t xml:space="preserve"> adversely affects human development in the country (i.e. not only economic development, but also education and life expectancy), which partially explains the reasons for substantially lower ICT development levels in the country. </w:t>
      </w:r>
    </w:p>
    <w:p w:rsidR="005704BD" w:rsidRPr="00C5494E" w:rsidRDefault="005704BD" w:rsidP="000F4A58">
      <w:r w:rsidRPr="00C5494E">
        <w:t xml:space="preserve">Geographic and demographic factors are also main determinants affecting broadband development. A combination of high population density and high percentage of urban population, and a small land mass with few geographical obstructions to broadband rollout, makes Maldives the ABBMN country with the most </w:t>
      </w:r>
      <w:r w:rsidR="00834B63" w:rsidRPr="00C5494E">
        <w:t>favourable</w:t>
      </w:r>
      <w:r w:rsidRPr="00C5494E">
        <w:t xml:space="preserve"> conditions for the deployment of new broadband networks. In contrast, </w:t>
      </w:r>
      <w:smartTag w:uri="urn:schemas-microsoft-com:office:smarttags" w:element="country-region">
        <w:r w:rsidRPr="00C5494E">
          <w:t>Afghanistan</w:t>
        </w:r>
      </w:smartTag>
      <w:r w:rsidRPr="00C5494E">
        <w:t xml:space="preserve"> and </w:t>
      </w:r>
      <w:smartTag w:uri="urn:schemas-microsoft-com:office:smarttags" w:element="place">
        <w:smartTag w:uri="urn:schemas-microsoft-com:office:smarttags" w:element="country-region">
          <w:r w:rsidRPr="00C5494E">
            <w:t>Nepal</w:t>
          </w:r>
        </w:smartTag>
      </w:smartTag>
      <w:r w:rsidRPr="00C5494E">
        <w:t xml:space="preserve"> have geographically unfavourable conditions, and they also have low percentages of urban population and low population density. These are some of the main factors </w:t>
      </w:r>
      <w:r w:rsidR="000F4A58" w:rsidRPr="00C5494E">
        <w:t xml:space="preserve">behind </w:t>
      </w:r>
      <w:r w:rsidRPr="00C5494E">
        <w:t>t</w:t>
      </w:r>
      <w:r w:rsidR="000F4A58" w:rsidRPr="00C5494E">
        <w:t>he</w:t>
      </w:r>
      <w:r w:rsidRPr="00C5494E">
        <w:t xml:space="preserve"> relatively low broadband penetration levels</w:t>
      </w:r>
      <w:r w:rsidR="000F4A58" w:rsidRPr="00C5494E">
        <w:t xml:space="preserve"> of most of the ABBMN countries which can be found</w:t>
      </w:r>
      <w:r w:rsidRPr="00C5494E">
        <w:t xml:space="preserve"> not only in the Asia</w:t>
      </w:r>
      <w:r w:rsidR="000F4A58" w:rsidRPr="00C5494E">
        <w:t>-</w:t>
      </w:r>
      <w:r w:rsidRPr="00C5494E">
        <w:t>Pacific region but also</w:t>
      </w:r>
      <w:r w:rsidR="000F4A58" w:rsidRPr="00C5494E">
        <w:t xml:space="preserve"> elsewhere in the world</w:t>
      </w:r>
      <w:r w:rsidRPr="00C5494E">
        <w:t>.</w:t>
      </w:r>
    </w:p>
    <w:p w:rsidR="008105C4" w:rsidRPr="00C5494E" w:rsidRDefault="005704BD" w:rsidP="000F4A58">
      <w:r w:rsidRPr="00C5494E">
        <w:t xml:space="preserve">This report analyses seven specific issues relating to National Regulatory Authorities </w:t>
      </w:r>
      <w:r w:rsidRPr="00C5494E">
        <w:rPr>
          <w:bCs/>
        </w:rPr>
        <w:t>(NRAs)</w:t>
      </w:r>
      <w:r w:rsidRPr="00C5494E">
        <w:t>: fixed network infrastructure, personal computer penetration, broadband prices, national broadband plan and funding, authorization/licensing and competition. It also provides generic as well as specific recommendations t</w:t>
      </w:r>
      <w:r w:rsidR="000F4A58" w:rsidRPr="00C5494E">
        <w:t>o</w:t>
      </w:r>
      <w:r w:rsidRPr="00C5494E">
        <w:t xml:space="preserve"> stimulat</w:t>
      </w:r>
      <w:r w:rsidR="000F4A58" w:rsidRPr="00C5494E">
        <w:t>e</w:t>
      </w:r>
      <w:r w:rsidRPr="00C5494E">
        <w:t xml:space="preserve"> broadband access in ABBMN countries.</w:t>
      </w:r>
    </w:p>
    <w:p w:rsidR="008105C4" w:rsidRPr="00C5494E" w:rsidRDefault="008105C4" w:rsidP="008105C4"/>
    <w:p w:rsidR="00C55197" w:rsidRPr="00C5494E" w:rsidRDefault="00C55197">
      <w:pPr>
        <w:tabs>
          <w:tab w:val="clear" w:pos="794"/>
          <w:tab w:val="clear" w:pos="1191"/>
          <w:tab w:val="clear" w:pos="1588"/>
          <w:tab w:val="clear" w:pos="1985"/>
        </w:tabs>
        <w:overflowPunct/>
        <w:autoSpaceDE/>
        <w:autoSpaceDN/>
        <w:adjustRightInd/>
        <w:spacing w:before="0"/>
        <w:jc w:val="left"/>
        <w:textAlignment w:val="auto"/>
      </w:pPr>
      <w:r w:rsidRPr="00C5494E">
        <w:br w:type="page"/>
      </w:r>
    </w:p>
    <w:p w:rsidR="008105C4" w:rsidRPr="00C5494E" w:rsidRDefault="008105C4" w:rsidP="008105C4">
      <w:r w:rsidRPr="00C5494E">
        <w:rPr>
          <w:b/>
          <w:bCs/>
          <w:noProof/>
          <w:color w:val="0000FF"/>
          <w:lang w:val="en-US" w:eastAsia="zh-CN"/>
        </w:rPr>
        <w:lastRenderedPageBreak/>
        <w:drawing>
          <wp:inline distT="0" distB="0" distL="0" distR="0">
            <wp:extent cx="6120765" cy="1148473"/>
            <wp:effectExtent l="19050" t="0" r="0" b="0"/>
            <wp:docPr id="7" name="Picture 7" descr="ITU-ABBMN 16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U-ABBMN 16x3"/>
                    <pic:cNvPicPr>
                      <a:picLocks noChangeAspect="1" noChangeArrowheads="1"/>
                    </pic:cNvPicPr>
                  </pic:nvPicPr>
                  <pic:blipFill>
                    <a:blip r:embed="rId15" cstate="print"/>
                    <a:srcRect/>
                    <a:stretch>
                      <a:fillRect/>
                    </a:stretch>
                  </pic:blipFill>
                  <pic:spPr bwMode="auto">
                    <a:xfrm>
                      <a:off x="0" y="0"/>
                      <a:ext cx="6120765" cy="1148473"/>
                    </a:xfrm>
                    <a:prstGeom prst="rect">
                      <a:avLst/>
                    </a:prstGeom>
                    <a:noFill/>
                    <a:ln w="9525">
                      <a:noFill/>
                      <a:miter lim="800000"/>
                      <a:headEnd/>
                      <a:tailEnd/>
                    </a:ln>
                  </pic:spPr>
                </pic:pic>
              </a:graphicData>
            </a:graphic>
          </wp:inline>
        </w:drawing>
      </w:r>
    </w:p>
    <w:p w:rsidR="008105C4" w:rsidRPr="00C5494E" w:rsidRDefault="008105C4" w:rsidP="008105C4">
      <w:pPr>
        <w:pStyle w:val="Heading1"/>
        <w:jc w:val="center"/>
        <w:rPr>
          <w:lang w:bidi="hi-IN"/>
        </w:rPr>
      </w:pPr>
      <w:bookmarkStart w:id="13" w:name="_Toc273623611"/>
      <w:r w:rsidRPr="00C5494E">
        <w:rPr>
          <w:lang w:bidi="hi-IN"/>
        </w:rPr>
        <w:t>MINISTERIAL DECLARATION</w:t>
      </w:r>
      <w:bookmarkEnd w:id="13"/>
    </w:p>
    <w:p w:rsidR="008105C4" w:rsidRPr="00C5494E" w:rsidRDefault="008105C4" w:rsidP="008105C4">
      <w:pPr>
        <w:rPr>
          <w:b/>
          <w:bCs/>
        </w:rPr>
      </w:pPr>
    </w:p>
    <w:p w:rsidR="008105C4" w:rsidRPr="00C5494E" w:rsidRDefault="008105C4" w:rsidP="008105C4">
      <w:pPr>
        <w:rPr>
          <w:b/>
          <w:bCs/>
        </w:rPr>
      </w:pPr>
    </w:p>
    <w:p w:rsidR="008105C4" w:rsidRPr="00C5494E" w:rsidRDefault="008105C4" w:rsidP="008105C4">
      <w:pPr>
        <w:rPr>
          <w:lang w:bidi="hi-IN"/>
        </w:rPr>
      </w:pPr>
      <w:r w:rsidRPr="00C5494E">
        <w:rPr>
          <w:b/>
          <w:bCs/>
        </w:rPr>
        <w:t>We,</w:t>
      </w:r>
      <w:r w:rsidRPr="00C5494E">
        <w:t xml:space="preserve"> the Ministers responsible for </w:t>
      </w:r>
      <w:r w:rsidRPr="00C5494E">
        <w:rPr>
          <w:lang w:bidi="hi-IN"/>
        </w:rPr>
        <w:t>Telecommunication</w:t>
      </w:r>
      <w:r w:rsidR="00A326B4" w:rsidRPr="00C5494E">
        <w:rPr>
          <w:lang w:bidi="hi-IN"/>
        </w:rPr>
        <w:t xml:space="preserve"> </w:t>
      </w:r>
      <w:r w:rsidRPr="00C5494E">
        <w:rPr>
          <w:lang w:bidi="hi-IN"/>
        </w:rPr>
        <w:t xml:space="preserve">in the ABBMN countries, have assembled in </w:t>
      </w:r>
      <w:proofErr w:type="spellStart"/>
      <w:r w:rsidRPr="00C5494E">
        <w:rPr>
          <w:lang w:bidi="hi-IN"/>
        </w:rPr>
        <w:t>Malé</w:t>
      </w:r>
      <w:proofErr w:type="spellEnd"/>
      <w:r w:rsidRPr="00C5494E">
        <w:rPr>
          <w:lang w:bidi="hi-IN"/>
        </w:rPr>
        <w:t>, Republic of Maldives, from the 3</w:t>
      </w:r>
      <w:r w:rsidRPr="00C5494E">
        <w:rPr>
          <w:vertAlign w:val="superscript"/>
          <w:lang w:bidi="hi-IN"/>
        </w:rPr>
        <w:t>rd</w:t>
      </w:r>
      <w:r w:rsidRPr="00C5494E">
        <w:rPr>
          <w:lang w:bidi="hi-IN"/>
        </w:rPr>
        <w:t xml:space="preserve"> to 5</w:t>
      </w:r>
      <w:r w:rsidRPr="00C5494E">
        <w:rPr>
          <w:vertAlign w:val="superscript"/>
          <w:lang w:bidi="hi-IN"/>
        </w:rPr>
        <w:t>th</w:t>
      </w:r>
      <w:r w:rsidRPr="00C5494E">
        <w:rPr>
          <w:lang w:bidi="hi-IN"/>
        </w:rPr>
        <w:t xml:space="preserve"> of August 2010, to discuss and declare our commitments towards </w:t>
      </w:r>
      <w:r w:rsidRPr="00C5494E">
        <w:rPr>
          <w:b/>
          <w:bCs/>
          <w:lang w:bidi="hi-IN"/>
        </w:rPr>
        <w:t>“Digital Inclusion: Connecting Responsibly”</w:t>
      </w:r>
      <w:r w:rsidRPr="00C5494E">
        <w:rPr>
          <w:lang w:bidi="hi-IN"/>
        </w:rPr>
        <w:t>.</w:t>
      </w:r>
    </w:p>
    <w:p w:rsidR="008105C4" w:rsidRPr="00C5494E" w:rsidRDefault="008105C4" w:rsidP="008105C4">
      <w:pPr>
        <w:rPr>
          <w:lang w:bidi="hi-IN"/>
        </w:rPr>
      </w:pPr>
      <w:r w:rsidRPr="00C5494E">
        <w:rPr>
          <w:b/>
          <w:bCs/>
          <w:lang w:bidi="hi-IN"/>
        </w:rPr>
        <w:t>We believe,</w:t>
      </w:r>
      <w:r w:rsidRPr="00C5494E">
        <w:rPr>
          <w:lang w:bidi="hi-IN"/>
        </w:rPr>
        <w:t xml:space="preserve"> Digital Inclusion will help to advance specific initiatives in ABBMN countries to meet the 2015 Millennium Development Goals and the targets of World Summit on the Information Society (WSIS), where the latter mentions about making available the benefits of new technologies, especially Information and Communication Technologies to all.</w:t>
      </w:r>
    </w:p>
    <w:p w:rsidR="008105C4" w:rsidRPr="00C5494E" w:rsidRDefault="008105C4" w:rsidP="008105C4">
      <w:r w:rsidRPr="00C5494E">
        <w:rPr>
          <w:b/>
          <w:bCs/>
          <w:lang w:bidi="hi-IN"/>
        </w:rPr>
        <w:t>We recognize,</w:t>
      </w:r>
      <w:r w:rsidRPr="00C5494E">
        <w:t xml:space="preserve"> the governments, certainly, have to play major roles in formulating and implementing relevant policies and regulations in a timely manner, and to act as primary facilitators to assure reasonable returns for the investments made by the ICT industry, and to encourage it to be proactive in their business expansions and practices. </w:t>
      </w:r>
    </w:p>
    <w:p w:rsidR="008105C4" w:rsidRPr="00C5494E" w:rsidRDefault="008105C4" w:rsidP="008105C4">
      <w:pPr>
        <w:rPr>
          <w:lang w:bidi="hi-IN"/>
        </w:rPr>
      </w:pPr>
      <w:r w:rsidRPr="00C5494E">
        <w:rPr>
          <w:b/>
          <w:bCs/>
          <w:lang w:bidi="hi-IN"/>
        </w:rPr>
        <w:t>We are determined,</w:t>
      </w:r>
      <w:r w:rsidRPr="00C5494E">
        <w:rPr>
          <w:lang w:bidi="hi-IN"/>
        </w:rPr>
        <w:t xml:space="preserve"> to work collaboratively to achieve the most effective and efficient use of our regional resources and to share our experiences and expertise in reaping the full benefits of Digital Inclusion in the region. This is expected to be achieved through various commitments initiatives and projects. </w:t>
      </w:r>
    </w:p>
    <w:p w:rsidR="008105C4" w:rsidRPr="00C5494E" w:rsidRDefault="008105C4" w:rsidP="008105C4">
      <w:pPr>
        <w:rPr>
          <w:lang w:bidi="hi-IN"/>
        </w:rPr>
      </w:pPr>
      <w:r w:rsidRPr="00C5494E">
        <w:rPr>
          <w:b/>
          <w:bCs/>
          <w:lang w:bidi="hi-IN"/>
        </w:rPr>
        <w:t>We resolve,</w:t>
      </w:r>
      <w:r w:rsidRPr="00C5494E">
        <w:rPr>
          <w:lang w:bidi="hi-IN"/>
        </w:rPr>
        <w:t xml:space="preserve"> to work collectively with all stakeholders within a reasonable period to review and to implement, as appropriate, the following objectives that are considered crucial for successful Digital Inclusion in ABBMN countries:</w:t>
      </w:r>
    </w:p>
    <w:p w:rsidR="008105C4" w:rsidRPr="00C5494E" w:rsidRDefault="008105C4" w:rsidP="008105C4">
      <w:pPr>
        <w:pStyle w:val="enumlev2"/>
        <w:rPr>
          <w:lang w:bidi="hi-IN"/>
        </w:rPr>
      </w:pPr>
      <w:r w:rsidRPr="00C5494E">
        <w:rPr>
          <w:lang w:bidi="hi-IN"/>
        </w:rPr>
        <w:t xml:space="preserve">A. </w:t>
      </w:r>
      <w:r w:rsidRPr="00C5494E">
        <w:rPr>
          <w:lang w:bidi="hi-IN"/>
        </w:rPr>
        <w:tab/>
        <w:t>Stimulate Broadband Access</w:t>
      </w:r>
    </w:p>
    <w:p w:rsidR="008105C4" w:rsidRPr="00C5494E" w:rsidRDefault="008105C4" w:rsidP="008105C4">
      <w:pPr>
        <w:pStyle w:val="enumlev2"/>
        <w:rPr>
          <w:lang w:bidi="hi-IN"/>
        </w:rPr>
      </w:pPr>
      <w:r w:rsidRPr="00C5494E">
        <w:rPr>
          <w:lang w:bidi="hi-IN"/>
        </w:rPr>
        <w:t xml:space="preserve">B. </w:t>
      </w:r>
      <w:r w:rsidRPr="00C5494E">
        <w:rPr>
          <w:lang w:bidi="hi-IN"/>
        </w:rPr>
        <w:tab/>
        <w:t>Ensure Cyber Security</w:t>
      </w:r>
    </w:p>
    <w:p w:rsidR="008105C4" w:rsidRPr="00C5494E" w:rsidRDefault="008105C4" w:rsidP="008105C4">
      <w:pPr>
        <w:pStyle w:val="enumlev2"/>
        <w:rPr>
          <w:lang w:bidi="hi-IN"/>
        </w:rPr>
      </w:pPr>
      <w:r w:rsidRPr="00C5494E">
        <w:rPr>
          <w:lang w:bidi="hi-IN"/>
        </w:rPr>
        <w:t xml:space="preserve">C. </w:t>
      </w:r>
      <w:r w:rsidRPr="00C5494E">
        <w:rPr>
          <w:lang w:bidi="hi-IN"/>
        </w:rPr>
        <w:tab/>
        <w:t>Minimize Climate Change and Build Emergency Communications Capacity</w:t>
      </w:r>
    </w:p>
    <w:p w:rsidR="008105C4" w:rsidRPr="00C5494E" w:rsidRDefault="008105C4" w:rsidP="008105C4">
      <w:pPr>
        <w:pStyle w:val="Heading2"/>
        <w:rPr>
          <w:lang w:bidi="hi-IN"/>
        </w:rPr>
      </w:pPr>
      <w:bookmarkStart w:id="14" w:name="_Toc273610076"/>
      <w:bookmarkStart w:id="15" w:name="_Toc273623612"/>
      <w:r w:rsidRPr="00C5494E">
        <w:rPr>
          <w:lang w:bidi="hi-IN"/>
        </w:rPr>
        <w:t xml:space="preserve">A. </w:t>
      </w:r>
      <w:r w:rsidRPr="00C5494E">
        <w:rPr>
          <w:lang w:bidi="hi-IN"/>
        </w:rPr>
        <w:tab/>
        <w:t>Stimulate Broadband Access</w:t>
      </w:r>
      <w:bookmarkEnd w:id="14"/>
      <w:bookmarkEnd w:id="15"/>
    </w:p>
    <w:p w:rsidR="008105C4" w:rsidRPr="00C5494E" w:rsidRDefault="008105C4" w:rsidP="008105C4">
      <w:pPr>
        <w:rPr>
          <w:lang w:bidi="hi-IN"/>
        </w:rPr>
      </w:pPr>
      <w:r w:rsidRPr="00C5494E">
        <w:rPr>
          <w:lang w:bidi="hi-IN"/>
        </w:rPr>
        <w:t>Wider access to broadband services is the pre-requisite for reaping the maximum benefit of Digital Inclusion. To stimulate broadband access, we will:</w:t>
      </w:r>
    </w:p>
    <w:p w:rsidR="008105C4" w:rsidRPr="00C5494E" w:rsidRDefault="008105C4" w:rsidP="008105C4">
      <w:pPr>
        <w:pStyle w:val="enumlev1"/>
        <w:rPr>
          <w:lang w:bidi="hi-IN"/>
        </w:rPr>
      </w:pPr>
      <w:r w:rsidRPr="00C5494E">
        <w:rPr>
          <w:color w:val="990033"/>
          <w:lang w:bidi="hi-IN"/>
        </w:rPr>
        <w:t>i.</w:t>
      </w:r>
      <w:r w:rsidRPr="00C5494E">
        <w:rPr>
          <w:lang w:bidi="hi-IN"/>
        </w:rPr>
        <w:tab/>
        <w:t>Establish National Broadband Policies and enabling regulatory environment to stimulate investment of infrastructures including the establishment of Internet Exchange especially in those countries where such exchanges are still absent.</w:t>
      </w:r>
    </w:p>
    <w:p w:rsidR="008105C4" w:rsidRPr="00C5494E" w:rsidRDefault="008105C4" w:rsidP="008105C4">
      <w:pPr>
        <w:pStyle w:val="enumlev1"/>
        <w:rPr>
          <w:lang w:bidi="hi-IN"/>
        </w:rPr>
      </w:pPr>
      <w:r w:rsidRPr="00C5494E">
        <w:rPr>
          <w:color w:val="990033"/>
          <w:lang w:bidi="hi-IN"/>
        </w:rPr>
        <w:t>ii.</w:t>
      </w:r>
      <w:r w:rsidRPr="00C5494E">
        <w:rPr>
          <w:lang w:bidi="hi-IN"/>
        </w:rPr>
        <w:tab/>
        <w:t>Establish or strengthen National Advanced ICT training capabilities in each ABBMN country to educate citizens on the benefits of broadband technologies and applications to develop appropriate skills to harness the full potential of broadband.</w:t>
      </w:r>
    </w:p>
    <w:p w:rsidR="008105C4" w:rsidRPr="00C5494E" w:rsidRDefault="008105C4" w:rsidP="008105C4">
      <w:pPr>
        <w:pStyle w:val="enumlev1"/>
        <w:rPr>
          <w:lang w:bidi="hi-IN"/>
        </w:rPr>
      </w:pPr>
      <w:r w:rsidRPr="00C5494E">
        <w:rPr>
          <w:color w:val="990033"/>
          <w:lang w:bidi="hi-IN"/>
        </w:rPr>
        <w:t>iii.</w:t>
      </w:r>
      <w:r w:rsidRPr="00C5494E">
        <w:rPr>
          <w:lang w:bidi="hi-IN"/>
        </w:rPr>
        <w:tab/>
        <w:t>Encourage service providers to expand broadband access using</w:t>
      </w:r>
      <w:r w:rsidR="00A326B4" w:rsidRPr="00C5494E">
        <w:rPr>
          <w:lang w:bidi="hi-IN"/>
        </w:rPr>
        <w:t xml:space="preserve"> </w:t>
      </w:r>
      <w:r w:rsidRPr="00C5494E">
        <w:rPr>
          <w:lang w:bidi="hi-IN"/>
        </w:rPr>
        <w:t>full potential of wireless broadband to deliver innovative solutions in</w:t>
      </w:r>
      <w:r w:rsidR="00A326B4" w:rsidRPr="00C5494E">
        <w:rPr>
          <w:lang w:bidi="hi-IN"/>
        </w:rPr>
        <w:t xml:space="preserve"> </w:t>
      </w:r>
      <w:r w:rsidRPr="00C5494E">
        <w:rPr>
          <w:lang w:bidi="hi-IN"/>
        </w:rPr>
        <w:t xml:space="preserve">rural and remote areas while encouraging establishment of Broadband Community </w:t>
      </w:r>
      <w:r w:rsidR="000F4A58" w:rsidRPr="00C5494E">
        <w:rPr>
          <w:lang w:bidi="hi-IN"/>
        </w:rPr>
        <w:t>Centre</w:t>
      </w:r>
      <w:r w:rsidRPr="00C5494E">
        <w:rPr>
          <w:lang w:bidi="hi-IN"/>
        </w:rPr>
        <w:t xml:space="preserve">s, capable of offering online applications including </w:t>
      </w:r>
      <w:r w:rsidRPr="00C5494E">
        <w:rPr>
          <w:lang w:bidi="hi-IN"/>
        </w:rPr>
        <w:lastRenderedPageBreak/>
        <w:t>e-Governance, e-Learning, e-Health, e-Publications using local contents with engagement of local communities.</w:t>
      </w:r>
    </w:p>
    <w:p w:rsidR="008105C4" w:rsidRPr="00C5494E" w:rsidRDefault="008105C4" w:rsidP="008105C4">
      <w:pPr>
        <w:pStyle w:val="enumlev1"/>
        <w:rPr>
          <w:lang w:bidi="hi-IN"/>
        </w:rPr>
      </w:pPr>
      <w:r w:rsidRPr="00C5494E">
        <w:rPr>
          <w:color w:val="990033"/>
          <w:lang w:bidi="hi-IN"/>
        </w:rPr>
        <w:t>iv.</w:t>
      </w:r>
      <w:r w:rsidRPr="00C5494E">
        <w:rPr>
          <w:lang w:bidi="hi-IN"/>
        </w:rPr>
        <w:tab/>
        <w:t xml:space="preserve">Facilitate to resolve the high bandwidth costs of international connectivity among the </w:t>
      </w:r>
      <w:proofErr w:type="spellStart"/>
      <w:r w:rsidRPr="00C5494E">
        <w:rPr>
          <w:lang w:bidi="hi-IN"/>
        </w:rPr>
        <w:t>neighboring</w:t>
      </w:r>
      <w:proofErr w:type="spellEnd"/>
      <w:r w:rsidRPr="00C5494E">
        <w:rPr>
          <w:lang w:bidi="hi-IN"/>
        </w:rPr>
        <w:t xml:space="preserve"> countries to enable affordable access and use of broadband services especially for the landlocked countries.</w:t>
      </w:r>
    </w:p>
    <w:p w:rsidR="008105C4" w:rsidRPr="00C5494E" w:rsidRDefault="008105C4" w:rsidP="008105C4">
      <w:pPr>
        <w:pStyle w:val="Heading2"/>
        <w:rPr>
          <w:lang w:bidi="hi-IN"/>
        </w:rPr>
      </w:pPr>
      <w:bookmarkStart w:id="16" w:name="_Toc273610077"/>
      <w:bookmarkStart w:id="17" w:name="_Toc273623613"/>
      <w:r w:rsidRPr="00C5494E">
        <w:rPr>
          <w:lang w:bidi="hi-IN"/>
        </w:rPr>
        <w:t xml:space="preserve">B. </w:t>
      </w:r>
      <w:r w:rsidRPr="00C5494E">
        <w:rPr>
          <w:lang w:bidi="hi-IN"/>
        </w:rPr>
        <w:tab/>
        <w:t xml:space="preserve">Ensure </w:t>
      </w:r>
      <w:proofErr w:type="spellStart"/>
      <w:r w:rsidRPr="00C5494E">
        <w:rPr>
          <w:lang w:bidi="hi-IN"/>
        </w:rPr>
        <w:t>Cybersecurity</w:t>
      </w:r>
      <w:bookmarkEnd w:id="16"/>
      <w:bookmarkEnd w:id="17"/>
      <w:proofErr w:type="spellEnd"/>
    </w:p>
    <w:p w:rsidR="008105C4" w:rsidRPr="00C5494E" w:rsidRDefault="008105C4" w:rsidP="008105C4">
      <w:pPr>
        <w:rPr>
          <w:lang w:bidi="hi-IN"/>
        </w:rPr>
      </w:pPr>
      <w:r w:rsidRPr="00C5494E">
        <w:rPr>
          <w:lang w:bidi="hi-IN"/>
        </w:rPr>
        <w:t>The success of Digital Inclusion requires prospective users of broadband who are confident that their information and identities are secured and protected. In order to realize this, we will:</w:t>
      </w:r>
    </w:p>
    <w:p w:rsidR="008105C4" w:rsidRPr="00C5494E" w:rsidRDefault="008105C4" w:rsidP="008105C4">
      <w:pPr>
        <w:pStyle w:val="enumlev1"/>
        <w:rPr>
          <w:lang w:bidi="hi-IN"/>
        </w:rPr>
      </w:pPr>
      <w:r w:rsidRPr="00C5494E">
        <w:rPr>
          <w:color w:val="990033"/>
          <w:lang w:bidi="hi-IN"/>
        </w:rPr>
        <w:t>i.</w:t>
      </w:r>
      <w:r w:rsidRPr="00C5494E">
        <w:rPr>
          <w:color w:val="990033"/>
          <w:lang w:bidi="hi-IN"/>
        </w:rPr>
        <w:tab/>
      </w:r>
      <w:r w:rsidRPr="00C5494E">
        <w:rPr>
          <w:lang w:bidi="hi-IN"/>
        </w:rPr>
        <w:t>Establish or strengthen, as appropriate, the National Cyber Security Strategy taking into account national critical information infrastructure in each of the ABBMN countries and a national CIRT, in cooperation with ITU, as a mechanism for coordinated exchange of information and faster response in case of incidences.</w:t>
      </w:r>
    </w:p>
    <w:p w:rsidR="008105C4" w:rsidRPr="00C5494E" w:rsidRDefault="008105C4" w:rsidP="008105C4">
      <w:pPr>
        <w:pStyle w:val="enumlev1"/>
        <w:rPr>
          <w:lang w:bidi="hi-IN"/>
        </w:rPr>
      </w:pPr>
      <w:r w:rsidRPr="00C5494E">
        <w:rPr>
          <w:color w:val="990033"/>
          <w:lang w:bidi="hi-IN"/>
        </w:rPr>
        <w:t>ii.</w:t>
      </w:r>
      <w:r w:rsidRPr="00C5494E">
        <w:rPr>
          <w:color w:val="990033"/>
          <w:lang w:bidi="hi-IN"/>
        </w:rPr>
        <w:tab/>
      </w:r>
      <w:r w:rsidRPr="00C5494E">
        <w:rPr>
          <w:lang w:bidi="hi-IN"/>
        </w:rPr>
        <w:t>Exchange knowledge and expertise among ABBMN countries to build necessary skills related to cyber security and establish and strengthen national and regional collaborative efforts in combating cybercrimes protecting intellectual property rights, digital identities, personal data and privacy of individuals online.</w:t>
      </w:r>
    </w:p>
    <w:p w:rsidR="008105C4" w:rsidRPr="00C5494E" w:rsidRDefault="008105C4" w:rsidP="008105C4">
      <w:pPr>
        <w:pStyle w:val="enumlev1"/>
        <w:rPr>
          <w:lang w:bidi="hi-IN"/>
        </w:rPr>
      </w:pPr>
      <w:r w:rsidRPr="00C5494E">
        <w:rPr>
          <w:color w:val="990033"/>
          <w:lang w:bidi="hi-IN"/>
        </w:rPr>
        <w:t>iii.</w:t>
      </w:r>
      <w:r w:rsidRPr="00C5494E">
        <w:rPr>
          <w:color w:val="990033"/>
          <w:lang w:bidi="hi-IN"/>
        </w:rPr>
        <w:tab/>
      </w:r>
      <w:r w:rsidRPr="00C5494E">
        <w:rPr>
          <w:lang w:bidi="hi-IN"/>
        </w:rPr>
        <w:t>Provide special measures for the protection of children in cyberspace, such that their education and creativity through the use of ICT, including access to the Internet, will not be discouraged or prevented.</w:t>
      </w:r>
    </w:p>
    <w:p w:rsidR="008105C4" w:rsidRPr="00C5494E" w:rsidRDefault="008105C4" w:rsidP="008105C4">
      <w:pPr>
        <w:pStyle w:val="Heading2"/>
        <w:rPr>
          <w:lang w:bidi="hi-IN"/>
        </w:rPr>
      </w:pPr>
      <w:bookmarkStart w:id="18" w:name="_Toc273610078"/>
      <w:bookmarkStart w:id="19" w:name="_Toc273623614"/>
      <w:r w:rsidRPr="00C5494E">
        <w:rPr>
          <w:lang w:bidi="hi-IN"/>
        </w:rPr>
        <w:t xml:space="preserve">C. </w:t>
      </w:r>
      <w:r w:rsidRPr="00C5494E">
        <w:rPr>
          <w:lang w:bidi="hi-IN"/>
        </w:rPr>
        <w:tab/>
        <w:t>Minimize Climate Change and Build Emergency Communications Capacity</w:t>
      </w:r>
      <w:bookmarkEnd w:id="18"/>
      <w:bookmarkEnd w:id="19"/>
    </w:p>
    <w:p w:rsidR="008105C4" w:rsidRPr="00C5494E" w:rsidRDefault="008105C4" w:rsidP="008105C4">
      <w:pPr>
        <w:rPr>
          <w:lang w:bidi="hi-IN"/>
        </w:rPr>
      </w:pPr>
      <w:r w:rsidRPr="00C5494E">
        <w:rPr>
          <w:lang w:bidi="hi-IN"/>
        </w:rPr>
        <w:t>The Digital Inclusion initiatives have to accord importance to building and strengthening emergency communications capacity and to promote and protect the fragile environment from the possible effects of Climate Change. In this regard, we will:</w:t>
      </w:r>
    </w:p>
    <w:p w:rsidR="008105C4" w:rsidRPr="00C5494E" w:rsidRDefault="008105C4" w:rsidP="008105C4">
      <w:pPr>
        <w:pStyle w:val="enumlev1"/>
        <w:rPr>
          <w:lang w:bidi="hi-IN"/>
        </w:rPr>
      </w:pPr>
      <w:r w:rsidRPr="00C5494E">
        <w:rPr>
          <w:color w:val="990033"/>
          <w:lang w:bidi="hi-IN"/>
        </w:rPr>
        <w:t>i.</w:t>
      </w:r>
      <w:r w:rsidRPr="00C5494E">
        <w:rPr>
          <w:color w:val="990033"/>
          <w:lang w:bidi="hi-IN"/>
        </w:rPr>
        <w:tab/>
      </w:r>
      <w:r w:rsidRPr="00C5494E">
        <w:rPr>
          <w:lang w:bidi="hi-IN"/>
        </w:rPr>
        <w:t>Establish a National Emergency Telecommunications Team in each of the ABBMN countries with an aim to intensify efforts to ratify the Tampere Convention and to develop National Emergency Telecommunications Plan (NETP) with necessary assistance from ITU and its partners.</w:t>
      </w:r>
    </w:p>
    <w:p w:rsidR="008105C4" w:rsidRPr="00C5494E" w:rsidRDefault="008105C4" w:rsidP="008105C4">
      <w:pPr>
        <w:pStyle w:val="enumlev1"/>
        <w:rPr>
          <w:lang w:bidi="hi-IN"/>
        </w:rPr>
      </w:pPr>
      <w:r w:rsidRPr="00C5494E">
        <w:rPr>
          <w:color w:val="990033"/>
          <w:lang w:bidi="hi-IN"/>
        </w:rPr>
        <w:t>ii.</w:t>
      </w:r>
      <w:r w:rsidRPr="00C5494E">
        <w:rPr>
          <w:color w:val="990033"/>
          <w:lang w:bidi="hi-IN"/>
        </w:rPr>
        <w:tab/>
      </w:r>
      <w:r w:rsidRPr="00C5494E">
        <w:rPr>
          <w:lang w:bidi="hi-IN"/>
        </w:rPr>
        <w:t>Make available all necessary resources for disaster preparedness and response including frequencies for use in emergency situations.</w:t>
      </w:r>
    </w:p>
    <w:p w:rsidR="008105C4" w:rsidRPr="00C5494E" w:rsidRDefault="008105C4" w:rsidP="008105C4">
      <w:pPr>
        <w:pStyle w:val="enumlev1"/>
        <w:rPr>
          <w:lang w:bidi="hi-IN"/>
        </w:rPr>
      </w:pPr>
      <w:r w:rsidRPr="00C5494E">
        <w:rPr>
          <w:color w:val="990033"/>
          <w:lang w:bidi="hi-IN"/>
        </w:rPr>
        <w:t>iii.</w:t>
      </w:r>
      <w:r w:rsidRPr="00C5494E">
        <w:rPr>
          <w:color w:val="990033"/>
          <w:lang w:bidi="hi-IN"/>
        </w:rPr>
        <w:tab/>
      </w:r>
      <w:r w:rsidRPr="00C5494E">
        <w:rPr>
          <w:lang w:bidi="hi-IN"/>
        </w:rPr>
        <w:t>Encourage ITU proposal and effort on establishing the Asia-Pacific Multi-partnerships Regional Platform for Disaster/Emergency Communications which aims at communications needs in all phases of disaster management and especially in emergency response for humanitarian assistance in general and rescue operations in particular.</w:t>
      </w:r>
    </w:p>
    <w:p w:rsidR="008105C4" w:rsidRPr="00C5494E" w:rsidRDefault="008105C4" w:rsidP="008105C4">
      <w:pPr>
        <w:pStyle w:val="enumlev1"/>
        <w:rPr>
          <w:lang w:bidi="hi-IN"/>
        </w:rPr>
      </w:pPr>
      <w:r w:rsidRPr="00C5494E">
        <w:rPr>
          <w:color w:val="990033"/>
          <w:lang w:bidi="hi-IN"/>
        </w:rPr>
        <w:t>iv.</w:t>
      </w:r>
      <w:r w:rsidRPr="00C5494E">
        <w:rPr>
          <w:color w:val="990033"/>
          <w:lang w:bidi="hi-IN"/>
        </w:rPr>
        <w:tab/>
      </w:r>
      <w:r w:rsidRPr="00C5494E">
        <w:rPr>
          <w:lang w:bidi="hi-IN"/>
        </w:rPr>
        <w:t xml:space="preserve">Encourage the governments and private sector to harness the full potential of the ICTs in tackling global challenges related to improving energy efficiency and Climate Change by promoting “Green” and environment friendly technologies. </w:t>
      </w:r>
    </w:p>
    <w:p w:rsidR="008105C4" w:rsidRPr="00C5494E" w:rsidRDefault="008105C4" w:rsidP="008105C4">
      <w:pPr>
        <w:rPr>
          <w:lang w:bidi="hi-IN"/>
        </w:rPr>
      </w:pPr>
      <w:r w:rsidRPr="00C5494E">
        <w:rPr>
          <w:b/>
          <w:bCs/>
          <w:lang w:bidi="hi-IN"/>
        </w:rPr>
        <w:t>We are convinced,</w:t>
      </w:r>
      <w:r w:rsidRPr="00C5494E">
        <w:t xml:space="preserve"> Digital Inclusion </w:t>
      </w:r>
      <w:r w:rsidRPr="00C5494E">
        <w:rPr>
          <w:lang w:bidi="hi-IN"/>
        </w:rPr>
        <w:t xml:space="preserve">will truly benefit people in socio-economic development by increasing opportunities to interact, learn, co-operate and collaborate in their professional, social and academic activities. </w:t>
      </w:r>
    </w:p>
    <w:p w:rsidR="008105C4" w:rsidRPr="00C5494E" w:rsidRDefault="008105C4" w:rsidP="008105C4">
      <w:r w:rsidRPr="00C5494E">
        <w:rPr>
          <w:b/>
          <w:bCs/>
          <w:lang w:bidi="hi-IN"/>
        </w:rPr>
        <w:t xml:space="preserve">We are confident, </w:t>
      </w:r>
      <w:r w:rsidRPr="00C5494E">
        <w:t xml:space="preserve">the above objectives can only be realized through the concerted efforts to be undertaken by ABBMN countries. This requires well-coordinated efforts through exchange of learning lessons, use of experts and resources as far as practically possible. </w:t>
      </w:r>
    </w:p>
    <w:p w:rsidR="008105C4" w:rsidRPr="00C5494E" w:rsidRDefault="008105C4" w:rsidP="008105C4">
      <w:r w:rsidRPr="00C5494E">
        <w:rPr>
          <w:b/>
          <w:bCs/>
          <w:lang w:bidi="hi-IN"/>
        </w:rPr>
        <w:t xml:space="preserve">We invite </w:t>
      </w:r>
      <w:r w:rsidRPr="00C5494E">
        <w:rPr>
          <w:lang w:bidi="hi-IN"/>
        </w:rPr>
        <w:t>regional</w:t>
      </w:r>
      <w:r w:rsidRPr="00C5494E">
        <w:t xml:space="preserve"> and international community, the donor organizations, other UN agencies and all others who are interested in playing proactive roles for mitigating effects of Digital Divide by contributing towards the efforts for Digital Inclusion.</w:t>
      </w:r>
    </w:p>
    <w:p w:rsidR="008105C4" w:rsidRPr="00C5494E" w:rsidRDefault="008105C4" w:rsidP="008105C4">
      <w:r w:rsidRPr="00C5494E">
        <w:rPr>
          <w:b/>
          <w:bCs/>
          <w:lang w:bidi="hi-IN"/>
        </w:rPr>
        <w:lastRenderedPageBreak/>
        <w:t>We task,</w:t>
      </w:r>
      <w:r w:rsidRPr="00C5494E">
        <w:t xml:space="preserve"> the ITU, BDT to pursue regional collaboration for the successful implementation of our initiatives towards realizing Digital Inclusion in the ABBMN countries. We will continue our dedicated efforts to provide necessary support and assistance to the ITU, BDT.</w:t>
      </w:r>
    </w:p>
    <w:p w:rsidR="008105C4" w:rsidRPr="00C5494E" w:rsidRDefault="008105C4" w:rsidP="008105C4">
      <w:pPr>
        <w:rPr>
          <w:lang w:bidi="hi-IN"/>
        </w:rPr>
      </w:pPr>
      <w:r w:rsidRPr="00C5494E">
        <w:rPr>
          <w:b/>
          <w:bCs/>
          <w:lang w:bidi="hi-IN"/>
        </w:rPr>
        <w:t>We acknowledge,</w:t>
      </w:r>
      <w:r w:rsidRPr="00C5494E">
        <w:t xml:space="preserve"> with sincere gratitude, the </w:t>
      </w:r>
      <w:r w:rsidRPr="00C5494E">
        <w:rPr>
          <w:lang w:bidi="hi-IN"/>
        </w:rPr>
        <w:t>initiatives and support</w:t>
      </w:r>
      <w:r w:rsidRPr="00C5494E">
        <w:t xml:space="preserve"> of the organizer of this Forum, </w:t>
      </w:r>
      <w:r w:rsidRPr="00C5494E">
        <w:rPr>
          <w:lang w:bidi="hi-IN"/>
        </w:rPr>
        <w:t xml:space="preserve">the International Telecommunication Union (ITU), and the kind hospitality of the host, the Government of the Republic of Maldives, and the interest and support of the Forum Secretariat and all partners. </w:t>
      </w:r>
    </w:p>
    <w:p w:rsidR="008105C4" w:rsidRPr="00C5494E" w:rsidRDefault="008105C4" w:rsidP="008105C4"/>
    <w:p w:rsidR="008105C4" w:rsidRPr="00C5494E" w:rsidRDefault="008105C4" w:rsidP="008105C4">
      <w:pPr>
        <w:sectPr w:rsidR="008105C4" w:rsidRPr="00C5494E" w:rsidSect="00C55197">
          <w:headerReference w:type="even" r:id="rId16"/>
          <w:footerReference w:type="even" r:id="rId17"/>
          <w:footerReference w:type="default" r:id="rId18"/>
          <w:type w:val="oddPage"/>
          <w:pgSz w:w="11907" w:h="16834"/>
          <w:pgMar w:top="1134" w:right="1134" w:bottom="1134" w:left="1134" w:header="567" w:footer="567" w:gutter="0"/>
          <w:paperSrc w:first="15" w:other="15"/>
          <w:pgNumType w:start="1"/>
          <w:cols w:space="720"/>
        </w:sectPr>
      </w:pPr>
    </w:p>
    <w:p w:rsidR="008105C4" w:rsidRPr="00C5494E" w:rsidRDefault="00A71DEE" w:rsidP="00A71DEE">
      <w:pPr>
        <w:pStyle w:val="Heading1"/>
      </w:pPr>
      <w:bookmarkStart w:id="20" w:name="_Toc273517393"/>
      <w:bookmarkStart w:id="21" w:name="_Toc273623615"/>
      <w:r w:rsidRPr="00C5494E">
        <w:lastRenderedPageBreak/>
        <w:t>2</w:t>
      </w:r>
      <w:r w:rsidR="008105C4" w:rsidRPr="00C5494E">
        <w:tab/>
        <w:t>METHODOLOGY</w:t>
      </w:r>
      <w:bookmarkEnd w:id="20"/>
      <w:bookmarkEnd w:id="21"/>
    </w:p>
    <w:p w:rsidR="008105C4" w:rsidRPr="00C5494E" w:rsidRDefault="005704BD" w:rsidP="000F4A58">
      <w:r w:rsidRPr="00C5494E">
        <w:t xml:space="preserve">Chapter 3 of this report was written after a revision of recent literature on international broadband developments from sources such as ITU, </w:t>
      </w:r>
      <w:r w:rsidR="000F4A58" w:rsidRPr="00C5494E">
        <w:t>the Organisation for Economic Co-operation and Development (</w:t>
      </w:r>
      <w:r w:rsidRPr="00C5494E">
        <w:t>OECD</w:t>
      </w:r>
      <w:r w:rsidR="000F4A58" w:rsidRPr="00C5494E">
        <w:t>)</w:t>
      </w:r>
      <w:r w:rsidRPr="00C5494E">
        <w:t xml:space="preserve">, </w:t>
      </w:r>
      <w:r w:rsidR="000F4A58" w:rsidRPr="00C5494E">
        <w:t>the United Nations Development Programme (</w:t>
      </w:r>
      <w:r w:rsidRPr="00C5494E">
        <w:t>UNDP</w:t>
      </w:r>
      <w:r w:rsidR="000F4A58" w:rsidRPr="00C5494E">
        <w:t>)</w:t>
      </w:r>
      <w:r w:rsidRPr="00C5494E">
        <w:t xml:space="preserve">, and the World Bank. It also includes information from diverse </w:t>
      </w:r>
      <w:r w:rsidR="00F009C1">
        <w:t>National Regulatory Authorities (</w:t>
      </w:r>
      <w:r w:rsidRPr="00C5494E">
        <w:rPr>
          <w:bCs/>
        </w:rPr>
        <w:t>NRAs</w:t>
      </w:r>
      <w:r w:rsidR="00F009C1">
        <w:rPr>
          <w:bCs/>
        </w:rPr>
        <w:t>)</w:t>
      </w:r>
      <w:r w:rsidRPr="00C5494E">
        <w:t xml:space="preserve">. Data used are sourced from ITU, the World Bank, UNDP and </w:t>
      </w:r>
      <w:r w:rsidR="000F4A58" w:rsidRPr="00C5494E">
        <w:t>the United Nations Statistics Division (</w:t>
      </w:r>
      <w:r w:rsidRPr="00C5494E">
        <w:t>UNSD</w:t>
      </w:r>
      <w:r w:rsidR="000F4A58" w:rsidRPr="00C5494E">
        <w:t>)</w:t>
      </w:r>
      <w:r w:rsidRPr="00C5494E">
        <w:t>.</w:t>
      </w:r>
    </w:p>
    <w:p w:rsidR="008105C4" w:rsidRPr="00C5494E" w:rsidRDefault="008105C4" w:rsidP="00F009C1">
      <w:r w:rsidRPr="00C5494E">
        <w:t xml:space="preserve">The assessment of the current situation of broadband development in ABBMN countries </w:t>
      </w:r>
      <w:r w:rsidR="000F4A58" w:rsidRPr="00C5494E">
        <w:t xml:space="preserve">was </w:t>
      </w:r>
      <w:r w:rsidRPr="00C5494E">
        <w:t xml:space="preserve">undertaken based on a questionnaire prepared </w:t>
      </w:r>
      <w:r w:rsidR="000F4A58" w:rsidRPr="00C5494E">
        <w:t xml:space="preserve">specifically </w:t>
      </w:r>
      <w:r w:rsidRPr="00C5494E">
        <w:t xml:space="preserve">for this study, in order to collect the necessary information required for Chapter 4. The questionnaire was designed in collaboration with </w:t>
      </w:r>
      <w:r w:rsidR="000F4A58" w:rsidRPr="00C5494E">
        <w:t xml:space="preserve">the </w:t>
      </w:r>
      <w:r w:rsidRPr="00C5494E">
        <w:t>ITU Regulatory and Market Environment Division (see Annex 1 for more details).</w:t>
      </w:r>
    </w:p>
    <w:p w:rsidR="008105C4" w:rsidRPr="00C5494E" w:rsidRDefault="008105C4" w:rsidP="000F4A58">
      <w:r w:rsidRPr="00C5494E">
        <w:t xml:space="preserve">The overall process </w:t>
      </w:r>
      <w:r w:rsidR="000F4A58" w:rsidRPr="00C5494E">
        <w:t>developed as follows</w:t>
      </w:r>
      <w:r w:rsidRPr="00C5494E">
        <w:t>:</w:t>
      </w:r>
    </w:p>
    <w:p w:rsidR="008105C4" w:rsidRPr="00C5494E" w:rsidRDefault="008105C4" w:rsidP="000F4A58">
      <w:pPr>
        <w:pStyle w:val="enumlev1"/>
      </w:pPr>
      <w:r w:rsidRPr="00C5494E">
        <w:rPr>
          <w:bCs/>
        </w:rPr>
        <w:t>1.</w:t>
      </w:r>
      <w:r w:rsidRPr="00C5494E">
        <w:rPr>
          <w:b/>
        </w:rPr>
        <w:tab/>
        <w:t>Design of the questionnaire:</w:t>
      </w:r>
      <w:r w:rsidRPr="00C5494E">
        <w:t xml:space="preserve"> </w:t>
      </w:r>
      <w:r w:rsidR="005704BD" w:rsidRPr="00C5494E">
        <w:rPr>
          <w:bCs/>
        </w:rPr>
        <w:t xml:space="preserve">taking as reference the </w:t>
      </w:r>
      <w:r w:rsidR="005704BD" w:rsidRPr="00C5494E">
        <w:rPr>
          <w:bCs/>
          <w:i/>
          <w:iCs/>
        </w:rPr>
        <w:t>ITU Telecommunication Regulatory Survey</w:t>
      </w:r>
      <w:r w:rsidR="005704BD" w:rsidRPr="00C5494E">
        <w:rPr>
          <w:bCs/>
        </w:rPr>
        <w:t>, the questionnaire was designed to cover the gaps in</w:t>
      </w:r>
      <w:r w:rsidR="000F4A58" w:rsidRPr="00C5494E">
        <w:rPr>
          <w:bCs/>
        </w:rPr>
        <w:t xml:space="preserve"> the</w:t>
      </w:r>
      <w:r w:rsidR="005704BD" w:rsidRPr="00C5494E">
        <w:rPr>
          <w:bCs/>
        </w:rPr>
        <w:t xml:space="preserve"> regulatory and statistical information regarding broadband development in ABBMN countries.</w:t>
      </w:r>
    </w:p>
    <w:p w:rsidR="008105C4" w:rsidRPr="00C5494E" w:rsidRDefault="008105C4" w:rsidP="008105C4">
      <w:pPr>
        <w:pStyle w:val="enumlev1"/>
      </w:pPr>
      <w:r w:rsidRPr="00C5494E">
        <w:rPr>
          <w:bCs/>
        </w:rPr>
        <w:t>2.</w:t>
      </w:r>
      <w:r w:rsidRPr="00C5494E">
        <w:rPr>
          <w:bCs/>
        </w:rPr>
        <w:tab/>
      </w:r>
      <w:r w:rsidRPr="00C5494E">
        <w:rPr>
          <w:b/>
        </w:rPr>
        <w:t xml:space="preserve">Sending the questionnaire </w:t>
      </w:r>
      <w:r w:rsidRPr="00C5494E">
        <w:t>to national experts designated by ITU as focal points.</w:t>
      </w:r>
    </w:p>
    <w:p w:rsidR="008105C4" w:rsidRPr="00C5494E" w:rsidRDefault="008105C4" w:rsidP="000F4A58">
      <w:pPr>
        <w:pStyle w:val="enumlev1"/>
      </w:pPr>
      <w:r w:rsidRPr="00C5494E">
        <w:rPr>
          <w:bCs/>
        </w:rPr>
        <w:t>3.</w:t>
      </w:r>
      <w:r w:rsidRPr="00C5494E">
        <w:rPr>
          <w:bCs/>
        </w:rPr>
        <w:tab/>
      </w:r>
      <w:r w:rsidRPr="00C5494E">
        <w:rPr>
          <w:b/>
        </w:rPr>
        <w:t>Coll</w:t>
      </w:r>
      <w:r w:rsidR="000F4A58" w:rsidRPr="00C5494E">
        <w:rPr>
          <w:b/>
        </w:rPr>
        <w:t>at</w:t>
      </w:r>
      <w:r w:rsidRPr="00C5494E">
        <w:rPr>
          <w:b/>
        </w:rPr>
        <w:t>ion of responses</w:t>
      </w:r>
      <w:r w:rsidRPr="00C5494E">
        <w:t xml:space="preserve">, as well as </w:t>
      </w:r>
      <w:r w:rsidR="000F4A58" w:rsidRPr="00C5494E">
        <w:t>any</w:t>
      </w:r>
      <w:r w:rsidRPr="00C5494E">
        <w:t xml:space="preserve"> additional information provided (e.g. recent acts, guidelines, deployment plans, etc.</w:t>
      </w:r>
      <w:r w:rsidR="000F4A58" w:rsidRPr="00C5494E">
        <w:t>,</w:t>
      </w:r>
      <w:r w:rsidRPr="00C5494E">
        <w:t xml:space="preserve"> related to the broadband issues covered in the questionnaire).</w:t>
      </w:r>
    </w:p>
    <w:p w:rsidR="008105C4" w:rsidRPr="00C5494E" w:rsidRDefault="008105C4" w:rsidP="00F009C1">
      <w:pPr>
        <w:pStyle w:val="enumlev1"/>
        <w:rPr>
          <w:b/>
        </w:rPr>
      </w:pPr>
      <w:r w:rsidRPr="00C5494E">
        <w:rPr>
          <w:bCs/>
        </w:rPr>
        <w:t>4.</w:t>
      </w:r>
      <w:r w:rsidRPr="00C5494E">
        <w:rPr>
          <w:bCs/>
        </w:rPr>
        <w:tab/>
      </w:r>
      <w:r w:rsidR="00527AA9" w:rsidRPr="00C5494E">
        <w:rPr>
          <w:b/>
        </w:rPr>
        <w:t>Analy</w:t>
      </w:r>
      <w:r w:rsidR="00F009C1">
        <w:rPr>
          <w:b/>
        </w:rPr>
        <w:t>s</w:t>
      </w:r>
      <w:r w:rsidR="00527AA9" w:rsidRPr="00C5494E">
        <w:rPr>
          <w:b/>
        </w:rPr>
        <w:t>is</w:t>
      </w:r>
      <w:r w:rsidRPr="00C5494E">
        <w:rPr>
          <w:b/>
        </w:rPr>
        <w:t xml:space="preserve"> of </w:t>
      </w:r>
      <w:r w:rsidR="000F4A58" w:rsidRPr="00C5494E">
        <w:rPr>
          <w:b/>
        </w:rPr>
        <w:t xml:space="preserve">the </w:t>
      </w:r>
      <w:r w:rsidRPr="00C5494E">
        <w:rPr>
          <w:b/>
        </w:rPr>
        <w:t>data provided</w:t>
      </w:r>
      <w:r w:rsidRPr="00C5494E">
        <w:t xml:space="preserve">, </w:t>
      </w:r>
      <w:r w:rsidR="000F4A58" w:rsidRPr="00C5494E">
        <w:t>including the identification of incomplete answers requiring</w:t>
      </w:r>
      <w:r w:rsidRPr="00C5494E">
        <w:t xml:space="preserve"> further information and/or clarification. Th</w:t>
      </w:r>
      <w:r w:rsidR="000F4A58" w:rsidRPr="00C5494E">
        <w:t>e latter was carried out through interaction</w:t>
      </w:r>
      <w:r w:rsidRPr="00C5494E">
        <w:t xml:space="preserve"> with focal points who</w:t>
      </w:r>
      <w:r w:rsidR="000F4A58" w:rsidRPr="00C5494E">
        <w:t>,</w:t>
      </w:r>
      <w:r w:rsidRPr="00C5494E">
        <w:t xml:space="preserve"> in those instances where it was necessary</w:t>
      </w:r>
      <w:r w:rsidR="000F4A58" w:rsidRPr="00C5494E">
        <w:t>,</w:t>
      </w:r>
      <w:r w:rsidRPr="00C5494E">
        <w:t xml:space="preserve"> acted as efficient liaison with the </w:t>
      </w:r>
      <w:r w:rsidR="000F4A58" w:rsidRPr="00C5494E">
        <w:t>relevant</w:t>
      </w:r>
      <w:r w:rsidRPr="00C5494E">
        <w:t xml:space="preserve"> national expert</w:t>
      </w:r>
      <w:r w:rsidR="000F4A58" w:rsidRPr="00C5494E">
        <w:t>(</w:t>
      </w:r>
      <w:r w:rsidRPr="00C5494E">
        <w:t>s</w:t>
      </w:r>
      <w:r w:rsidR="000F4A58" w:rsidRPr="00C5494E">
        <w:t>)</w:t>
      </w:r>
      <w:r w:rsidRPr="00C5494E">
        <w:t xml:space="preserve"> in </w:t>
      </w:r>
      <w:r w:rsidR="000F4A58" w:rsidRPr="00C5494E">
        <w:t xml:space="preserve">respect of </w:t>
      </w:r>
      <w:r w:rsidRPr="00C5494E">
        <w:t>each raised issue. Examples of this interaction include information about the application of a set of infrastructure</w:t>
      </w:r>
      <w:r w:rsidR="000F4A58" w:rsidRPr="00C5494E">
        <w:t>-</w:t>
      </w:r>
      <w:r w:rsidRPr="00C5494E">
        <w:t>sharing guidelines, details on the composition of an appellate tribunal, minutiae about the scope of a fund for rural development</w:t>
      </w:r>
      <w:r w:rsidR="000F4A58" w:rsidRPr="00C5494E">
        <w:t xml:space="preserve"> and</w:t>
      </w:r>
      <w:r w:rsidRPr="00C5494E">
        <w:t xml:space="preserve"> refined information about the competitive situation in a given broadband market, </w:t>
      </w:r>
      <w:r w:rsidR="000F4A58" w:rsidRPr="00C5494E">
        <w:t>among others</w:t>
      </w:r>
      <w:r w:rsidRPr="00C5494E">
        <w:t xml:space="preserve">. </w:t>
      </w:r>
    </w:p>
    <w:p w:rsidR="008105C4" w:rsidRPr="00C5494E" w:rsidRDefault="008105C4" w:rsidP="008105C4">
      <w:r w:rsidRPr="00C5494E">
        <w:t>Finally, a questionnaire on interconnection and related issues was sent to ABBMN countries in order to collect additional data. The responses to this questionnaire are enclosed in Annex 2.</w:t>
      </w:r>
    </w:p>
    <w:p w:rsidR="008105C4" w:rsidRPr="00C5494E" w:rsidRDefault="008105C4" w:rsidP="008105C4">
      <w:pPr>
        <w:rPr>
          <w:b/>
        </w:rPr>
      </w:pPr>
    </w:p>
    <w:p w:rsidR="008105C4" w:rsidRPr="00C5494E" w:rsidRDefault="008105C4" w:rsidP="00A71DEE">
      <w:pPr>
        <w:pStyle w:val="Heading1"/>
      </w:pPr>
      <w:r w:rsidRPr="00C5494E">
        <w:br w:type="page"/>
      </w:r>
      <w:bookmarkStart w:id="22" w:name="_Toc273517394"/>
      <w:bookmarkStart w:id="23" w:name="_Toc273623616"/>
      <w:r w:rsidR="00A71DEE" w:rsidRPr="00C5494E">
        <w:lastRenderedPageBreak/>
        <w:t>3</w:t>
      </w:r>
      <w:r w:rsidRPr="00C5494E">
        <w:tab/>
        <w:t>OVERVIEW</w:t>
      </w:r>
      <w:bookmarkEnd w:id="22"/>
      <w:bookmarkEnd w:id="23"/>
    </w:p>
    <w:p w:rsidR="008105C4" w:rsidRPr="00C5494E" w:rsidRDefault="00A71DEE" w:rsidP="00A71DEE">
      <w:pPr>
        <w:pStyle w:val="Heading2"/>
      </w:pPr>
      <w:bookmarkStart w:id="24" w:name="_Toc273517395"/>
      <w:bookmarkStart w:id="25" w:name="_Toc273623617"/>
      <w:r w:rsidRPr="00C5494E">
        <w:t>3</w:t>
      </w:r>
      <w:r w:rsidR="008105C4" w:rsidRPr="00C5494E">
        <w:t>.1</w:t>
      </w:r>
      <w:r w:rsidR="008105C4" w:rsidRPr="00C5494E">
        <w:tab/>
        <w:t>SOCIO-ECONOMIC, GEOGRAPHIC AND DEMOGRAPHIC PARAMETERS</w:t>
      </w:r>
      <w:bookmarkEnd w:id="24"/>
      <w:bookmarkEnd w:id="25"/>
      <w:r w:rsidR="008105C4" w:rsidRPr="00C5494E">
        <w:t xml:space="preserve"> </w:t>
      </w:r>
    </w:p>
    <w:p w:rsidR="008105C4" w:rsidRPr="00C5494E" w:rsidRDefault="005704BD" w:rsidP="00F009C1">
      <w:pPr>
        <w:rPr>
          <w:bCs/>
        </w:rPr>
      </w:pPr>
      <w:r w:rsidRPr="00C5494E">
        <w:rPr>
          <w:bCs/>
        </w:rPr>
        <w:t>ITU has highlighted that broadband-based applications have the greatest impact on people, society and businesses.</w:t>
      </w:r>
      <w:r w:rsidRPr="00C5494E">
        <w:rPr>
          <w:bCs/>
          <w:vertAlign w:val="superscript"/>
        </w:rPr>
        <w:footnoteReference w:id="3"/>
      </w:r>
      <w:r w:rsidRPr="00C5494E">
        <w:rPr>
          <w:bCs/>
        </w:rPr>
        <w:t xml:space="preserve"> Many of the most effective applications and services that can foster development are only available through high-speed always-on Internet connections. For instance, those related to e-commerce, e-</w:t>
      </w:r>
      <w:r w:rsidR="000F4A58" w:rsidRPr="00C5494E">
        <w:rPr>
          <w:bCs/>
        </w:rPr>
        <w:t>g</w:t>
      </w:r>
      <w:r w:rsidRPr="00C5494E">
        <w:rPr>
          <w:bCs/>
        </w:rPr>
        <w:t xml:space="preserve">overnment, social interactive sites, content-intensive sites, e-learning or e-health. As many studies have shown, </w:t>
      </w:r>
      <w:r w:rsidR="00F009C1">
        <w:rPr>
          <w:bCs/>
        </w:rPr>
        <w:t>deployment of broadband</w:t>
      </w:r>
      <w:r w:rsidRPr="00C5494E">
        <w:rPr>
          <w:bCs/>
        </w:rPr>
        <w:t xml:space="preserve"> has widespread </w:t>
      </w:r>
      <w:r w:rsidR="00F009C1">
        <w:rPr>
          <w:bCs/>
        </w:rPr>
        <w:t xml:space="preserve">positive </w:t>
      </w:r>
      <w:r w:rsidRPr="00C5494E">
        <w:rPr>
          <w:bCs/>
        </w:rPr>
        <w:t>implications, such as:</w:t>
      </w:r>
    </w:p>
    <w:p w:rsidR="008105C4" w:rsidRPr="00C5494E" w:rsidRDefault="008105C4" w:rsidP="000F4A58">
      <w:pPr>
        <w:pStyle w:val="enumlev1"/>
      </w:pPr>
      <w:r w:rsidRPr="00C5494E">
        <w:rPr>
          <w:color w:val="990033"/>
        </w:rPr>
        <w:t>•</w:t>
      </w:r>
      <w:r w:rsidRPr="00C5494E">
        <w:tab/>
      </w:r>
      <w:r w:rsidR="005704BD" w:rsidRPr="00C5494E">
        <w:rPr>
          <w:bCs/>
        </w:rPr>
        <w:t xml:space="preserve">In contrast to narrow-band users, broadband users spend significantly more time on-line (some studies point to </w:t>
      </w:r>
      <w:r w:rsidR="000F4A58" w:rsidRPr="00C5494E">
        <w:rPr>
          <w:bCs/>
        </w:rPr>
        <w:t xml:space="preserve">over </w:t>
      </w:r>
      <w:r w:rsidR="005704BD" w:rsidRPr="00C5494E">
        <w:rPr>
          <w:bCs/>
        </w:rPr>
        <w:t>50 time</w:t>
      </w:r>
      <w:r w:rsidR="000F4A58" w:rsidRPr="00C5494E">
        <w:rPr>
          <w:bCs/>
        </w:rPr>
        <w:t>s</w:t>
      </w:r>
      <w:r w:rsidR="005704BD" w:rsidRPr="00C5494E">
        <w:rPr>
          <w:bCs/>
        </w:rPr>
        <w:t>), visit more sites and access content-intensive sites more often.</w:t>
      </w:r>
      <w:r w:rsidR="005704BD" w:rsidRPr="00C5494E">
        <w:rPr>
          <w:bCs/>
          <w:vertAlign w:val="superscript"/>
        </w:rPr>
        <w:footnoteReference w:id="4"/>
      </w:r>
    </w:p>
    <w:p w:rsidR="008105C4" w:rsidRPr="00C5494E" w:rsidRDefault="008105C4" w:rsidP="000F4A58">
      <w:pPr>
        <w:pStyle w:val="enumlev1"/>
      </w:pPr>
      <w:r w:rsidRPr="00C5494E">
        <w:rPr>
          <w:color w:val="990033"/>
        </w:rPr>
        <w:t>•</w:t>
      </w:r>
      <w:r w:rsidRPr="00C5494E">
        <w:rPr>
          <w:color w:val="990033"/>
        </w:rPr>
        <w:tab/>
      </w:r>
      <w:r w:rsidR="005704BD" w:rsidRPr="00C5494E">
        <w:rPr>
          <w:bCs/>
        </w:rPr>
        <w:t xml:space="preserve">Evidence in developed countries shows that broadband can promote growth by cutting costs. From 1996 to 2001, enterprises implementing Internet Business Solutions (IBS) saved an estimated USD 155.2 billion in the United States, and </w:t>
      </w:r>
      <w:r w:rsidR="000F4A58" w:rsidRPr="00C5494E">
        <w:rPr>
          <w:bCs/>
        </w:rPr>
        <w:t>EUR</w:t>
      </w:r>
      <w:r w:rsidR="005704BD" w:rsidRPr="00C5494E">
        <w:rPr>
          <w:bCs/>
        </w:rPr>
        <w:t xml:space="preserve"> 9 billion in France, Germany and the United Kingdom. In the same period, US firms increased their revenues by an estimated USD 443.9 billion by implementing IBS, whilst British, German and French revenues increased by some </w:t>
      </w:r>
      <w:r w:rsidR="000F4A58" w:rsidRPr="00C5494E">
        <w:rPr>
          <w:bCs/>
        </w:rPr>
        <w:t>EUR</w:t>
      </w:r>
      <w:r w:rsidR="005704BD" w:rsidRPr="00C5494E">
        <w:rPr>
          <w:bCs/>
        </w:rPr>
        <w:t xml:space="preserve"> 86.4 billion.</w:t>
      </w:r>
      <w:r w:rsidR="005704BD" w:rsidRPr="00C5494E">
        <w:rPr>
          <w:bCs/>
          <w:vertAlign w:val="superscript"/>
        </w:rPr>
        <w:footnoteReference w:id="5"/>
      </w:r>
    </w:p>
    <w:p w:rsidR="008105C4" w:rsidRPr="00C5494E" w:rsidRDefault="008105C4" w:rsidP="000F4A58">
      <w:pPr>
        <w:pStyle w:val="enumlev1"/>
      </w:pPr>
      <w:r w:rsidRPr="00C5494E">
        <w:rPr>
          <w:color w:val="990033"/>
        </w:rPr>
        <w:t>•</w:t>
      </w:r>
      <w:r w:rsidRPr="00C5494E">
        <w:rPr>
          <w:color w:val="990033"/>
        </w:rPr>
        <w:tab/>
      </w:r>
      <w:r w:rsidR="005704BD" w:rsidRPr="00C5494E">
        <w:rPr>
          <w:bCs/>
        </w:rPr>
        <w:t xml:space="preserve">Broadband provides access to global markets, and enables global real-time competition both by allowing national firms to compete at an international level and by allowing outsourcing and localization of international firms (see for example the importance of broadband for the </w:t>
      </w:r>
      <w:r w:rsidR="00F009C1">
        <w:rPr>
          <w:bCs/>
        </w:rPr>
        <w:t xml:space="preserve">business process </w:t>
      </w:r>
      <w:r w:rsidR="005704BD" w:rsidRPr="00C5494E">
        <w:rPr>
          <w:bCs/>
        </w:rPr>
        <w:t xml:space="preserve">outsourcing </w:t>
      </w:r>
      <w:r w:rsidR="00F009C1">
        <w:rPr>
          <w:bCs/>
        </w:rPr>
        <w:t xml:space="preserve">(BPO) </w:t>
      </w:r>
      <w:r w:rsidR="005704BD" w:rsidRPr="00C5494E">
        <w:rPr>
          <w:bCs/>
        </w:rPr>
        <w:t xml:space="preserve">industry in </w:t>
      </w:r>
      <w:smartTag w:uri="urn:schemas-microsoft-com:office:smarttags" w:element="place">
        <w:smartTag w:uri="urn:schemas-microsoft-com:office:smarttags" w:element="country-region">
          <w:r w:rsidR="005704BD" w:rsidRPr="00C5494E">
            <w:rPr>
              <w:bCs/>
            </w:rPr>
            <w:t>India</w:t>
          </w:r>
        </w:smartTag>
      </w:smartTag>
      <w:r w:rsidR="005704BD" w:rsidRPr="00C5494E">
        <w:rPr>
          <w:bCs/>
        </w:rPr>
        <w:t>).</w:t>
      </w:r>
      <w:r w:rsidR="005704BD" w:rsidRPr="00C5494E">
        <w:rPr>
          <w:bCs/>
          <w:vertAlign w:val="superscript"/>
        </w:rPr>
        <w:footnoteReference w:id="6"/>
      </w:r>
    </w:p>
    <w:p w:rsidR="008105C4" w:rsidRPr="00C5494E" w:rsidRDefault="008105C4" w:rsidP="000F4A58">
      <w:pPr>
        <w:pStyle w:val="enumlev1"/>
      </w:pPr>
      <w:r w:rsidRPr="00C5494E">
        <w:rPr>
          <w:color w:val="990033"/>
        </w:rPr>
        <w:t>•</w:t>
      </w:r>
      <w:r w:rsidRPr="00C5494E">
        <w:rPr>
          <w:color w:val="990033"/>
        </w:rPr>
        <w:tab/>
      </w:r>
      <w:r w:rsidRPr="00C5494E">
        <w:t xml:space="preserve">In rural areas, broadband deployment reduces information asymmetry and enables the environment for a new range of economic opportunities for communities. This is also the case in developing countries, where several documented experiences have shown that access to broadband had a positive impact on rural incomes, such as the </w:t>
      </w:r>
      <w:r w:rsidR="000F4A58" w:rsidRPr="00C5494E">
        <w:t>e</w:t>
      </w:r>
      <w:r w:rsidRPr="00C5494E">
        <w:t>-</w:t>
      </w:r>
      <w:proofErr w:type="spellStart"/>
      <w:r w:rsidRPr="00C5494E">
        <w:t>Choupal</w:t>
      </w:r>
      <w:proofErr w:type="spellEnd"/>
      <w:r w:rsidRPr="00C5494E">
        <w:t xml:space="preserve"> Program in India.</w:t>
      </w:r>
      <w:r w:rsidRPr="00C5494E">
        <w:rPr>
          <w:vertAlign w:val="superscript"/>
        </w:rPr>
        <w:footnoteReference w:id="7"/>
      </w:r>
      <w:r w:rsidRPr="00C5494E">
        <w:t xml:space="preserve"> </w:t>
      </w:r>
    </w:p>
    <w:p w:rsidR="008105C4" w:rsidRPr="00C5494E" w:rsidRDefault="00A326B4" w:rsidP="005704BD">
      <w:pPr>
        <w:pStyle w:val="enumlev1"/>
        <w:rPr>
          <w:bCs/>
        </w:rPr>
      </w:pPr>
      <w:r w:rsidRPr="00C5494E">
        <w:rPr>
          <w:color w:val="990033"/>
        </w:rPr>
        <w:t>•</w:t>
      </w:r>
      <w:r w:rsidRPr="00C5494E">
        <w:rPr>
          <w:color w:val="990033"/>
        </w:rPr>
        <w:tab/>
      </w:r>
      <w:r w:rsidR="005704BD" w:rsidRPr="00C5494E">
        <w:rPr>
          <w:bCs/>
        </w:rPr>
        <w:t xml:space="preserve">More generally, broadband improves the performance of </w:t>
      </w:r>
      <w:r w:rsidR="000F4A58" w:rsidRPr="00C5494E">
        <w:rPr>
          <w:bCs/>
        </w:rPr>
        <w:t xml:space="preserve">information and communication technologies </w:t>
      </w:r>
      <w:r w:rsidR="005704BD" w:rsidRPr="00C5494E">
        <w:rPr>
          <w:bCs/>
        </w:rPr>
        <w:t>(ICTs), a general purpose technology</w:t>
      </w:r>
      <w:r w:rsidR="005704BD" w:rsidRPr="00C5494E">
        <w:rPr>
          <w:bCs/>
          <w:vertAlign w:val="superscript"/>
        </w:rPr>
        <w:footnoteReference w:id="8"/>
      </w:r>
      <w:r w:rsidR="005704BD" w:rsidRPr="00C5494E">
        <w:rPr>
          <w:bCs/>
        </w:rPr>
        <w:t xml:space="preserve"> that has an overall impact on the economy. Recent research (</w:t>
      </w:r>
      <w:proofErr w:type="spellStart"/>
      <w:r w:rsidR="005704BD" w:rsidRPr="00C5494E">
        <w:rPr>
          <w:bCs/>
        </w:rPr>
        <w:t>Qiang</w:t>
      </w:r>
      <w:proofErr w:type="spellEnd"/>
      <w:r w:rsidR="005704BD" w:rsidRPr="00C5494E">
        <w:rPr>
          <w:bCs/>
        </w:rPr>
        <w:t>, 2009)</w:t>
      </w:r>
      <w:r w:rsidR="005704BD" w:rsidRPr="00C5494E">
        <w:rPr>
          <w:bCs/>
          <w:vertAlign w:val="superscript"/>
        </w:rPr>
        <w:footnoteReference w:id="9"/>
      </w:r>
      <w:r w:rsidR="005704BD" w:rsidRPr="00C5494E">
        <w:rPr>
          <w:bCs/>
        </w:rPr>
        <w:t xml:space="preserve"> has found that a 10 </w:t>
      </w:r>
      <w:r w:rsidR="000F4A58" w:rsidRPr="00C5494E">
        <w:rPr>
          <w:bCs/>
        </w:rPr>
        <w:t>per cent</w:t>
      </w:r>
      <w:r w:rsidR="005704BD" w:rsidRPr="00C5494E">
        <w:rPr>
          <w:bCs/>
        </w:rPr>
        <w:t xml:space="preserve"> growth in broadband penetration in developing countries corresponds to a growth in GDP of 1.38 percentage points – more than in </w:t>
      </w:r>
      <w:r w:rsidR="005704BD" w:rsidRPr="00C5494E">
        <w:rPr>
          <w:bCs/>
        </w:rPr>
        <w:lastRenderedPageBreak/>
        <w:t>high-income countries (1.21 percentage points) and more than other telecommunications services (Internet, mobile telephony, fixed telephony).</w:t>
      </w:r>
      <w:r w:rsidR="000F4A58" w:rsidRPr="00C5494E">
        <w:rPr>
          <w:bCs/>
        </w:rPr>
        <w:t xml:space="preserve"> </w:t>
      </w:r>
      <w:r w:rsidR="005704BD" w:rsidRPr="00C5494E">
        <w:rPr>
          <w:bCs/>
        </w:rPr>
        <w:t>This result is in line with prior evidence from countries with broadband-intensive economies, such as Korea (Kelly, 2009).</w:t>
      </w:r>
      <w:r w:rsidR="005704BD" w:rsidRPr="00C5494E">
        <w:rPr>
          <w:bCs/>
          <w:vertAlign w:val="superscript"/>
        </w:rPr>
        <w:footnoteReference w:id="10"/>
      </w:r>
      <w:r w:rsidR="005704BD" w:rsidRPr="00C5494E">
        <w:rPr>
          <w:bCs/>
        </w:rPr>
        <w:t xml:space="preserve"> Similar studies carried out by Booz and Company (Booz Allen &amp; Co, 2009) point to a similar relation between broadband penetration and labo</w:t>
      </w:r>
      <w:r w:rsidR="000F4A58" w:rsidRPr="00C5494E">
        <w:rPr>
          <w:bCs/>
        </w:rPr>
        <w:t>u</w:t>
      </w:r>
      <w:r w:rsidR="005704BD" w:rsidRPr="00C5494E">
        <w:rPr>
          <w:bCs/>
        </w:rPr>
        <w:t>r productivity.</w:t>
      </w:r>
    </w:p>
    <w:p w:rsidR="00E05D72" w:rsidRPr="00C5494E" w:rsidRDefault="00E05D72" w:rsidP="008105C4"/>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A326B4" w:rsidRPr="00C5494E" w:rsidTr="00A326B4">
        <w:trPr>
          <w:jc w:val="center"/>
        </w:trPr>
        <w:tc>
          <w:tcPr>
            <w:tcW w:w="9424" w:type="dxa"/>
            <w:shd w:val="clear" w:color="auto" w:fill="D9D9D9" w:themeFill="background1" w:themeFillShade="D9"/>
          </w:tcPr>
          <w:p w:rsidR="00A326B4" w:rsidRPr="00C5494E" w:rsidRDefault="00A326B4" w:rsidP="00A326B4">
            <w:pPr>
              <w:pStyle w:val="BoxTitle"/>
            </w:pPr>
            <w:bookmarkStart w:id="26" w:name="_Toc273610082"/>
            <w:bookmarkStart w:id="27" w:name="_Toc273623618"/>
            <w:smartTag w:uri="urn:schemas-microsoft-com:office:smarttags" w:element="address">
              <w:smartTag w:uri="urn:schemas-microsoft-com:office:smarttags" w:element="Street">
                <w:r w:rsidRPr="00C5494E">
                  <w:t>Box</w:t>
                </w:r>
              </w:smartTag>
              <w:r w:rsidRPr="00C5494E">
                <w:t xml:space="preserve"> 3.1</w:t>
              </w:r>
            </w:smartTag>
            <w:r w:rsidRPr="00C5494E">
              <w:t>: Telemedicine in Nepal</w:t>
            </w:r>
            <w:bookmarkEnd w:id="26"/>
            <w:bookmarkEnd w:id="27"/>
          </w:p>
          <w:p w:rsidR="00A326B4" w:rsidRPr="00C5494E" w:rsidRDefault="005704BD" w:rsidP="000F4A58">
            <w:pPr>
              <w:pStyle w:val="BoxText"/>
            </w:pPr>
            <w:r w:rsidRPr="00C5494E">
              <w:rPr>
                <w:bCs/>
              </w:rPr>
              <w:t>Nepal is a mountainous country with about 24 million inhabitants. About 80</w:t>
            </w:r>
            <w:r w:rsidR="000F4A58" w:rsidRPr="00C5494E">
              <w:rPr>
                <w:bCs/>
              </w:rPr>
              <w:t> per cent</w:t>
            </w:r>
            <w:r w:rsidRPr="00C5494E">
              <w:rPr>
                <w:bCs/>
              </w:rPr>
              <w:t xml:space="preserve"> of the land area is mountainous, including the Himalayan range that has numerous mountain peaks higher than 7</w:t>
            </w:r>
            <w:r w:rsidR="000F4A58" w:rsidRPr="00C5494E">
              <w:rPr>
                <w:bCs/>
              </w:rPr>
              <w:t> </w:t>
            </w:r>
            <w:r w:rsidRPr="00C5494E">
              <w:rPr>
                <w:bCs/>
              </w:rPr>
              <w:t>000 m. Most of the inhabitants of Nepal live in mountain villages accessible only by foot. Since there are no roads and industries in the mountain villages, there are very few facilities that provide health services to the rural population.</w:t>
            </w:r>
            <w:r w:rsidR="00A326B4" w:rsidRPr="00C5494E">
              <w:t xml:space="preserve"> </w:t>
            </w:r>
          </w:p>
          <w:p w:rsidR="00A326B4" w:rsidRPr="00C5494E" w:rsidRDefault="005704BD" w:rsidP="000F4A58">
            <w:pPr>
              <w:pStyle w:val="BoxText"/>
            </w:pPr>
            <w:r w:rsidRPr="00C5494E">
              <w:rPr>
                <w:bCs/>
              </w:rPr>
              <w:t xml:space="preserve">e-Health Nepal is a an initiative undertaken by an </w:t>
            </w:r>
            <w:r w:rsidR="000F4A58" w:rsidRPr="00C5494E">
              <w:rPr>
                <w:bCs/>
              </w:rPr>
              <w:t>non-governmental organization (</w:t>
            </w:r>
            <w:r w:rsidRPr="00C5494E">
              <w:rPr>
                <w:bCs/>
              </w:rPr>
              <w:t>NGO</w:t>
            </w:r>
            <w:r w:rsidR="000F4A58" w:rsidRPr="00C5494E">
              <w:rPr>
                <w:bCs/>
              </w:rPr>
              <w:t>)</w:t>
            </w:r>
            <w:r w:rsidRPr="00C5494E">
              <w:rPr>
                <w:bCs/>
              </w:rPr>
              <w:t xml:space="preserve"> supported by ITU to assist in setting up clinics in rural villages and connecting them to the main hospitals in the region, initially setting up telemedicine centres in 12 villages and </w:t>
            </w:r>
            <w:r w:rsidR="000F4A58" w:rsidRPr="00C5494E">
              <w:rPr>
                <w:bCs/>
              </w:rPr>
              <w:t>three</w:t>
            </w:r>
            <w:r w:rsidRPr="00C5494E">
              <w:rPr>
                <w:bCs/>
              </w:rPr>
              <w:t xml:space="preserve"> supporting hospitals. The goal is to connect as many rural villages as possible to the hospitals in main cities and to provide health services electronically.</w:t>
            </w:r>
            <w:r w:rsidR="00A326B4" w:rsidRPr="00C5494E">
              <w:t xml:space="preserve"> </w:t>
            </w:r>
          </w:p>
          <w:p w:rsidR="00A326B4" w:rsidRPr="00C5494E" w:rsidRDefault="00A326B4" w:rsidP="00A326B4">
            <w:pPr>
              <w:pStyle w:val="BoxText"/>
              <w:jc w:val="center"/>
              <w:rPr>
                <w:bCs/>
              </w:rPr>
            </w:pPr>
            <w:r w:rsidRPr="00C5494E">
              <w:rPr>
                <w:noProof/>
                <w:lang w:val="en-US" w:eastAsia="zh-CN"/>
              </w:rPr>
              <w:drawing>
                <wp:inline distT="0" distB="0" distL="0" distR="0">
                  <wp:extent cx="2076450" cy="193357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076450" cy="1933575"/>
                          </a:xfrm>
                          <a:prstGeom prst="rect">
                            <a:avLst/>
                          </a:prstGeom>
                          <a:noFill/>
                          <a:ln w="9525">
                            <a:noFill/>
                            <a:miter lim="800000"/>
                            <a:headEnd/>
                            <a:tailEnd/>
                          </a:ln>
                        </pic:spPr>
                      </pic:pic>
                    </a:graphicData>
                  </a:graphic>
                </wp:inline>
              </w:drawing>
            </w:r>
            <w:r w:rsidRPr="00C5494E">
              <w:rPr>
                <w:bCs/>
              </w:rPr>
              <w:tab/>
            </w:r>
            <w:r w:rsidRPr="00C5494E">
              <w:rPr>
                <w:bCs/>
              </w:rPr>
              <w:tab/>
            </w:r>
            <w:r w:rsidRPr="00C5494E">
              <w:rPr>
                <w:noProof/>
                <w:lang w:val="en-US" w:eastAsia="zh-CN"/>
              </w:rPr>
              <w:drawing>
                <wp:inline distT="0" distB="0" distL="0" distR="0">
                  <wp:extent cx="2513160" cy="1933200"/>
                  <wp:effectExtent l="19050" t="0" r="144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r="1343"/>
                          <a:stretch>
                            <a:fillRect/>
                          </a:stretch>
                        </pic:blipFill>
                        <pic:spPr bwMode="auto">
                          <a:xfrm>
                            <a:off x="0" y="0"/>
                            <a:ext cx="2513160" cy="1933200"/>
                          </a:xfrm>
                          <a:prstGeom prst="rect">
                            <a:avLst/>
                          </a:prstGeom>
                          <a:noFill/>
                          <a:ln w="9525">
                            <a:noFill/>
                            <a:miter lim="800000"/>
                            <a:headEnd/>
                            <a:tailEnd/>
                          </a:ln>
                        </pic:spPr>
                      </pic:pic>
                    </a:graphicData>
                  </a:graphic>
                </wp:inline>
              </w:drawing>
            </w:r>
          </w:p>
          <w:p w:rsidR="00A326B4" w:rsidRPr="00C5494E" w:rsidRDefault="005704BD" w:rsidP="000F4A58">
            <w:pPr>
              <w:pStyle w:val="BoxText"/>
            </w:pPr>
            <w:r w:rsidRPr="00C5494E">
              <w:rPr>
                <w:bCs/>
              </w:rPr>
              <w:t xml:space="preserve">The pilot project for rural telemedicine when completed will connect </w:t>
            </w:r>
            <w:proofErr w:type="spellStart"/>
            <w:r w:rsidRPr="00C5494E">
              <w:rPr>
                <w:bCs/>
              </w:rPr>
              <w:t>Pokra</w:t>
            </w:r>
            <w:proofErr w:type="spellEnd"/>
            <w:r w:rsidRPr="00C5494E">
              <w:rPr>
                <w:bCs/>
              </w:rPr>
              <w:t xml:space="preserve">, Kathmandu Model Hospital, </w:t>
            </w:r>
            <w:proofErr w:type="spellStart"/>
            <w:r w:rsidRPr="00C5494E">
              <w:rPr>
                <w:bCs/>
              </w:rPr>
              <w:t>Dolkha</w:t>
            </w:r>
            <w:proofErr w:type="spellEnd"/>
            <w:r w:rsidRPr="00C5494E">
              <w:rPr>
                <w:bCs/>
              </w:rPr>
              <w:t xml:space="preserve"> and </w:t>
            </w:r>
            <w:proofErr w:type="spellStart"/>
            <w:r w:rsidRPr="00C5494E">
              <w:rPr>
                <w:bCs/>
              </w:rPr>
              <w:t>Hetaunda</w:t>
            </w:r>
            <w:proofErr w:type="spellEnd"/>
            <w:r w:rsidRPr="00C5494E">
              <w:rPr>
                <w:bCs/>
              </w:rPr>
              <w:t xml:space="preserve"> to demonstrate the benefits to villagers and in turn the whole country. Microwave links in ISM 5.8</w:t>
            </w:r>
            <w:r w:rsidR="000F4A58" w:rsidRPr="00C5494E">
              <w:rPr>
                <w:bCs/>
              </w:rPr>
              <w:t> </w:t>
            </w:r>
            <w:r w:rsidRPr="00C5494E">
              <w:rPr>
                <w:bCs/>
              </w:rPr>
              <w:t>GHz have already been established to connect the four sites. ITU provided high</w:t>
            </w:r>
            <w:r w:rsidR="000F4A58" w:rsidRPr="00C5494E">
              <w:rPr>
                <w:bCs/>
              </w:rPr>
              <w:t>-</w:t>
            </w:r>
            <w:r w:rsidRPr="00C5494E">
              <w:rPr>
                <w:bCs/>
              </w:rPr>
              <w:t>quality video conferencing equipment and connectivity solutions to support the e-Health Nepal project</w:t>
            </w:r>
            <w:r w:rsidR="000F4A58" w:rsidRPr="00C5494E">
              <w:rPr>
                <w:bCs/>
              </w:rPr>
              <w:t>,</w:t>
            </w:r>
            <w:r w:rsidRPr="00C5494E">
              <w:rPr>
                <w:bCs/>
              </w:rPr>
              <w:t xml:space="preserve"> so that remote online examination of patients can be carried out by a specialist doctor in Kathmandu. A live demonstration of video conferencing was shown in Kathmandu Model Hospital</w:t>
            </w:r>
            <w:r w:rsidR="000F4A58" w:rsidRPr="00C5494E">
              <w:rPr>
                <w:bCs/>
              </w:rPr>
              <w:t>,</w:t>
            </w:r>
            <w:r w:rsidRPr="00C5494E">
              <w:rPr>
                <w:bCs/>
              </w:rPr>
              <w:t xml:space="preserve"> where the doctors from </w:t>
            </w:r>
            <w:proofErr w:type="spellStart"/>
            <w:r w:rsidRPr="00C5494E">
              <w:rPr>
                <w:bCs/>
              </w:rPr>
              <w:t>Dolkha</w:t>
            </w:r>
            <w:proofErr w:type="spellEnd"/>
            <w:r w:rsidRPr="00C5494E">
              <w:rPr>
                <w:bCs/>
              </w:rPr>
              <w:t xml:space="preserve"> hospital discussed the case of a patient with the experts in Kathmandu Model Hospital.</w:t>
            </w:r>
          </w:p>
          <w:p w:rsidR="00A326B4" w:rsidRPr="00C5494E" w:rsidRDefault="00F009C1" w:rsidP="00F009C1">
            <w:pPr>
              <w:pStyle w:val="BoxText"/>
            </w:pPr>
            <w:r w:rsidRPr="00F009C1">
              <w:rPr>
                <w:i/>
                <w:iCs/>
                <w:lang w:val="en-US"/>
              </w:rPr>
              <w:t>Source</w:t>
            </w:r>
            <w:r w:rsidRPr="00F009C1">
              <w:rPr>
                <w:lang w:val="en-US"/>
              </w:rPr>
              <w:t>: ITU Regional Office for Asia and the Pacific.</w:t>
            </w:r>
          </w:p>
        </w:tc>
      </w:tr>
    </w:tbl>
    <w:p w:rsidR="00E05D72" w:rsidRPr="00C5494E" w:rsidRDefault="00E05D72" w:rsidP="005C4BB4">
      <w:pPr>
        <w:spacing w:before="0"/>
      </w:pPr>
    </w:p>
    <w:p w:rsidR="00A326B4" w:rsidRPr="00C5494E" w:rsidRDefault="005704BD" w:rsidP="000F4A58">
      <w:r w:rsidRPr="00C5494E">
        <w:rPr>
          <w:bCs/>
        </w:rPr>
        <w:t xml:space="preserve">All these findings highlight the importance of broadband for </w:t>
      </w:r>
      <w:r w:rsidR="00E82816">
        <w:rPr>
          <w:bCs/>
        </w:rPr>
        <w:t xml:space="preserve">socio-economic </w:t>
      </w:r>
      <w:r w:rsidRPr="00C5494E">
        <w:rPr>
          <w:bCs/>
        </w:rPr>
        <w:t xml:space="preserve">development and the strong link between broadband and economic growth. However, the causality between broadband and wealth can also </w:t>
      </w:r>
      <w:r w:rsidR="000F4A58" w:rsidRPr="00C5494E">
        <w:rPr>
          <w:bCs/>
        </w:rPr>
        <w:t xml:space="preserve">be </w:t>
      </w:r>
      <w:r w:rsidRPr="00C5494E">
        <w:rPr>
          <w:bCs/>
        </w:rPr>
        <w:t>seen from a reverse perspective, that is, rising wealth can spur broadband penetration, both by promoting network deployment and by making it more affordable, due to the increase in income.</w:t>
      </w:r>
    </w:p>
    <w:p w:rsidR="00A326B4" w:rsidRPr="00C5494E" w:rsidRDefault="005704BD" w:rsidP="000F4A58">
      <w:r w:rsidRPr="00C5494E">
        <w:rPr>
          <w:bCs/>
        </w:rPr>
        <w:lastRenderedPageBreak/>
        <w:t>Although economic factors are not always the main determinant,</w:t>
      </w:r>
      <w:r w:rsidRPr="00C5494E">
        <w:rPr>
          <w:bCs/>
          <w:vertAlign w:val="superscript"/>
        </w:rPr>
        <w:footnoteReference w:id="11"/>
      </w:r>
      <w:r w:rsidRPr="00C5494E">
        <w:rPr>
          <w:bCs/>
        </w:rPr>
        <w:t xml:space="preserve"> it can be assumed that there is a strong two</w:t>
      </w:r>
      <w:r w:rsidR="000F4A58" w:rsidRPr="00C5494E">
        <w:rPr>
          <w:bCs/>
        </w:rPr>
        <w:t>-</w:t>
      </w:r>
      <w:r w:rsidRPr="00C5494E">
        <w:rPr>
          <w:bCs/>
        </w:rPr>
        <w:t xml:space="preserve">way link between broadband development and economic growth (Kelly, 2009). Therefore, an </w:t>
      </w:r>
      <w:r w:rsidR="00527AA9" w:rsidRPr="00C5494E">
        <w:rPr>
          <w:bCs/>
        </w:rPr>
        <w:t>analyzis</w:t>
      </w:r>
      <w:r w:rsidRPr="00C5494E">
        <w:rPr>
          <w:bCs/>
        </w:rPr>
        <w:t xml:space="preserve"> of broadband in ABBMN countries should take into account the socio-economic situation of these countries, in order to chose the correct benchmarks and set realistic targets.</w:t>
      </w:r>
    </w:p>
    <w:p w:rsidR="00A326B4" w:rsidRPr="00C5494E" w:rsidRDefault="005704BD" w:rsidP="005704BD">
      <w:r w:rsidRPr="00C5494E">
        <w:rPr>
          <w:bCs/>
        </w:rPr>
        <w:t>Chart 3.1 shows the GNI per capita (a proxy indicator for average income) and the Human Development Index (HDI) value (a measure of general development in a country, i.e. not just the economic development) of South Asian countries.</w:t>
      </w:r>
      <w:r w:rsidR="00A326B4" w:rsidRPr="00C5494E">
        <w:t xml:space="preserve"> </w:t>
      </w:r>
    </w:p>
    <w:p w:rsidR="00A326B4" w:rsidRPr="00C5494E" w:rsidRDefault="005704BD" w:rsidP="005704BD">
      <w:pPr>
        <w:rPr>
          <w:bCs/>
        </w:rPr>
      </w:pPr>
      <w:r w:rsidRPr="00C5494E">
        <w:rPr>
          <w:bCs/>
        </w:rPr>
        <w:t xml:space="preserve">In terms of HDI classification, all South Asian countries except </w:t>
      </w:r>
      <w:smartTag w:uri="urn:schemas-microsoft-com:office:smarttags" w:element="place">
        <w:smartTag w:uri="urn:schemas-microsoft-com:office:smarttags" w:element="country-region">
          <w:r w:rsidRPr="00C5494E">
            <w:rPr>
              <w:bCs/>
            </w:rPr>
            <w:t>Afghanistan</w:t>
          </w:r>
        </w:smartTag>
      </w:smartTag>
      <w:r w:rsidRPr="00C5494E">
        <w:rPr>
          <w:bCs/>
        </w:rPr>
        <w:t xml:space="preserve"> are classified as medium human development countries. Differences in HDI are indeed smaller than those in income: Maldives (the South Asian country with the highest HDI) has an HDI 39 </w:t>
      </w:r>
      <w:r w:rsidR="000F4A58" w:rsidRPr="00C5494E">
        <w:rPr>
          <w:bCs/>
        </w:rPr>
        <w:t>per cent</w:t>
      </w:r>
      <w:r w:rsidRPr="00C5494E">
        <w:rPr>
          <w:bCs/>
        </w:rPr>
        <w:t xml:space="preserve"> higher than that of Nepal, while it has a GNI per capita which is more than eight times as much as that of Nepal (i.e. 808 </w:t>
      </w:r>
      <w:r w:rsidR="000F4A58" w:rsidRPr="00C5494E">
        <w:rPr>
          <w:bCs/>
        </w:rPr>
        <w:t>per cent</w:t>
      </w:r>
      <w:r w:rsidRPr="00C5494E">
        <w:rPr>
          <w:bCs/>
        </w:rPr>
        <w:t xml:space="preserve">). The same conclusion applies to </w:t>
      </w:r>
      <w:smartTag w:uri="urn:schemas-microsoft-com:office:smarttags" w:element="country-region">
        <w:r w:rsidRPr="00C5494E">
          <w:rPr>
            <w:bCs/>
          </w:rPr>
          <w:t>Bhutan</w:t>
        </w:r>
      </w:smartTag>
      <w:r w:rsidRPr="00C5494E">
        <w:rPr>
          <w:bCs/>
        </w:rPr>
        <w:t xml:space="preserve"> and </w:t>
      </w:r>
      <w:smartTag w:uri="urn:schemas-microsoft-com:office:smarttags" w:element="place">
        <w:smartTag w:uri="urn:schemas-microsoft-com:office:smarttags" w:element="country-region">
          <w:r w:rsidRPr="00C5494E">
            <w:rPr>
              <w:bCs/>
            </w:rPr>
            <w:t>Bangladesh</w:t>
          </w:r>
        </w:smartTag>
      </w:smartTag>
      <w:r w:rsidRPr="00C5494E">
        <w:rPr>
          <w:bCs/>
        </w:rPr>
        <w:t xml:space="preserve">. </w:t>
      </w:r>
      <w:smartTag w:uri="urn:schemas-microsoft-com:office:smarttags" w:element="place">
        <w:smartTag w:uri="urn:schemas-microsoft-com:office:smarttags" w:element="country-region">
          <w:r w:rsidRPr="00C5494E">
            <w:rPr>
              <w:bCs/>
            </w:rPr>
            <w:t>Afghanistan</w:t>
          </w:r>
        </w:smartTag>
      </w:smartTag>
      <w:r w:rsidRPr="00C5494E">
        <w:rPr>
          <w:bCs/>
        </w:rPr>
        <w:t xml:space="preserve"> is the only ABBMN country that clearly lags behind in terms of human development (more than in terms of income). This is most probably caused by the turbulent situation that the country has been facing in the last years, which has had a negative impact on the indicators relating to education and life expectancy (in the HDI 2007, Afghanistan had the second lowest life expectancy index of all countries in the world, after that of Zimbabwe).</w:t>
      </w:r>
    </w:p>
    <w:p w:rsidR="005704BD" w:rsidRPr="00C5494E" w:rsidRDefault="005704BD" w:rsidP="000F4A58">
      <w:pPr>
        <w:spacing w:before="0"/>
      </w:pPr>
    </w:p>
    <w:p w:rsidR="00A326B4" w:rsidRPr="00C5494E" w:rsidRDefault="00A326B4" w:rsidP="00A326B4">
      <w:pPr>
        <w:spacing w:before="0"/>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A326B4" w:rsidRPr="00C5494E" w:rsidTr="00FB239F">
        <w:trPr>
          <w:jc w:val="center"/>
        </w:trPr>
        <w:tc>
          <w:tcPr>
            <w:tcW w:w="9424" w:type="dxa"/>
            <w:shd w:val="clear" w:color="auto" w:fill="D9D9D9" w:themeFill="background1" w:themeFillShade="D9"/>
          </w:tcPr>
          <w:p w:rsidR="00A326B4" w:rsidRPr="00C5494E" w:rsidRDefault="00A326B4" w:rsidP="00A326B4">
            <w:pPr>
              <w:pStyle w:val="FigureNoTitle"/>
              <w:rPr>
                <w:lang w:val="en-GB"/>
              </w:rPr>
            </w:pPr>
            <w:r w:rsidRPr="00C5494E">
              <w:rPr>
                <w:lang w:val="en-GB"/>
              </w:rPr>
              <w:t>Chart 3.1: GNI per capita and HDI in South Asian countries</w:t>
            </w:r>
          </w:p>
          <w:p w:rsidR="00A326B4" w:rsidRPr="00C5494E" w:rsidRDefault="00A326B4" w:rsidP="00A326B4">
            <w:pPr>
              <w:pStyle w:val="Figure"/>
              <w:rPr>
                <w:lang w:val="en-GB"/>
              </w:rPr>
            </w:pPr>
            <w:r w:rsidRPr="00C5494E">
              <w:drawing>
                <wp:inline distT="0" distB="0" distL="0" distR="0">
                  <wp:extent cx="4851227" cy="309562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duotone>
                              <a:schemeClr val="accent2">
                                <a:shade val="45000"/>
                                <a:satMod val="135000"/>
                              </a:schemeClr>
                              <a:prstClr val="white"/>
                            </a:duotone>
                          </a:blip>
                          <a:srcRect/>
                          <a:stretch>
                            <a:fillRect/>
                          </a:stretch>
                        </pic:blipFill>
                        <pic:spPr bwMode="auto">
                          <a:xfrm>
                            <a:off x="0" y="0"/>
                            <a:ext cx="4862220" cy="3102640"/>
                          </a:xfrm>
                          <a:prstGeom prst="rect">
                            <a:avLst/>
                          </a:prstGeom>
                          <a:noFill/>
                          <a:ln w="9525">
                            <a:noFill/>
                            <a:miter lim="800000"/>
                            <a:headEnd/>
                            <a:tailEnd/>
                          </a:ln>
                        </pic:spPr>
                      </pic:pic>
                    </a:graphicData>
                  </a:graphic>
                </wp:inline>
              </w:drawing>
            </w:r>
          </w:p>
          <w:p w:rsidR="00A326B4" w:rsidRPr="00C5494E" w:rsidRDefault="00A326B4" w:rsidP="00F166B1">
            <w:pPr>
              <w:pStyle w:val="Figurelegend"/>
            </w:pPr>
            <w:r w:rsidRPr="00C5494E">
              <w:rPr>
                <w:i/>
                <w:iCs/>
              </w:rPr>
              <w:t>Source</w:t>
            </w:r>
            <w:r w:rsidRPr="00C5494E">
              <w:t>: World Bank’s World Development Indicators for GNI per capita (Atlas Method),</w:t>
            </w:r>
            <w:r w:rsidRPr="00C5494E">
              <w:rPr>
                <w:vertAlign w:val="superscript"/>
              </w:rPr>
              <w:footnoteReference w:id="12"/>
            </w:r>
            <w:r w:rsidRPr="00C5494E">
              <w:t xml:space="preserve"> and UNDP </w:t>
            </w:r>
            <w:r w:rsidR="000F4A58" w:rsidRPr="00C5494E">
              <w:t xml:space="preserve">Indicators </w:t>
            </w:r>
            <w:r w:rsidRPr="00C5494E">
              <w:t>(2009) for the Human Development Index (HDI).</w:t>
            </w:r>
          </w:p>
        </w:tc>
      </w:tr>
    </w:tbl>
    <w:p w:rsidR="00A326B4" w:rsidRPr="00C5494E" w:rsidRDefault="005704BD" w:rsidP="00E82816">
      <w:r w:rsidRPr="00C5494E">
        <w:rPr>
          <w:bCs/>
        </w:rPr>
        <w:lastRenderedPageBreak/>
        <w:t xml:space="preserve">According to the income groups of the World Bank, </w:t>
      </w:r>
      <w:smartTag w:uri="urn:schemas-microsoft-com:office:smarttags" w:element="country-region">
        <w:r w:rsidRPr="00C5494E">
          <w:rPr>
            <w:bCs/>
          </w:rPr>
          <w:t>Bangladesh</w:t>
        </w:r>
      </w:smartTag>
      <w:r w:rsidRPr="00C5494E">
        <w:rPr>
          <w:bCs/>
        </w:rPr>
        <w:t xml:space="preserve">, </w:t>
      </w:r>
      <w:smartTag w:uri="urn:schemas-microsoft-com:office:smarttags" w:element="country-region">
        <w:r w:rsidRPr="00C5494E">
          <w:rPr>
            <w:bCs/>
          </w:rPr>
          <w:t>Nepal</w:t>
        </w:r>
      </w:smartTag>
      <w:r w:rsidRPr="00C5494E">
        <w:rPr>
          <w:bCs/>
        </w:rPr>
        <w:t xml:space="preserve"> and </w:t>
      </w:r>
      <w:smartTag w:uri="urn:schemas-microsoft-com:office:smarttags" w:element="place">
        <w:smartTag w:uri="urn:schemas-microsoft-com:office:smarttags" w:element="country-region">
          <w:r w:rsidRPr="00C5494E">
            <w:rPr>
              <w:bCs/>
            </w:rPr>
            <w:t>Afghanistan</w:t>
          </w:r>
        </w:smartTag>
      </w:smartTag>
      <w:r w:rsidRPr="00C5494E">
        <w:rPr>
          <w:bCs/>
        </w:rPr>
        <w:t xml:space="preserve"> are classified as low-income countries. Under this category fall most countries in Sub-Saharan Africa, but also Asian countries such as </w:t>
      </w:r>
      <w:smartTag w:uri="urn:schemas-microsoft-com:office:smarttags" w:element="country-region">
        <w:r w:rsidRPr="00C5494E">
          <w:rPr>
            <w:bCs/>
          </w:rPr>
          <w:t>Myanmar</w:t>
        </w:r>
      </w:smartTag>
      <w:r w:rsidRPr="00C5494E">
        <w:rPr>
          <w:bCs/>
        </w:rPr>
        <w:t xml:space="preserve">, Lao PDR, </w:t>
      </w:r>
      <w:smartTag w:uri="urn:schemas-microsoft-com:office:smarttags" w:element="country-region">
        <w:r w:rsidRPr="00C5494E">
          <w:rPr>
            <w:bCs/>
          </w:rPr>
          <w:t>Cambodia</w:t>
        </w:r>
      </w:smartTag>
      <w:r w:rsidRPr="00C5494E">
        <w:rPr>
          <w:bCs/>
        </w:rPr>
        <w:t xml:space="preserve"> and </w:t>
      </w:r>
      <w:smartTag w:uri="urn:schemas-microsoft-com:office:smarttags" w:element="place">
        <w:smartTag w:uri="urn:schemas-microsoft-com:office:smarttags" w:element="country-region">
          <w:r w:rsidRPr="00C5494E">
            <w:rPr>
              <w:bCs/>
            </w:rPr>
            <w:t>Viet Nam</w:t>
          </w:r>
        </w:smartTag>
      </w:smartTag>
      <w:r w:rsidRPr="00C5494E">
        <w:rPr>
          <w:bCs/>
        </w:rPr>
        <w:t>. Among all low-income countries, in 2009 only Viet</w:t>
      </w:r>
      <w:r w:rsidR="00E82816">
        <w:rPr>
          <w:bCs/>
        </w:rPr>
        <w:t xml:space="preserve"> </w:t>
      </w:r>
      <w:r w:rsidRPr="00C5494E">
        <w:rPr>
          <w:bCs/>
        </w:rPr>
        <w:t xml:space="preserve">Nam had a fixed broadband penetration above 1 </w:t>
      </w:r>
      <w:r w:rsidR="000F4A58" w:rsidRPr="00C5494E">
        <w:rPr>
          <w:bCs/>
        </w:rPr>
        <w:t>per cent</w:t>
      </w:r>
      <w:r w:rsidRPr="00C5494E">
        <w:rPr>
          <w:bCs/>
        </w:rPr>
        <w:t xml:space="preserve"> (3.01 </w:t>
      </w:r>
      <w:r w:rsidR="000F4A58" w:rsidRPr="00C5494E">
        <w:rPr>
          <w:bCs/>
        </w:rPr>
        <w:t>per cent</w:t>
      </w:r>
      <w:r w:rsidRPr="00C5494E">
        <w:rPr>
          <w:bCs/>
        </w:rPr>
        <w:t xml:space="preserve">). In terms of mobile broadband penetration, although it is increasing in low-income countries, in 2009 only </w:t>
      </w:r>
      <w:smartTag w:uri="urn:schemas-microsoft-com:office:smarttags" w:element="country-region">
        <w:r w:rsidRPr="00C5494E">
          <w:rPr>
            <w:bCs/>
          </w:rPr>
          <w:t>Cambodia</w:t>
        </w:r>
      </w:smartTag>
      <w:r w:rsidRPr="00C5494E">
        <w:rPr>
          <w:bCs/>
        </w:rPr>
        <w:t xml:space="preserve">, </w:t>
      </w:r>
      <w:smartTag w:uri="urn:schemas-microsoft-com:office:smarttags" w:element="country-region">
        <w:r w:rsidRPr="00C5494E">
          <w:rPr>
            <w:bCs/>
          </w:rPr>
          <w:t>Kenya</w:t>
        </w:r>
      </w:smartTag>
      <w:r w:rsidRPr="00C5494E">
        <w:rPr>
          <w:bCs/>
        </w:rPr>
        <w:t xml:space="preserve">, </w:t>
      </w:r>
      <w:smartTag w:uri="urn:schemas-microsoft-com:office:smarttags" w:element="country-region">
        <w:r w:rsidRPr="00C5494E">
          <w:rPr>
            <w:bCs/>
          </w:rPr>
          <w:t>Mauritania</w:t>
        </w:r>
      </w:smartTag>
      <w:r w:rsidRPr="00C5494E">
        <w:rPr>
          <w:bCs/>
        </w:rPr>
        <w:t xml:space="preserve"> and </w:t>
      </w:r>
      <w:smartTag w:uri="urn:schemas-microsoft-com:office:smarttags" w:element="country-region">
        <w:smartTag w:uri="urn:schemas-microsoft-com:office:smarttags" w:element="place">
          <w:r w:rsidRPr="00C5494E">
            <w:rPr>
              <w:bCs/>
            </w:rPr>
            <w:t>Nigeria</w:t>
          </w:r>
        </w:smartTag>
      </w:smartTag>
      <w:r w:rsidRPr="00C5494E">
        <w:rPr>
          <w:bCs/>
        </w:rPr>
        <w:t xml:space="preserve"> had an uptake above 2 </w:t>
      </w:r>
      <w:r w:rsidR="000F4A58" w:rsidRPr="00C5494E">
        <w:rPr>
          <w:bCs/>
        </w:rPr>
        <w:t>per cent</w:t>
      </w:r>
      <w:r w:rsidRPr="00C5494E">
        <w:rPr>
          <w:bCs/>
        </w:rPr>
        <w:t xml:space="preserve">. It can be thus concluded that low-income countries are at the very early stages of broadband deployment and uptake (both fixed and mobile). This is also the situation in </w:t>
      </w:r>
      <w:smartTag w:uri="urn:schemas-microsoft-com:office:smarttags" w:element="country-region">
        <w:r w:rsidRPr="00C5494E">
          <w:rPr>
            <w:bCs/>
          </w:rPr>
          <w:t>Bangladesh</w:t>
        </w:r>
      </w:smartTag>
      <w:r w:rsidRPr="00C5494E">
        <w:rPr>
          <w:bCs/>
        </w:rPr>
        <w:t xml:space="preserve">, </w:t>
      </w:r>
      <w:smartTag w:uri="urn:schemas-microsoft-com:office:smarttags" w:element="country-region">
        <w:r w:rsidRPr="00C5494E">
          <w:rPr>
            <w:bCs/>
          </w:rPr>
          <w:t>Nepal</w:t>
        </w:r>
      </w:smartTag>
      <w:r w:rsidRPr="00C5494E">
        <w:rPr>
          <w:bCs/>
        </w:rPr>
        <w:t xml:space="preserve"> and </w:t>
      </w:r>
      <w:smartTag w:uri="urn:schemas-microsoft-com:office:smarttags" w:element="country-region">
        <w:smartTag w:uri="urn:schemas-microsoft-com:office:smarttags" w:element="place">
          <w:r w:rsidRPr="00C5494E">
            <w:rPr>
              <w:bCs/>
            </w:rPr>
            <w:t>Afghanistan</w:t>
          </w:r>
        </w:smartTag>
      </w:smartTag>
      <w:r w:rsidRPr="00C5494E">
        <w:rPr>
          <w:bCs/>
        </w:rPr>
        <w:t>, as it is further analyzed in Chapter 4.</w:t>
      </w:r>
    </w:p>
    <w:p w:rsidR="00A326B4" w:rsidRPr="00C5494E" w:rsidRDefault="005704BD" w:rsidP="005704BD">
      <w:r w:rsidRPr="00C5494E">
        <w:rPr>
          <w:bCs/>
        </w:rPr>
        <w:t xml:space="preserve">Bhutan and </w:t>
      </w:r>
      <w:smartTag w:uri="urn:schemas-microsoft-com:office:smarttags" w:element="place">
        <w:smartTag w:uri="urn:schemas-microsoft-com:office:smarttags" w:element="country-region">
          <w:r w:rsidRPr="00C5494E">
            <w:rPr>
              <w:bCs/>
            </w:rPr>
            <w:t>Maldives</w:t>
          </w:r>
        </w:smartTag>
      </w:smartTag>
      <w:r w:rsidRPr="00C5494E">
        <w:rPr>
          <w:bCs/>
        </w:rPr>
        <w:t xml:space="preserve"> are classified as lower-middle-income countries by the World Bank, because they have a GNI per capita (Atlas method) between USD 976 and USD</w:t>
      </w:r>
      <w:r w:rsidR="000F4A58" w:rsidRPr="00C5494E">
        <w:rPr>
          <w:bCs/>
        </w:rPr>
        <w:t xml:space="preserve"> 3 </w:t>
      </w:r>
      <w:r w:rsidRPr="00C5494E">
        <w:rPr>
          <w:bCs/>
        </w:rPr>
        <w:t xml:space="preserve">855. This is also the case of other South Asian countries, such as </w:t>
      </w:r>
      <w:smartTag w:uri="urn:schemas-microsoft-com:office:smarttags" w:element="country-region">
        <w:r w:rsidRPr="00C5494E">
          <w:rPr>
            <w:bCs/>
          </w:rPr>
          <w:t>Sri Lanka</w:t>
        </w:r>
      </w:smartTag>
      <w:r w:rsidRPr="00C5494E">
        <w:rPr>
          <w:bCs/>
        </w:rPr>
        <w:t xml:space="preserve">, </w:t>
      </w:r>
      <w:smartTag w:uri="urn:schemas-microsoft-com:office:smarttags" w:element="country-region">
        <w:r w:rsidRPr="00C5494E">
          <w:rPr>
            <w:bCs/>
          </w:rPr>
          <w:t>India</w:t>
        </w:r>
      </w:smartTag>
      <w:r w:rsidRPr="00C5494E">
        <w:rPr>
          <w:bCs/>
        </w:rPr>
        <w:t xml:space="preserve"> and </w:t>
      </w:r>
      <w:smartTag w:uri="urn:schemas-microsoft-com:office:smarttags" w:element="place">
        <w:smartTag w:uri="urn:schemas-microsoft-com:office:smarttags" w:element="country-region">
          <w:r w:rsidRPr="00C5494E">
            <w:rPr>
              <w:bCs/>
            </w:rPr>
            <w:t>Pakistan</w:t>
          </w:r>
        </w:smartTag>
      </w:smartTag>
      <w:r w:rsidRPr="00C5494E">
        <w:rPr>
          <w:bCs/>
        </w:rPr>
        <w:t>. Chart 3.2 shows the fixed broadband</w:t>
      </w:r>
      <w:r w:rsidRPr="00C5494E">
        <w:rPr>
          <w:bCs/>
          <w:vertAlign w:val="superscript"/>
        </w:rPr>
        <w:footnoteReference w:id="13"/>
      </w:r>
      <w:r w:rsidRPr="00C5494E">
        <w:rPr>
          <w:bCs/>
        </w:rPr>
        <w:t xml:space="preserve"> penetration of lower-middle-income countries (only those with an uptake above 1 </w:t>
      </w:r>
      <w:r w:rsidR="000F4A58" w:rsidRPr="00C5494E">
        <w:rPr>
          <w:bCs/>
        </w:rPr>
        <w:t>per cent</w:t>
      </w:r>
      <w:r w:rsidRPr="00C5494E">
        <w:rPr>
          <w:bCs/>
        </w:rPr>
        <w:t xml:space="preserve">, plus South Asian economies). In 2009, </w:t>
      </w:r>
      <w:smartTag w:uri="urn:schemas-microsoft-com:office:smarttags" w:element="country-region">
        <w:r w:rsidRPr="00C5494E">
          <w:rPr>
            <w:bCs/>
          </w:rPr>
          <w:t>Maldives</w:t>
        </w:r>
      </w:smartTag>
      <w:r w:rsidRPr="00C5494E">
        <w:rPr>
          <w:bCs/>
        </w:rPr>
        <w:t xml:space="preserve"> had the second highest number of fixed broadband subscriptions per 100 inhabitants, only surpassed by </w:t>
      </w:r>
      <w:smartTag w:uri="urn:schemas-microsoft-com:office:smarttags" w:element="place">
        <w:smartTag w:uri="urn:schemas-microsoft-com:office:smarttags" w:element="country-region">
          <w:r w:rsidRPr="00C5494E">
            <w:rPr>
              <w:bCs/>
            </w:rPr>
            <w:t>China</w:t>
          </w:r>
        </w:smartTag>
      </w:smartTag>
      <w:r w:rsidRPr="00C5494E">
        <w:rPr>
          <w:bCs/>
        </w:rPr>
        <w:t xml:space="preserve">. On the other hand, </w:t>
      </w:r>
      <w:smartTag w:uri="urn:schemas-microsoft-com:office:smarttags" w:element="place">
        <w:smartTag w:uri="urn:schemas-microsoft-com:office:smarttags" w:element="country-region">
          <w:r w:rsidRPr="00C5494E">
            <w:rPr>
              <w:bCs/>
            </w:rPr>
            <w:t>Bhutan</w:t>
          </w:r>
        </w:smartTag>
      </w:smartTag>
      <w:r w:rsidRPr="00C5494E">
        <w:rPr>
          <w:bCs/>
        </w:rPr>
        <w:t xml:space="preserve"> had a penetration below 0.5 </w:t>
      </w:r>
      <w:r w:rsidR="000F4A58" w:rsidRPr="00C5494E">
        <w:rPr>
          <w:bCs/>
        </w:rPr>
        <w:t>per cent</w:t>
      </w:r>
      <w:r w:rsidRPr="00C5494E">
        <w:rPr>
          <w:bCs/>
        </w:rPr>
        <w:t>, low even when compared to several other lower-middle-income countries.</w:t>
      </w:r>
    </w:p>
    <w:p w:rsidR="00A326B4" w:rsidRPr="00C5494E" w:rsidRDefault="00A326B4" w:rsidP="00A326B4"/>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A326B4" w:rsidRPr="00C5494E" w:rsidTr="00FB239F">
        <w:trPr>
          <w:jc w:val="center"/>
        </w:trPr>
        <w:tc>
          <w:tcPr>
            <w:tcW w:w="9424" w:type="dxa"/>
            <w:shd w:val="clear" w:color="auto" w:fill="D9D9D9" w:themeFill="background1" w:themeFillShade="D9"/>
          </w:tcPr>
          <w:p w:rsidR="00A326B4" w:rsidRPr="00C5494E" w:rsidRDefault="00A326B4" w:rsidP="00A326B4">
            <w:pPr>
              <w:pStyle w:val="FigureNoTitle"/>
              <w:rPr>
                <w:lang w:val="en-GB"/>
              </w:rPr>
            </w:pPr>
            <w:r w:rsidRPr="00C5494E">
              <w:rPr>
                <w:lang w:val="en-GB"/>
              </w:rPr>
              <w:t>Chart 3.2: Fixed broadband penetration of selected lower-middle-income countries, 2009</w:t>
            </w:r>
          </w:p>
          <w:p w:rsidR="00A326B4" w:rsidRPr="00C5494E" w:rsidRDefault="00A326B4" w:rsidP="00FB239F">
            <w:pPr>
              <w:pStyle w:val="Figure"/>
              <w:rPr>
                <w:lang w:val="en-GB"/>
              </w:rPr>
            </w:pPr>
            <w:r w:rsidRPr="00C5494E">
              <w:drawing>
                <wp:inline distT="0" distB="0" distL="0" distR="0">
                  <wp:extent cx="5048250" cy="3503769"/>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duotone>
                              <a:schemeClr val="accent2">
                                <a:shade val="45000"/>
                                <a:satMod val="135000"/>
                              </a:schemeClr>
                              <a:prstClr val="white"/>
                            </a:duotone>
                          </a:blip>
                          <a:srcRect/>
                          <a:stretch>
                            <a:fillRect/>
                          </a:stretch>
                        </pic:blipFill>
                        <pic:spPr bwMode="auto">
                          <a:xfrm>
                            <a:off x="0" y="0"/>
                            <a:ext cx="5048250" cy="3503769"/>
                          </a:xfrm>
                          <a:prstGeom prst="rect">
                            <a:avLst/>
                          </a:prstGeom>
                          <a:noFill/>
                          <a:ln w="9525">
                            <a:noFill/>
                            <a:miter lim="800000"/>
                            <a:headEnd/>
                            <a:tailEnd/>
                          </a:ln>
                        </pic:spPr>
                      </pic:pic>
                    </a:graphicData>
                  </a:graphic>
                </wp:inline>
              </w:drawing>
            </w:r>
          </w:p>
          <w:p w:rsidR="00A326B4" w:rsidRPr="00C5494E" w:rsidRDefault="00A326B4" w:rsidP="00A326B4">
            <w:pPr>
              <w:pStyle w:val="Figurelegend"/>
            </w:pPr>
            <w:r w:rsidRPr="00C5494E">
              <w:rPr>
                <w:i/>
                <w:iCs/>
              </w:rPr>
              <w:t>Source</w:t>
            </w:r>
            <w:r w:rsidRPr="00C5494E">
              <w:t>: ITU.</w:t>
            </w:r>
          </w:p>
        </w:tc>
      </w:tr>
    </w:tbl>
    <w:p w:rsidR="00A326B4" w:rsidRPr="00C5494E" w:rsidRDefault="005704BD" w:rsidP="005704BD">
      <w:pPr>
        <w:rPr>
          <w:bCs/>
        </w:rPr>
      </w:pPr>
      <w:r w:rsidRPr="00C5494E">
        <w:rPr>
          <w:bCs/>
        </w:rPr>
        <w:lastRenderedPageBreak/>
        <w:t>Chart 3.3 shows mobile broadband</w:t>
      </w:r>
      <w:r w:rsidRPr="00C5494E">
        <w:rPr>
          <w:bCs/>
          <w:vertAlign w:val="superscript"/>
        </w:rPr>
        <w:footnoteReference w:id="14"/>
      </w:r>
      <w:r w:rsidRPr="00C5494E">
        <w:rPr>
          <w:bCs/>
        </w:rPr>
        <w:t xml:space="preserve"> uptake in lower-middle-income countries with a penetration above 1 </w:t>
      </w:r>
      <w:r w:rsidR="000F4A58" w:rsidRPr="00C5494E">
        <w:rPr>
          <w:bCs/>
        </w:rPr>
        <w:t>per cent</w:t>
      </w:r>
      <w:r w:rsidRPr="00C5494E">
        <w:rPr>
          <w:bCs/>
        </w:rPr>
        <w:t xml:space="preserve">. </w:t>
      </w:r>
      <w:smartTag w:uri="urn:schemas-microsoft-com:office:smarttags" w:element="country-region">
        <w:smartTag w:uri="urn:schemas-microsoft-com:office:smarttags" w:element="place">
          <w:r w:rsidRPr="00C5494E">
            <w:rPr>
              <w:bCs/>
            </w:rPr>
            <w:t>Maldives</w:t>
          </w:r>
        </w:smartTag>
      </w:smartTag>
      <w:r w:rsidRPr="00C5494E">
        <w:rPr>
          <w:bCs/>
        </w:rPr>
        <w:t xml:space="preserve"> stands out as being the lower-middle-income country with the highest mobile broadband availability (32.5 </w:t>
      </w:r>
      <w:r w:rsidR="000F4A58" w:rsidRPr="00C5494E">
        <w:rPr>
          <w:bCs/>
        </w:rPr>
        <w:t>per cent</w:t>
      </w:r>
      <w:r w:rsidRPr="00C5494E">
        <w:rPr>
          <w:bCs/>
        </w:rPr>
        <w:t xml:space="preserve">). Despite recent progress (form 0.4 to 1.7 </w:t>
      </w:r>
      <w:r w:rsidR="000F4A58" w:rsidRPr="00C5494E">
        <w:rPr>
          <w:bCs/>
        </w:rPr>
        <w:t>per cent</w:t>
      </w:r>
      <w:r w:rsidRPr="00C5494E">
        <w:rPr>
          <w:bCs/>
        </w:rPr>
        <w:t xml:space="preserve"> in the last year), Bhutan had a mobile broadband penetration well below that of other countries with similar income levels, which is explained by the late commercial launch of 3G services in the country (May 2008).</w:t>
      </w:r>
      <w:r w:rsidRPr="00C5494E">
        <w:rPr>
          <w:bCs/>
          <w:vertAlign w:val="superscript"/>
        </w:rPr>
        <w:footnoteReference w:id="15"/>
      </w:r>
    </w:p>
    <w:p w:rsidR="005053D3" w:rsidRPr="00C5494E" w:rsidRDefault="005704BD" w:rsidP="005704BD">
      <w:pPr>
        <w:rPr>
          <w:bCs/>
        </w:rPr>
      </w:pPr>
      <w:r w:rsidRPr="00C5494E">
        <w:rPr>
          <w:bCs/>
        </w:rPr>
        <w:t>Mobile and fixed broadband figures need to be interpreted with caution, because they are not directly comparable. The ITU mobile broadband indicator measures “availability”, not actual usage, and counts mobile subscriptions, which are usually not shared. The fixed broadband indicator measures high-speed Internet subscriptions, which are usually shared by several users, and imply a monthly payment, which makes proof of use unnecessary (i.e. if broadband subscribers pay a recurrent monthly subscription, it is deemed that they will use the service).</w:t>
      </w:r>
    </w:p>
    <w:p w:rsidR="00A326B4" w:rsidRPr="00C5494E" w:rsidRDefault="00A326B4" w:rsidP="00A326B4">
      <w:pPr>
        <w:rPr>
          <w:bCs/>
        </w:rPr>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A326B4" w:rsidRPr="00C5494E" w:rsidTr="00FB239F">
        <w:trPr>
          <w:jc w:val="center"/>
        </w:trPr>
        <w:tc>
          <w:tcPr>
            <w:tcW w:w="9424" w:type="dxa"/>
            <w:shd w:val="clear" w:color="auto" w:fill="D9D9D9" w:themeFill="background1" w:themeFillShade="D9"/>
          </w:tcPr>
          <w:p w:rsidR="00A326B4" w:rsidRPr="00C5494E" w:rsidRDefault="00A326B4" w:rsidP="00FB239F">
            <w:pPr>
              <w:pStyle w:val="FigureNoTitle"/>
              <w:rPr>
                <w:lang w:val="en-GB"/>
              </w:rPr>
            </w:pPr>
            <w:r w:rsidRPr="00C5494E">
              <w:rPr>
                <w:lang w:val="en-GB"/>
              </w:rPr>
              <w:t xml:space="preserve">Chart 3.3: </w:t>
            </w:r>
            <w:smartTag w:uri="urn:schemas-microsoft-com:office:smarttags" w:element="place">
              <w:r w:rsidRPr="00C5494E">
                <w:rPr>
                  <w:lang w:val="en-GB"/>
                </w:rPr>
                <w:t>Mobile</w:t>
              </w:r>
            </w:smartTag>
            <w:r w:rsidRPr="00C5494E">
              <w:rPr>
                <w:lang w:val="en-GB"/>
              </w:rPr>
              <w:t xml:space="preserve"> broadband penetration of selected lower-middle-income countries, 2009</w:t>
            </w:r>
          </w:p>
          <w:p w:rsidR="00A326B4" w:rsidRPr="00C5494E" w:rsidRDefault="00A326B4" w:rsidP="00FB239F">
            <w:pPr>
              <w:pStyle w:val="Figure"/>
              <w:rPr>
                <w:lang w:val="en-GB"/>
              </w:rPr>
            </w:pPr>
            <w:r w:rsidRPr="00C5494E">
              <w:drawing>
                <wp:inline distT="0" distB="0" distL="0" distR="0">
                  <wp:extent cx="5295900" cy="4286716"/>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duotone>
                              <a:schemeClr val="accent2">
                                <a:shade val="45000"/>
                                <a:satMod val="135000"/>
                              </a:schemeClr>
                              <a:prstClr val="white"/>
                            </a:duotone>
                          </a:blip>
                          <a:srcRect/>
                          <a:stretch>
                            <a:fillRect/>
                          </a:stretch>
                        </pic:blipFill>
                        <pic:spPr bwMode="auto">
                          <a:xfrm>
                            <a:off x="0" y="0"/>
                            <a:ext cx="5295900" cy="4286716"/>
                          </a:xfrm>
                          <a:prstGeom prst="rect">
                            <a:avLst/>
                          </a:prstGeom>
                          <a:noFill/>
                          <a:ln w="9525">
                            <a:noFill/>
                            <a:miter lim="800000"/>
                            <a:headEnd/>
                            <a:tailEnd/>
                          </a:ln>
                        </pic:spPr>
                      </pic:pic>
                    </a:graphicData>
                  </a:graphic>
                </wp:inline>
              </w:drawing>
            </w:r>
          </w:p>
          <w:p w:rsidR="00A326B4" w:rsidRPr="00C5494E" w:rsidRDefault="00A326B4" w:rsidP="00FB239F">
            <w:pPr>
              <w:pStyle w:val="Figurelegend"/>
            </w:pPr>
            <w:r w:rsidRPr="00C5494E">
              <w:rPr>
                <w:i/>
                <w:iCs/>
              </w:rPr>
              <w:t>Source</w:t>
            </w:r>
            <w:r w:rsidRPr="00C5494E">
              <w:t>: ITU.</w:t>
            </w:r>
          </w:p>
        </w:tc>
      </w:tr>
    </w:tbl>
    <w:p w:rsidR="00A326B4" w:rsidRPr="00C5494E" w:rsidRDefault="005704BD" w:rsidP="005704BD">
      <w:pPr>
        <w:rPr>
          <w:bCs/>
        </w:rPr>
      </w:pPr>
      <w:r w:rsidRPr="00C5494E">
        <w:rPr>
          <w:bCs/>
        </w:rPr>
        <w:lastRenderedPageBreak/>
        <w:t xml:space="preserve">The current state of mobile and fixed broadband deployment in ABBMN countries is further analyzed in Chapter 4. However, before going into the details of the specific broadband indicators and the regulatory framework, the different demographic and geographic features of </w:t>
      </w:r>
      <w:r w:rsidR="000F4A58" w:rsidRPr="00C5494E">
        <w:rPr>
          <w:bCs/>
        </w:rPr>
        <w:t>ABBMN</w:t>
      </w:r>
      <w:r w:rsidRPr="00C5494E">
        <w:rPr>
          <w:bCs/>
        </w:rPr>
        <w:t xml:space="preserve"> countries should be highlighted, and how they can affect broadband deployment and uptake.</w:t>
      </w:r>
    </w:p>
    <w:p w:rsidR="00A326B4" w:rsidRPr="00C5494E" w:rsidRDefault="005704BD" w:rsidP="000F4A58">
      <w:pPr>
        <w:rPr>
          <w:bCs/>
        </w:rPr>
      </w:pPr>
      <w:r w:rsidRPr="00C5494E">
        <w:rPr>
          <w:bCs/>
        </w:rPr>
        <w:t>Indeed, the chall</w:t>
      </w:r>
      <w:r w:rsidR="000F4A58" w:rsidRPr="00C5494E">
        <w:rPr>
          <w:bCs/>
        </w:rPr>
        <w:t>enges va</w:t>
      </w:r>
      <w:r w:rsidRPr="00C5494E">
        <w:rPr>
          <w:bCs/>
        </w:rPr>
        <w:t xml:space="preserve">ry greatly when promoting access to broadband technologies in the rugged mountains and hills of Nepal; the densely-populated lowlands of the Ganges delta, in Bangladesh; the </w:t>
      </w:r>
      <w:r w:rsidR="000F4A58" w:rsidRPr="00C5494E">
        <w:rPr>
          <w:bCs/>
        </w:rPr>
        <w:t>26 </w:t>
      </w:r>
      <w:r w:rsidRPr="00C5494E">
        <w:rPr>
          <w:bCs/>
        </w:rPr>
        <w:t xml:space="preserve">small atolls of Maldives; the isolated forestland of Bhutan; and in the highlands and plains of </w:t>
      </w:r>
      <w:smartTag w:uri="urn:schemas-microsoft-com:office:smarttags" w:element="place">
        <w:smartTag w:uri="urn:schemas-microsoft-com:office:smarttags" w:element="country-region">
          <w:r w:rsidRPr="00C5494E">
            <w:rPr>
              <w:bCs/>
            </w:rPr>
            <w:t>Afghanistan</w:t>
          </w:r>
        </w:smartTag>
      </w:smartTag>
      <w:r w:rsidRPr="00C5494E">
        <w:rPr>
          <w:bCs/>
        </w:rPr>
        <w:t xml:space="preserve">, the largest </w:t>
      </w:r>
      <w:r w:rsidR="000F4A58" w:rsidRPr="00C5494E">
        <w:rPr>
          <w:bCs/>
        </w:rPr>
        <w:t>ABBMN</w:t>
      </w:r>
      <w:r w:rsidRPr="00C5494E">
        <w:rPr>
          <w:bCs/>
        </w:rPr>
        <w:t xml:space="preserve"> country. These particular geographic features will be taken into account in Chapter 4, when proposing some policy recommendations for broadband stimulus.</w:t>
      </w:r>
    </w:p>
    <w:p w:rsidR="00A326B4" w:rsidRPr="00C5494E" w:rsidRDefault="005704BD" w:rsidP="00810397">
      <w:pPr>
        <w:rPr>
          <w:bCs/>
        </w:rPr>
      </w:pPr>
      <w:r w:rsidRPr="00C5494E">
        <w:rPr>
          <w:bCs/>
        </w:rPr>
        <w:t xml:space="preserve">Closely linked with the geographic features of a country, there are a series of demographic indicators </w:t>
      </w:r>
      <w:r w:rsidR="000F4A58" w:rsidRPr="00C5494E">
        <w:rPr>
          <w:bCs/>
        </w:rPr>
        <w:t xml:space="preserve">that </w:t>
      </w:r>
      <w:r w:rsidRPr="00C5494E">
        <w:rPr>
          <w:bCs/>
        </w:rPr>
        <w:t>may help to better assess the challenges of broadband deployment and uptake.</w:t>
      </w:r>
      <w:r w:rsidRPr="00C5494E">
        <w:rPr>
          <w:bCs/>
          <w:vertAlign w:val="superscript"/>
        </w:rPr>
        <w:footnoteReference w:id="16"/>
      </w:r>
      <w:r w:rsidRPr="00C5494E">
        <w:rPr>
          <w:bCs/>
        </w:rPr>
        <w:t xml:space="preserve"> For instance, it is easier to connect densely-populated urban zones with wired broadband technologies/networks (e.g. copper twisted pair (xDSL), cable or fibre) than to connect sparsely-populated remote zones. Wireless broadband technologies (satellite, </w:t>
      </w:r>
      <w:proofErr w:type="spellStart"/>
      <w:r w:rsidRPr="00C5494E">
        <w:rPr>
          <w:bCs/>
        </w:rPr>
        <w:t>WiMAX</w:t>
      </w:r>
      <w:proofErr w:type="spellEnd"/>
      <w:r w:rsidRPr="00C5494E">
        <w:rPr>
          <w:bCs/>
        </w:rPr>
        <w:t xml:space="preserve"> or 3G) </w:t>
      </w:r>
      <w:r w:rsidR="00E82816">
        <w:rPr>
          <w:bCs/>
        </w:rPr>
        <w:t>and now IMT Advance</w:t>
      </w:r>
      <w:r w:rsidR="00810397">
        <w:rPr>
          <w:bCs/>
        </w:rPr>
        <w:t>d</w:t>
      </w:r>
      <w:r w:rsidR="00E82816">
        <w:rPr>
          <w:bCs/>
        </w:rPr>
        <w:t xml:space="preserve">, </w:t>
      </w:r>
      <w:r w:rsidRPr="00C5494E">
        <w:rPr>
          <w:bCs/>
        </w:rPr>
        <w:t>may be considered relatively appropriate to provide a more cost-efficient coverage in rural areas and thus help reduce the digital divide, although the trade-off between cost, coverage, and capacity remains a complicated issue in most cases.</w:t>
      </w:r>
      <w:r w:rsidRPr="00C5494E">
        <w:rPr>
          <w:bCs/>
          <w:vertAlign w:val="superscript"/>
        </w:rPr>
        <w:footnoteReference w:id="17"/>
      </w:r>
      <w:r w:rsidRPr="00C5494E">
        <w:rPr>
          <w:bCs/>
        </w:rPr>
        <w:t xml:space="preserve"> This does not mean that a dispersed population is an insurmountable obstacle, as it has been proved by the two larger OECD countries, </w:t>
      </w:r>
      <w:smartTag w:uri="urn:schemas-microsoft-com:office:smarttags" w:element="country-region">
        <w:r w:rsidRPr="00C5494E">
          <w:rPr>
            <w:bCs/>
          </w:rPr>
          <w:t>Canada</w:t>
        </w:r>
      </w:smartTag>
      <w:r w:rsidRPr="00C5494E">
        <w:rPr>
          <w:bCs/>
        </w:rPr>
        <w:t xml:space="preserve"> and the </w:t>
      </w:r>
      <w:smartTag w:uri="urn:schemas-microsoft-com:office:smarttags" w:element="place">
        <w:smartTag w:uri="urn:schemas-microsoft-com:office:smarttags" w:element="country-region">
          <w:r w:rsidRPr="00C5494E">
            <w:rPr>
              <w:bCs/>
            </w:rPr>
            <w:t>United States</w:t>
          </w:r>
        </w:smartTag>
      </w:smartTag>
      <w:r w:rsidRPr="00C5494E">
        <w:rPr>
          <w:bCs/>
        </w:rPr>
        <w:t>, which have an extensive broadband footprint.</w:t>
      </w:r>
      <w:r w:rsidRPr="00C5494E">
        <w:rPr>
          <w:bCs/>
          <w:vertAlign w:val="superscript"/>
        </w:rPr>
        <w:footnoteReference w:id="18"/>
      </w:r>
      <w:r w:rsidRPr="00C5494E">
        <w:rPr>
          <w:bCs/>
        </w:rPr>
        <w:t xml:space="preserve"> However, it is a factor that may significantly affect broadband penetration rates in countries where there is not yet an extensive infrastructure in place, especially considering the cost of deployment of wired local loops.</w:t>
      </w:r>
      <w:r w:rsidRPr="00C5494E">
        <w:rPr>
          <w:bCs/>
          <w:vertAlign w:val="superscript"/>
        </w:rPr>
        <w:footnoteReference w:id="19"/>
      </w:r>
      <w:r w:rsidR="00A326B4" w:rsidRPr="00C5494E">
        <w:rPr>
          <w:bCs/>
        </w:rPr>
        <w:t xml:space="preserve"> </w:t>
      </w:r>
    </w:p>
    <w:p w:rsidR="005704BD" w:rsidRPr="00C5494E" w:rsidRDefault="005704BD" w:rsidP="005704BD">
      <w:pPr>
        <w:rPr>
          <w:bCs/>
        </w:rPr>
      </w:pPr>
      <w:r w:rsidRPr="00C5494E">
        <w:rPr>
          <w:bCs/>
        </w:rPr>
        <w:t>Chart 3.4 shows a representation of South Asian countries in two axes, according to the population density (x-axis) and the percentage of urban population (y-axis). Different bubble sizes correspond to the percentage of population in the main urban agglomeration (i.e. the bigger the bubble, the higher the percentage of population in the main city).</w:t>
      </w:r>
    </w:p>
    <w:p w:rsidR="00A326B4" w:rsidRPr="00C5494E" w:rsidRDefault="00A326B4" w:rsidP="005704BD">
      <w:pPr>
        <w:rPr>
          <w:bCs/>
        </w:rPr>
      </w:pPr>
    </w:p>
    <w:p w:rsidR="00A326B4" w:rsidRPr="00C5494E" w:rsidRDefault="00A326B4" w:rsidP="00A326B4"/>
    <w:p w:rsidR="005053D3" w:rsidRPr="00C5494E" w:rsidRDefault="005053D3" w:rsidP="00A326B4"/>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E13A38" w:rsidRPr="00C5494E" w:rsidTr="00FB239F">
        <w:trPr>
          <w:jc w:val="center"/>
        </w:trPr>
        <w:tc>
          <w:tcPr>
            <w:tcW w:w="9424" w:type="dxa"/>
            <w:shd w:val="clear" w:color="auto" w:fill="D9D9D9" w:themeFill="background1" w:themeFillShade="D9"/>
          </w:tcPr>
          <w:p w:rsidR="00E13A38" w:rsidRPr="00C5494E" w:rsidRDefault="00E13A38" w:rsidP="005053D3">
            <w:pPr>
              <w:pStyle w:val="FigureNoTitle"/>
              <w:keepNext/>
              <w:rPr>
                <w:lang w:val="en-GB"/>
              </w:rPr>
            </w:pPr>
            <w:r w:rsidRPr="00C5494E">
              <w:rPr>
                <w:lang w:val="en-GB"/>
              </w:rPr>
              <w:lastRenderedPageBreak/>
              <w:t>Chart 3.4: Demographic indicators of South Asian countries, 2007</w:t>
            </w:r>
          </w:p>
          <w:p w:rsidR="00E13A38" w:rsidRPr="00C5494E" w:rsidRDefault="00E13A38" w:rsidP="005053D3">
            <w:pPr>
              <w:pStyle w:val="Figure"/>
              <w:keepNext/>
              <w:rPr>
                <w:lang w:val="en-GB"/>
              </w:rPr>
            </w:pPr>
            <w:r w:rsidRPr="00C5494E">
              <w:drawing>
                <wp:inline distT="0" distB="0" distL="0" distR="0">
                  <wp:extent cx="5448300" cy="3476625"/>
                  <wp:effectExtent l="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duotone>
                              <a:schemeClr val="accent2">
                                <a:shade val="45000"/>
                                <a:satMod val="135000"/>
                              </a:schemeClr>
                              <a:prstClr val="white"/>
                            </a:duotone>
                          </a:blip>
                          <a:srcRect/>
                          <a:stretch>
                            <a:fillRect/>
                          </a:stretch>
                        </pic:blipFill>
                        <pic:spPr bwMode="auto">
                          <a:xfrm>
                            <a:off x="0" y="0"/>
                            <a:ext cx="5448300" cy="3476625"/>
                          </a:xfrm>
                          <a:prstGeom prst="rect">
                            <a:avLst/>
                          </a:prstGeom>
                          <a:noFill/>
                          <a:ln w="9525">
                            <a:noFill/>
                            <a:miter lim="800000"/>
                            <a:headEnd/>
                            <a:tailEnd/>
                          </a:ln>
                        </pic:spPr>
                      </pic:pic>
                    </a:graphicData>
                  </a:graphic>
                </wp:inline>
              </w:drawing>
            </w:r>
          </w:p>
          <w:p w:rsidR="00E13A38" w:rsidRPr="00C5494E" w:rsidRDefault="00E13A38" w:rsidP="00834B63">
            <w:pPr>
              <w:pStyle w:val="Figurelegend"/>
              <w:keepNext/>
            </w:pPr>
            <w:r w:rsidRPr="00C5494E">
              <w:rPr>
                <w:i/>
                <w:iCs/>
              </w:rPr>
              <w:t>Source</w:t>
            </w:r>
            <w:r w:rsidRPr="00C5494E">
              <w:t xml:space="preserve">: </w:t>
            </w:r>
            <w:proofErr w:type="spellStart"/>
            <w:r w:rsidRPr="00C5494E">
              <w:t>UNdata</w:t>
            </w:r>
            <w:proofErr w:type="spellEnd"/>
            <w:r w:rsidRPr="00C5494E">
              <w:t xml:space="preserve"> (UNSD).</w:t>
            </w:r>
          </w:p>
        </w:tc>
      </w:tr>
    </w:tbl>
    <w:p w:rsidR="00E13A38" w:rsidRPr="00C5494E" w:rsidRDefault="00E13A38" w:rsidP="00A326B4"/>
    <w:p w:rsidR="005053D3" w:rsidRPr="00C5494E" w:rsidRDefault="005704BD" w:rsidP="000F4A58">
      <w:pPr>
        <w:rPr>
          <w:bCs/>
        </w:rPr>
      </w:pPr>
      <w:r w:rsidRPr="00C5494E">
        <w:rPr>
          <w:bCs/>
        </w:rPr>
        <w:t xml:space="preserve">The country that has the most </w:t>
      </w:r>
      <w:r w:rsidR="00834B63" w:rsidRPr="00C5494E">
        <w:rPr>
          <w:bCs/>
        </w:rPr>
        <w:t>favourable</w:t>
      </w:r>
      <w:r w:rsidRPr="00C5494E">
        <w:rPr>
          <w:bCs/>
        </w:rPr>
        <w:t xml:space="preserve"> demography for the deployment of new broadband networks is </w:t>
      </w:r>
      <w:smartTag w:uri="urn:schemas-microsoft-com:office:smarttags" w:element="place">
        <w:smartTag w:uri="urn:schemas-microsoft-com:office:smarttags" w:element="country-region">
          <w:r w:rsidRPr="00C5494E">
            <w:rPr>
              <w:bCs/>
            </w:rPr>
            <w:t>Maldives</w:t>
          </w:r>
        </w:smartTag>
      </w:smartTag>
      <w:r w:rsidRPr="00C5494E">
        <w:rPr>
          <w:bCs/>
        </w:rPr>
        <w:t xml:space="preserve">. Compared to other South Asian countries, it has both a high population density and a high percentage of urban population. Moreover, 36 </w:t>
      </w:r>
      <w:r w:rsidR="000F4A58" w:rsidRPr="00C5494E">
        <w:rPr>
          <w:bCs/>
        </w:rPr>
        <w:t>per cent</w:t>
      </w:r>
      <w:r w:rsidRPr="00C5494E">
        <w:rPr>
          <w:bCs/>
        </w:rPr>
        <w:t xml:space="preserve"> of inhabitants in the country live in the main urban agglomeration (Male). That means that by providing broadband coverage to the people in the main urban centre, </w:t>
      </w:r>
      <w:smartTag w:uri="urn:schemas-microsoft-com:office:smarttags" w:element="country-region">
        <w:r w:rsidRPr="00C5494E">
          <w:rPr>
            <w:bCs/>
          </w:rPr>
          <w:t>Maldives</w:t>
        </w:r>
      </w:smartTag>
      <w:r w:rsidRPr="00C5494E">
        <w:rPr>
          <w:bCs/>
        </w:rPr>
        <w:t xml:space="preserve"> would have 36 </w:t>
      </w:r>
      <w:r w:rsidR="000F4A58" w:rsidRPr="00C5494E">
        <w:rPr>
          <w:bCs/>
        </w:rPr>
        <w:t>per cent</w:t>
      </w:r>
      <w:r w:rsidRPr="00C5494E">
        <w:rPr>
          <w:bCs/>
        </w:rPr>
        <w:t xml:space="preserve"> of the population covered, much more than </w:t>
      </w:r>
      <w:smartTag w:uri="urn:schemas-microsoft-com:office:smarttags" w:element="country-region">
        <w:r w:rsidRPr="00C5494E">
          <w:rPr>
            <w:bCs/>
          </w:rPr>
          <w:t>Bhutan</w:t>
        </w:r>
      </w:smartTag>
      <w:r w:rsidRPr="00C5494E">
        <w:rPr>
          <w:bCs/>
        </w:rPr>
        <w:t xml:space="preserve"> (16 </w:t>
      </w:r>
      <w:r w:rsidR="000F4A58" w:rsidRPr="00C5494E">
        <w:rPr>
          <w:bCs/>
        </w:rPr>
        <w:t>per cent</w:t>
      </w:r>
      <w:r w:rsidRPr="00C5494E">
        <w:rPr>
          <w:bCs/>
        </w:rPr>
        <w:t xml:space="preserve">), </w:t>
      </w:r>
      <w:smartTag w:uri="urn:schemas-microsoft-com:office:smarttags" w:element="country-region">
        <w:r w:rsidRPr="00C5494E">
          <w:rPr>
            <w:bCs/>
          </w:rPr>
          <w:t>Afghanistan</w:t>
        </w:r>
      </w:smartTag>
      <w:r w:rsidRPr="00C5494E">
        <w:rPr>
          <w:bCs/>
        </w:rPr>
        <w:t xml:space="preserve"> (12 </w:t>
      </w:r>
      <w:r w:rsidR="000F4A58" w:rsidRPr="00C5494E">
        <w:rPr>
          <w:bCs/>
        </w:rPr>
        <w:t>per cent</w:t>
      </w:r>
      <w:r w:rsidRPr="00C5494E">
        <w:rPr>
          <w:bCs/>
        </w:rPr>
        <w:t xml:space="preserve">), </w:t>
      </w:r>
      <w:smartTag w:uri="urn:schemas-microsoft-com:office:smarttags" w:element="country-region">
        <w:r w:rsidRPr="00C5494E">
          <w:rPr>
            <w:bCs/>
          </w:rPr>
          <w:t>Bangladesh</w:t>
        </w:r>
      </w:smartTag>
      <w:r w:rsidRPr="00C5494E">
        <w:rPr>
          <w:bCs/>
        </w:rPr>
        <w:t xml:space="preserve"> (8 </w:t>
      </w:r>
      <w:r w:rsidR="000F4A58" w:rsidRPr="00C5494E">
        <w:rPr>
          <w:bCs/>
        </w:rPr>
        <w:t>per cent</w:t>
      </w:r>
      <w:r w:rsidRPr="00C5494E">
        <w:rPr>
          <w:bCs/>
        </w:rPr>
        <w:t xml:space="preserve">) or </w:t>
      </w:r>
      <w:smartTag w:uri="urn:schemas-microsoft-com:office:smarttags" w:element="place">
        <w:smartTag w:uri="urn:schemas-microsoft-com:office:smarttags" w:element="country-region">
          <w:r w:rsidRPr="00C5494E">
            <w:rPr>
              <w:bCs/>
            </w:rPr>
            <w:t>Nepal</w:t>
          </w:r>
        </w:smartTag>
      </w:smartTag>
      <w:r w:rsidRPr="00C5494E">
        <w:rPr>
          <w:bCs/>
        </w:rPr>
        <w:t xml:space="preserve"> (3 </w:t>
      </w:r>
      <w:r w:rsidR="000F4A58" w:rsidRPr="00C5494E">
        <w:rPr>
          <w:bCs/>
        </w:rPr>
        <w:t>per cent</w:t>
      </w:r>
      <w:r w:rsidRPr="00C5494E">
        <w:rPr>
          <w:bCs/>
        </w:rPr>
        <w:t xml:space="preserve">). These parameters together with the low population in </w:t>
      </w:r>
      <w:smartTag w:uri="urn:schemas-microsoft-com:office:smarttags" w:element="place">
        <w:smartTag w:uri="urn:schemas-microsoft-com:office:smarttags" w:element="country-region">
          <w:r w:rsidRPr="00C5494E">
            <w:rPr>
              <w:bCs/>
            </w:rPr>
            <w:t>Maldives</w:t>
          </w:r>
        </w:smartTag>
      </w:smartTag>
      <w:r w:rsidRPr="00C5494E">
        <w:rPr>
          <w:bCs/>
        </w:rPr>
        <w:t xml:space="preserve"> (some 300</w:t>
      </w:r>
      <w:r w:rsidR="000F4A58" w:rsidRPr="00C5494E">
        <w:rPr>
          <w:bCs/>
        </w:rPr>
        <w:t> </w:t>
      </w:r>
      <w:r w:rsidRPr="00C5494E">
        <w:rPr>
          <w:bCs/>
        </w:rPr>
        <w:t>000 inhabitants in 2007)</w:t>
      </w:r>
      <w:r w:rsidR="000F4A58" w:rsidRPr="00C5494E">
        <w:rPr>
          <w:bCs/>
        </w:rPr>
        <w:t>,</w:t>
      </w:r>
      <w:r w:rsidRPr="00C5494E">
        <w:rPr>
          <w:bCs/>
        </w:rPr>
        <w:t xml:space="preserve"> can be seen as positive factors for rapid broadband penetration growth,</w:t>
      </w:r>
      <w:r w:rsidRPr="00C5494E">
        <w:rPr>
          <w:bCs/>
          <w:vertAlign w:val="superscript"/>
        </w:rPr>
        <w:footnoteReference w:id="20"/>
      </w:r>
      <w:r w:rsidRPr="00C5494E">
        <w:rPr>
          <w:bCs/>
        </w:rPr>
        <w:t xml:space="preserve"> as it has indeed been the case in recent years.</w:t>
      </w:r>
      <w:r w:rsidRPr="00C5494E">
        <w:rPr>
          <w:bCs/>
          <w:vertAlign w:val="superscript"/>
        </w:rPr>
        <w:footnoteReference w:id="21"/>
      </w:r>
    </w:p>
    <w:p w:rsidR="005053D3" w:rsidRPr="00C5494E" w:rsidRDefault="005704BD" w:rsidP="0048461C">
      <w:pPr>
        <w:rPr>
          <w:bCs/>
        </w:rPr>
      </w:pPr>
      <w:smartTag w:uri="urn:schemas-microsoft-com:office:smarttags" w:element="country-region">
        <w:r w:rsidRPr="00C5494E">
          <w:rPr>
            <w:bCs/>
          </w:rPr>
          <w:t>Bangladesh</w:t>
        </w:r>
      </w:smartTag>
      <w:r w:rsidRPr="00C5494E">
        <w:rPr>
          <w:bCs/>
        </w:rPr>
        <w:t xml:space="preserve"> is the ABBMN country with the highest population density (1</w:t>
      </w:r>
      <w:r w:rsidR="000F4A58" w:rsidRPr="00C5494E">
        <w:rPr>
          <w:bCs/>
        </w:rPr>
        <w:t> </w:t>
      </w:r>
      <w:r w:rsidRPr="00C5494E">
        <w:rPr>
          <w:bCs/>
        </w:rPr>
        <w:t>102 inhabitants per square kilomet</w:t>
      </w:r>
      <w:r w:rsidR="0048461C">
        <w:rPr>
          <w:bCs/>
        </w:rPr>
        <w:t>r</w:t>
      </w:r>
      <w:r w:rsidRPr="00C5494E">
        <w:rPr>
          <w:bCs/>
        </w:rPr>
        <w:t>e, according to 2007 UN</w:t>
      </w:r>
      <w:r w:rsidR="00E82816">
        <w:rPr>
          <w:bCs/>
        </w:rPr>
        <w:t xml:space="preserve"> </w:t>
      </w:r>
      <w:r w:rsidRPr="00C5494E">
        <w:rPr>
          <w:bCs/>
        </w:rPr>
        <w:t xml:space="preserve">data), but it has a lower percentage of urban population (27 </w:t>
      </w:r>
      <w:r w:rsidR="000F4A58" w:rsidRPr="00C5494E">
        <w:rPr>
          <w:bCs/>
        </w:rPr>
        <w:t>per cent</w:t>
      </w:r>
      <w:r w:rsidRPr="00C5494E">
        <w:rPr>
          <w:bCs/>
        </w:rPr>
        <w:t xml:space="preserve">) than </w:t>
      </w:r>
      <w:smartTag w:uri="urn:schemas-microsoft-com:office:smarttags" w:element="country-region">
        <w:r w:rsidRPr="00C5494E">
          <w:rPr>
            <w:bCs/>
          </w:rPr>
          <w:t>Maldives</w:t>
        </w:r>
      </w:smartTag>
      <w:r w:rsidRPr="00C5494E">
        <w:rPr>
          <w:bCs/>
        </w:rPr>
        <w:t xml:space="preserve"> (37 </w:t>
      </w:r>
      <w:r w:rsidR="000F4A58" w:rsidRPr="00C5494E">
        <w:rPr>
          <w:bCs/>
        </w:rPr>
        <w:t>per cent</w:t>
      </w:r>
      <w:r w:rsidRPr="00C5494E">
        <w:rPr>
          <w:bCs/>
        </w:rPr>
        <w:t xml:space="preserve">) and </w:t>
      </w:r>
      <w:smartTag w:uri="urn:schemas-microsoft-com:office:smarttags" w:element="place">
        <w:smartTag w:uri="urn:schemas-microsoft-com:office:smarttags" w:element="country-region">
          <w:r w:rsidRPr="00C5494E">
            <w:rPr>
              <w:bCs/>
            </w:rPr>
            <w:t>Bhutan</w:t>
          </w:r>
        </w:smartTag>
      </w:smartTag>
      <w:r w:rsidRPr="00C5494E">
        <w:rPr>
          <w:bCs/>
        </w:rPr>
        <w:t xml:space="preserve"> (33 </w:t>
      </w:r>
      <w:r w:rsidR="000F4A58" w:rsidRPr="00C5494E">
        <w:rPr>
          <w:bCs/>
        </w:rPr>
        <w:t>per cent</w:t>
      </w:r>
      <w:r w:rsidRPr="00C5494E">
        <w:rPr>
          <w:bCs/>
        </w:rPr>
        <w:t>). Population density figures need to be treated with caution, as they may be misleading. For example, Iceland has a very low population density (2.9 inhabitants per square kilomet</w:t>
      </w:r>
      <w:r w:rsidR="0048461C">
        <w:rPr>
          <w:bCs/>
        </w:rPr>
        <w:t>r</w:t>
      </w:r>
      <w:r w:rsidRPr="00C5494E">
        <w:rPr>
          <w:bCs/>
        </w:rPr>
        <w:t xml:space="preserve">e in 2007), but 50 </w:t>
      </w:r>
      <w:r w:rsidR="000F4A58" w:rsidRPr="00C5494E">
        <w:rPr>
          <w:bCs/>
        </w:rPr>
        <w:t>per cent</w:t>
      </w:r>
      <w:r w:rsidRPr="00C5494E">
        <w:rPr>
          <w:bCs/>
        </w:rPr>
        <w:t xml:space="preserve"> of the population live in 1.4 </w:t>
      </w:r>
      <w:r w:rsidR="000F4A58" w:rsidRPr="00C5494E">
        <w:rPr>
          <w:bCs/>
        </w:rPr>
        <w:t>per cent</w:t>
      </w:r>
      <w:r w:rsidRPr="00C5494E">
        <w:rPr>
          <w:bCs/>
        </w:rPr>
        <w:t xml:space="preserve"> of the land mass, which equates to a population density of 103 inhabitants per square kilomet</w:t>
      </w:r>
      <w:r w:rsidR="0048461C">
        <w:rPr>
          <w:bCs/>
        </w:rPr>
        <w:t>r</w:t>
      </w:r>
      <w:r w:rsidRPr="00C5494E">
        <w:rPr>
          <w:bCs/>
        </w:rPr>
        <w:t xml:space="preserve">e for this half of the population. In the absence of better indicators to measure demographic dispersion, the percentage of urban population is </w:t>
      </w:r>
      <w:r w:rsidRPr="00C5494E">
        <w:rPr>
          <w:bCs/>
        </w:rPr>
        <w:lastRenderedPageBreak/>
        <w:t>the only proxy available for all ABBMN countries. Thus, this indicator may be in some cases more relevant to measure the ease of deployment of new broadband networks than population density.</w:t>
      </w:r>
    </w:p>
    <w:p w:rsidR="00E13A38" w:rsidRPr="00C5494E" w:rsidRDefault="005704BD" w:rsidP="005704BD">
      <w:pPr>
        <w:rPr>
          <w:bCs/>
        </w:rPr>
      </w:pPr>
      <w:smartTag w:uri="urn:schemas-microsoft-com:office:smarttags" w:element="country-region">
        <w:r w:rsidRPr="00C5494E">
          <w:rPr>
            <w:bCs/>
          </w:rPr>
          <w:t>Bhutan</w:t>
        </w:r>
      </w:smartTag>
      <w:r w:rsidRPr="00C5494E">
        <w:rPr>
          <w:bCs/>
        </w:rPr>
        <w:t xml:space="preserve"> has a percentage of urban population above that of </w:t>
      </w:r>
      <w:smartTag w:uri="urn:schemas-microsoft-com:office:smarttags" w:element="place">
        <w:r w:rsidRPr="00C5494E">
          <w:rPr>
            <w:bCs/>
          </w:rPr>
          <w:t>South Asia</w:t>
        </w:r>
      </w:smartTag>
      <w:r w:rsidRPr="00C5494E">
        <w:rPr>
          <w:bCs/>
        </w:rPr>
        <w:t>, and the main city concentrates a fair amount of the population of the country, which can both be interpreted as positive factors for broadband penetration growth. However, the low population density (17.2 inhab</w:t>
      </w:r>
      <w:r w:rsidR="000F4A58" w:rsidRPr="00C5494E">
        <w:rPr>
          <w:bCs/>
        </w:rPr>
        <w:t>.</w:t>
      </w:r>
      <w:r w:rsidRPr="00C5494E">
        <w:rPr>
          <w:bCs/>
        </w:rPr>
        <w:t>/km²) may indicate that a relevant part of the population is scattered in rural areas, which would make a thorough coverage of the country with broadband networks more difficult to achieve.</w:t>
      </w:r>
      <w:r w:rsidR="003F3F29" w:rsidRPr="00C5494E">
        <w:rPr>
          <w:bCs/>
        </w:rPr>
        <w:t xml:space="preserve"> </w:t>
      </w:r>
    </w:p>
    <w:p w:rsidR="00E13A38" w:rsidRPr="00C5494E" w:rsidRDefault="005704BD" w:rsidP="00E82816">
      <w:pPr>
        <w:rPr>
          <w:bCs/>
        </w:rPr>
      </w:pPr>
      <w:smartTag w:uri="urn:schemas-microsoft-com:office:smarttags" w:element="country-region">
        <w:r w:rsidRPr="00C5494E">
          <w:rPr>
            <w:bCs/>
          </w:rPr>
          <w:t>Afghanistan</w:t>
        </w:r>
      </w:smartTag>
      <w:r w:rsidRPr="00C5494E">
        <w:rPr>
          <w:bCs/>
        </w:rPr>
        <w:t xml:space="preserve"> and </w:t>
      </w:r>
      <w:smartTag w:uri="urn:schemas-microsoft-com:office:smarttags" w:element="place">
        <w:smartTag w:uri="urn:schemas-microsoft-com:office:smarttags" w:element="country-region">
          <w:r w:rsidRPr="00C5494E">
            <w:rPr>
              <w:bCs/>
            </w:rPr>
            <w:t>Nepal</w:t>
          </w:r>
        </w:smartTag>
      </w:smartTag>
      <w:r w:rsidRPr="00C5494E">
        <w:rPr>
          <w:bCs/>
        </w:rPr>
        <w:t xml:space="preserve"> are the two </w:t>
      </w:r>
      <w:r w:rsidR="000F4A58" w:rsidRPr="00C5494E">
        <w:rPr>
          <w:bCs/>
        </w:rPr>
        <w:t>ABBMN</w:t>
      </w:r>
      <w:r w:rsidRPr="00C5494E">
        <w:rPr>
          <w:bCs/>
        </w:rPr>
        <w:t xml:space="preserve"> countries with the lowest percentage of urban population (24</w:t>
      </w:r>
      <w:r w:rsidR="000F4A58" w:rsidRPr="00C5494E">
        <w:rPr>
          <w:bCs/>
        </w:rPr>
        <w:t> per cent</w:t>
      </w:r>
      <w:r w:rsidRPr="00C5494E">
        <w:rPr>
          <w:bCs/>
        </w:rPr>
        <w:t xml:space="preserve"> and 17 </w:t>
      </w:r>
      <w:r w:rsidR="000F4A58" w:rsidRPr="00C5494E">
        <w:rPr>
          <w:bCs/>
        </w:rPr>
        <w:t>per cent,</w:t>
      </w:r>
      <w:r w:rsidRPr="00C5494E">
        <w:rPr>
          <w:bCs/>
        </w:rPr>
        <w:t xml:space="preserve"> respectively). In the case of </w:t>
      </w:r>
      <w:smartTag w:uri="urn:schemas-microsoft-com:office:smarttags" w:element="place">
        <w:smartTag w:uri="urn:schemas-microsoft-com:office:smarttags" w:element="country-region">
          <w:r w:rsidRPr="00C5494E">
            <w:rPr>
              <w:bCs/>
            </w:rPr>
            <w:t>Afghanistan</w:t>
          </w:r>
        </w:smartTag>
      </w:smartTag>
      <w:r w:rsidRPr="00C5494E">
        <w:rPr>
          <w:bCs/>
        </w:rPr>
        <w:t xml:space="preserve">, the high percentage of rural population adds to the fact that it is the largest ABBMN country, which suggests that a complete broadband coverage of the population would imply the deployment of extensive rural (wired or wireless) networks. </w:t>
      </w:r>
      <w:smartTag w:uri="urn:schemas-microsoft-com:office:smarttags" w:element="country-region">
        <w:r w:rsidRPr="00C5494E">
          <w:rPr>
            <w:bCs/>
          </w:rPr>
          <w:t>Nepal</w:t>
        </w:r>
      </w:smartTag>
      <w:r w:rsidRPr="00C5494E">
        <w:rPr>
          <w:bCs/>
        </w:rPr>
        <w:t xml:space="preserve"> has a rather </w:t>
      </w:r>
      <w:r w:rsidR="00E82816">
        <w:rPr>
          <w:bCs/>
        </w:rPr>
        <w:t>complex</w:t>
      </w:r>
      <w:r w:rsidRPr="00C5494E">
        <w:rPr>
          <w:bCs/>
        </w:rPr>
        <w:t xml:space="preserve"> population distribution for the deployment of new broadband networks, </w:t>
      </w:r>
      <w:r w:rsidR="00E82816">
        <w:rPr>
          <w:bCs/>
        </w:rPr>
        <w:t xml:space="preserve">primarily </w:t>
      </w:r>
      <w:r w:rsidRPr="00C5494E">
        <w:rPr>
          <w:bCs/>
        </w:rPr>
        <w:t>because it has the lowest percentage of urban population of ABBMN countries, and also the lowest percentage of the population living in the main urban agglomeration (</w:t>
      </w:r>
      <w:proofErr w:type="spellStart"/>
      <w:smartTag w:uri="urn:schemas-microsoft-com:office:smarttags" w:element="place">
        <w:smartTag w:uri="urn:schemas-microsoft-com:office:smarttags" w:element="City">
          <w:r w:rsidRPr="00C5494E">
            <w:rPr>
              <w:bCs/>
            </w:rPr>
            <w:t>Katmandu</w:t>
          </w:r>
        </w:smartTag>
      </w:smartTag>
      <w:proofErr w:type="spellEnd"/>
      <w:r w:rsidRPr="00C5494E">
        <w:rPr>
          <w:bCs/>
        </w:rPr>
        <w:t>).</w:t>
      </w:r>
      <w:r w:rsidR="00E13A38" w:rsidRPr="00C5494E">
        <w:rPr>
          <w:bCs/>
        </w:rPr>
        <w:t xml:space="preserve"> </w:t>
      </w:r>
    </w:p>
    <w:p w:rsidR="00E13A38" w:rsidRPr="00C5494E" w:rsidRDefault="005704BD" w:rsidP="005704BD">
      <w:pPr>
        <w:rPr>
          <w:bCs/>
        </w:rPr>
      </w:pPr>
      <w:r w:rsidRPr="00C5494E">
        <w:rPr>
          <w:bCs/>
        </w:rPr>
        <w:t>Table 3.1 shows the results of some projections on broadband penetration in ABBMN countries making some simple assumptions.</w:t>
      </w:r>
      <w:r w:rsidRPr="00C5494E">
        <w:rPr>
          <w:bCs/>
          <w:vertAlign w:val="superscript"/>
        </w:rPr>
        <w:footnoteReference w:id="22"/>
      </w:r>
      <w:r w:rsidRPr="00C5494E">
        <w:rPr>
          <w:bCs/>
        </w:rPr>
        <w:t xml:space="preserve"> Two values are estimated: the fixed broadband penetration that would be reached (i) if each household in the main urban agglomeration had a fixed broadband subscription</w:t>
      </w:r>
      <w:r w:rsidR="000F4A58" w:rsidRPr="00C5494E">
        <w:rPr>
          <w:bCs/>
        </w:rPr>
        <w:t>; and</w:t>
      </w:r>
      <w:r w:rsidRPr="00C5494E">
        <w:rPr>
          <w:bCs/>
        </w:rPr>
        <w:t xml:space="preserve"> (ii) if each household in all urban agglomerations had a fixed broadband subscription. In both estimates only household subscriptions are taken into account, due to lack of complete data on the number of businesses in ABBMN countries. Thus the theoretical results need to be taken as lower than the real fixed broadband penetration level that would be achieved by connecting the main urban agglomeration, and all urban population, respectively.</w:t>
      </w:r>
    </w:p>
    <w:p w:rsidR="005053D3" w:rsidRPr="00C5494E" w:rsidRDefault="005053D3" w:rsidP="005053D3">
      <w:pPr>
        <w:rPr>
          <w:bCs/>
        </w:rPr>
      </w:pPr>
      <w:r w:rsidRPr="00C5494E">
        <w:rPr>
          <w:bCs/>
        </w:rPr>
        <w:t xml:space="preserve">The results show that all ABBMN countries except </w:t>
      </w:r>
      <w:smartTag w:uri="urn:schemas-microsoft-com:office:smarttags" w:element="place">
        <w:smartTag w:uri="urn:schemas-microsoft-com:office:smarttags" w:element="country-region">
          <w:r w:rsidRPr="00C5494E">
            <w:rPr>
              <w:bCs/>
            </w:rPr>
            <w:t>Maldives</w:t>
          </w:r>
        </w:smartTag>
      </w:smartTag>
      <w:r w:rsidRPr="00C5494E">
        <w:rPr>
          <w:bCs/>
        </w:rPr>
        <w:t xml:space="preserve"> would achieve a higher fixed broadband penetration than they currently have</w:t>
      </w:r>
      <w:r w:rsidR="00E82816">
        <w:rPr>
          <w:bCs/>
        </w:rPr>
        <w:t>,</w:t>
      </w:r>
      <w:r w:rsidRPr="00C5494E">
        <w:rPr>
          <w:bCs/>
        </w:rPr>
        <w:t xml:space="preserve"> by connecting only the households in their main urban agglomeration. </w:t>
      </w:r>
    </w:p>
    <w:p w:rsidR="005053D3" w:rsidRPr="00C5494E" w:rsidRDefault="005704BD" w:rsidP="005704BD">
      <w:pPr>
        <w:rPr>
          <w:bCs/>
        </w:rPr>
      </w:pPr>
      <w:smartTag w:uri="urn:schemas-microsoft-com:office:smarttags" w:element="country-region">
        <w:r w:rsidRPr="00C5494E">
          <w:rPr>
            <w:bCs/>
          </w:rPr>
          <w:t>Bhutan</w:t>
        </w:r>
      </w:smartTag>
      <w:r w:rsidRPr="00C5494E">
        <w:rPr>
          <w:bCs/>
        </w:rPr>
        <w:t xml:space="preserve"> would increase by seven times its actual fixed broadband penetration by connecting only the households in </w:t>
      </w:r>
      <w:proofErr w:type="spellStart"/>
      <w:smartTag w:uri="urn:schemas-microsoft-com:office:smarttags" w:element="place">
        <w:r w:rsidRPr="00C5494E">
          <w:rPr>
            <w:bCs/>
          </w:rPr>
          <w:t>Thimphu</w:t>
        </w:r>
      </w:smartTag>
      <w:proofErr w:type="spellEnd"/>
      <w:r w:rsidRPr="00C5494E">
        <w:rPr>
          <w:bCs/>
        </w:rPr>
        <w:t xml:space="preserve">. That penetration would be doubled (up to 6.7 </w:t>
      </w:r>
      <w:r w:rsidR="000F4A58" w:rsidRPr="00C5494E">
        <w:rPr>
          <w:bCs/>
        </w:rPr>
        <w:t>per cent</w:t>
      </w:r>
      <w:r w:rsidRPr="00C5494E">
        <w:rPr>
          <w:bCs/>
        </w:rPr>
        <w:t>) if fixed broadband connections were extended to all urban households.</w:t>
      </w:r>
    </w:p>
    <w:p w:rsidR="00E13A38" w:rsidRPr="00C5494E" w:rsidRDefault="00E13A38" w:rsidP="005C4BB4">
      <w:pPr>
        <w:spacing w:before="0"/>
        <w:rPr>
          <w:bCs/>
        </w:rPr>
      </w:pPr>
    </w:p>
    <w:tbl>
      <w:tblPr>
        <w:tblStyle w:val="LightShading-Accent2"/>
        <w:tblW w:w="0" w:type="auto"/>
        <w:jc w:val="center"/>
        <w:tblLook w:val="04A0"/>
      </w:tblPr>
      <w:tblGrid>
        <w:gridCol w:w="1809"/>
        <w:gridCol w:w="2181"/>
        <w:gridCol w:w="3064"/>
        <w:gridCol w:w="2464"/>
      </w:tblGrid>
      <w:tr w:rsidR="00E13A38" w:rsidRPr="00C5494E" w:rsidTr="00E13A38">
        <w:trPr>
          <w:cnfStyle w:val="100000000000"/>
          <w:jc w:val="center"/>
        </w:trPr>
        <w:tc>
          <w:tcPr>
            <w:cnfStyle w:val="001000000000"/>
            <w:tcW w:w="9518" w:type="dxa"/>
            <w:gridSpan w:val="4"/>
            <w:tcBorders>
              <w:top w:val="single" w:sz="8" w:space="0" w:color="990033"/>
              <w:left w:val="single" w:sz="8" w:space="0" w:color="990033"/>
              <w:bottom w:val="single" w:sz="8" w:space="0" w:color="990033"/>
              <w:right w:val="single" w:sz="8" w:space="0" w:color="990033"/>
            </w:tcBorders>
            <w:shd w:val="clear" w:color="auto" w:fill="990033"/>
          </w:tcPr>
          <w:p w:rsidR="00E13A38" w:rsidRPr="00C5494E" w:rsidRDefault="00E13A38" w:rsidP="000F4A58">
            <w:pPr>
              <w:pStyle w:val="TableNoTitle"/>
              <w:ind w:left="1191" w:hanging="1191"/>
              <w:rPr>
                <w:lang w:val="en-GB"/>
              </w:rPr>
            </w:pPr>
            <w:r w:rsidRPr="00C5494E">
              <w:rPr>
                <w:lang w:val="en-GB"/>
              </w:rPr>
              <w:t>Table 3.1:</w:t>
            </w:r>
            <w:r w:rsidR="000F4A58" w:rsidRPr="00C5494E">
              <w:rPr>
                <w:lang w:val="en-GB"/>
              </w:rPr>
              <w:tab/>
            </w:r>
            <w:r w:rsidRPr="00C5494E">
              <w:rPr>
                <w:lang w:val="en-GB"/>
              </w:rPr>
              <w:t>Theoretical broadband penetration in ABBMN countries depending on demographic factors</w:t>
            </w:r>
          </w:p>
        </w:tc>
      </w:tr>
      <w:tr w:rsidR="00E13A38" w:rsidRPr="00C5494E" w:rsidTr="00E13A38">
        <w:trPr>
          <w:cnfStyle w:val="000000100000"/>
          <w:jc w:val="center"/>
        </w:trPr>
        <w:tc>
          <w:tcPr>
            <w:cnfStyle w:val="001000000000"/>
            <w:tcW w:w="1809" w:type="dxa"/>
            <w:tcBorders>
              <w:top w:val="single" w:sz="8" w:space="0" w:color="990033"/>
              <w:left w:val="single" w:sz="8" w:space="0" w:color="990033"/>
              <w:bottom w:val="single" w:sz="8" w:space="0" w:color="990033"/>
              <w:right w:val="single" w:sz="8" w:space="0" w:color="990033"/>
            </w:tcBorders>
          </w:tcPr>
          <w:p w:rsidR="00E13A38" w:rsidRPr="00C5494E" w:rsidRDefault="00E13A38" w:rsidP="00A71DEE">
            <w:pPr>
              <w:pStyle w:val="Tablehead"/>
              <w:rPr>
                <w:lang w:val="en-GB"/>
              </w:rPr>
            </w:pPr>
          </w:p>
        </w:tc>
        <w:tc>
          <w:tcPr>
            <w:tcW w:w="2181" w:type="dxa"/>
            <w:tcBorders>
              <w:top w:val="single" w:sz="8" w:space="0" w:color="990033"/>
              <w:left w:val="single" w:sz="8" w:space="0" w:color="990033"/>
              <w:bottom w:val="single" w:sz="8" w:space="0" w:color="990033"/>
              <w:right w:val="single" w:sz="8" w:space="0" w:color="990033"/>
            </w:tcBorders>
            <w:vAlign w:val="center"/>
          </w:tcPr>
          <w:p w:rsidR="00E13A38" w:rsidRPr="00C5494E" w:rsidRDefault="00E13A38" w:rsidP="00A71DEE">
            <w:pPr>
              <w:pStyle w:val="Tablehead"/>
              <w:cnfStyle w:val="000000100000"/>
              <w:rPr>
                <w:lang w:val="en-GB"/>
              </w:rPr>
            </w:pPr>
            <w:r w:rsidRPr="00C5494E">
              <w:rPr>
                <w:lang w:val="en-GB"/>
              </w:rPr>
              <w:t>Current fixed broadband penetration</w:t>
            </w:r>
          </w:p>
        </w:tc>
        <w:tc>
          <w:tcPr>
            <w:tcW w:w="5528" w:type="dxa"/>
            <w:gridSpan w:val="2"/>
            <w:tcBorders>
              <w:top w:val="single" w:sz="8" w:space="0" w:color="990033"/>
              <w:left w:val="single" w:sz="8" w:space="0" w:color="990033"/>
              <w:bottom w:val="single" w:sz="8" w:space="0" w:color="990033"/>
              <w:right w:val="single" w:sz="8" w:space="0" w:color="990033"/>
            </w:tcBorders>
            <w:vAlign w:val="center"/>
          </w:tcPr>
          <w:p w:rsidR="00E13A38" w:rsidRPr="00C5494E" w:rsidRDefault="00E13A38" w:rsidP="00A71DEE">
            <w:pPr>
              <w:pStyle w:val="Tablehead"/>
              <w:cnfStyle w:val="000000100000"/>
              <w:rPr>
                <w:lang w:val="en-GB"/>
              </w:rPr>
            </w:pPr>
            <w:r w:rsidRPr="00C5494E">
              <w:rPr>
                <w:lang w:val="en-GB"/>
              </w:rPr>
              <w:t>Theoretical fixed broadband penetration if</w:t>
            </w:r>
          </w:p>
        </w:tc>
      </w:tr>
      <w:tr w:rsidR="00E13A38" w:rsidRPr="00C5494E" w:rsidTr="00E13A38">
        <w:trPr>
          <w:jc w:val="center"/>
        </w:trPr>
        <w:tc>
          <w:tcPr>
            <w:cnfStyle w:val="001000000000"/>
            <w:tcW w:w="1809" w:type="dxa"/>
            <w:tcBorders>
              <w:top w:val="single" w:sz="8" w:space="0" w:color="990033"/>
              <w:left w:val="single" w:sz="8" w:space="0" w:color="990033"/>
              <w:bottom w:val="single" w:sz="8" w:space="0" w:color="990033"/>
              <w:right w:val="single" w:sz="8" w:space="0" w:color="990033"/>
            </w:tcBorders>
            <w:vAlign w:val="center"/>
          </w:tcPr>
          <w:p w:rsidR="00E13A38" w:rsidRPr="00C5494E" w:rsidRDefault="00E13A38" w:rsidP="00A71DEE">
            <w:pPr>
              <w:pStyle w:val="Tablehead"/>
              <w:rPr>
                <w:lang w:val="en-GB"/>
              </w:rPr>
            </w:pPr>
            <w:r w:rsidRPr="00C5494E">
              <w:rPr>
                <w:lang w:val="en-GB"/>
              </w:rPr>
              <w:t>Economy</w:t>
            </w:r>
          </w:p>
        </w:tc>
        <w:tc>
          <w:tcPr>
            <w:tcW w:w="2181" w:type="dxa"/>
            <w:tcBorders>
              <w:top w:val="single" w:sz="8" w:space="0" w:color="990033"/>
              <w:left w:val="single" w:sz="8" w:space="0" w:color="990033"/>
              <w:bottom w:val="single" w:sz="8" w:space="0" w:color="990033"/>
              <w:right w:val="single" w:sz="8" w:space="0" w:color="990033"/>
            </w:tcBorders>
            <w:vAlign w:val="center"/>
          </w:tcPr>
          <w:p w:rsidR="00E13A38" w:rsidRPr="00C5494E" w:rsidRDefault="00E13A38" w:rsidP="00A71DEE">
            <w:pPr>
              <w:pStyle w:val="Tablehead"/>
              <w:cnfStyle w:val="000000000000"/>
              <w:rPr>
                <w:lang w:val="en-GB"/>
              </w:rPr>
            </w:pPr>
            <w:r w:rsidRPr="00C5494E">
              <w:rPr>
                <w:lang w:val="en-GB"/>
              </w:rPr>
              <w:t>2009</w:t>
            </w:r>
            <w:r w:rsidR="000F4A58" w:rsidRPr="00C5494E">
              <w:rPr>
                <w:lang w:val="en-GB"/>
              </w:rPr>
              <w:br/>
              <w:t>(%)</w:t>
            </w:r>
          </w:p>
        </w:tc>
        <w:tc>
          <w:tcPr>
            <w:tcW w:w="3064" w:type="dxa"/>
            <w:tcBorders>
              <w:top w:val="single" w:sz="8" w:space="0" w:color="990033"/>
              <w:left w:val="single" w:sz="8" w:space="0" w:color="990033"/>
              <w:bottom w:val="single" w:sz="8" w:space="0" w:color="990033"/>
              <w:right w:val="single" w:sz="8" w:space="0" w:color="990033"/>
            </w:tcBorders>
            <w:vAlign w:val="center"/>
          </w:tcPr>
          <w:p w:rsidR="00E13A38" w:rsidRPr="00C5494E" w:rsidRDefault="000F4A58" w:rsidP="00A71DEE">
            <w:pPr>
              <w:pStyle w:val="Tablehead"/>
              <w:cnfStyle w:val="000000000000"/>
              <w:rPr>
                <w:lang w:val="en-GB"/>
              </w:rPr>
            </w:pPr>
            <w:r w:rsidRPr="00C5494E">
              <w:rPr>
                <w:lang w:val="en-GB"/>
              </w:rPr>
              <w:t xml:space="preserve">each </w:t>
            </w:r>
            <w:r w:rsidR="00E13A38" w:rsidRPr="00C5494E">
              <w:rPr>
                <w:lang w:val="en-GB"/>
              </w:rPr>
              <w:t>household in the main urban agglomeration had a broadband subscription (2007)</w:t>
            </w:r>
          </w:p>
        </w:tc>
        <w:tc>
          <w:tcPr>
            <w:tcW w:w="2464" w:type="dxa"/>
            <w:tcBorders>
              <w:top w:val="single" w:sz="8" w:space="0" w:color="990033"/>
              <w:left w:val="single" w:sz="8" w:space="0" w:color="990033"/>
              <w:bottom w:val="single" w:sz="8" w:space="0" w:color="990033"/>
              <w:right w:val="single" w:sz="8" w:space="0" w:color="990033"/>
            </w:tcBorders>
            <w:vAlign w:val="center"/>
          </w:tcPr>
          <w:p w:rsidR="00E13A38" w:rsidRPr="00C5494E" w:rsidRDefault="000F4A58" w:rsidP="00A71DEE">
            <w:pPr>
              <w:pStyle w:val="Tablehead"/>
              <w:cnfStyle w:val="000000000000"/>
              <w:rPr>
                <w:lang w:val="en-GB"/>
              </w:rPr>
            </w:pPr>
            <w:r w:rsidRPr="00C5494E">
              <w:rPr>
                <w:lang w:val="en-GB"/>
              </w:rPr>
              <w:t xml:space="preserve">each </w:t>
            </w:r>
            <w:r w:rsidR="00E13A38" w:rsidRPr="00C5494E">
              <w:rPr>
                <w:lang w:val="en-GB"/>
              </w:rPr>
              <w:t>urban household had a broadband subscription (2007)</w:t>
            </w:r>
          </w:p>
        </w:tc>
      </w:tr>
      <w:tr w:rsidR="00E13A38" w:rsidRPr="00C5494E" w:rsidTr="00E13A38">
        <w:trPr>
          <w:cnfStyle w:val="000000100000"/>
          <w:jc w:val="center"/>
        </w:trPr>
        <w:tc>
          <w:tcPr>
            <w:cnfStyle w:val="001000000000"/>
            <w:tcW w:w="1809" w:type="dxa"/>
            <w:tcBorders>
              <w:top w:val="single" w:sz="8" w:space="0" w:color="990033"/>
              <w:left w:val="single" w:sz="8" w:space="0" w:color="990033"/>
              <w:bottom w:val="nil"/>
              <w:right w:val="single" w:sz="8" w:space="0" w:color="990033"/>
            </w:tcBorders>
          </w:tcPr>
          <w:p w:rsidR="00E13A38" w:rsidRPr="00C5494E" w:rsidRDefault="00E13A38" w:rsidP="00A71DEE">
            <w:pPr>
              <w:pStyle w:val="Tabletext"/>
            </w:pPr>
            <w:r w:rsidRPr="00C5494E">
              <w:t>Maldives</w:t>
            </w:r>
          </w:p>
        </w:tc>
        <w:tc>
          <w:tcPr>
            <w:tcW w:w="2181" w:type="dxa"/>
            <w:tcBorders>
              <w:top w:val="single" w:sz="8" w:space="0" w:color="990033"/>
              <w:left w:val="single" w:sz="8" w:space="0" w:color="990033"/>
              <w:bottom w:val="nil"/>
              <w:right w:val="single" w:sz="8" w:space="0" w:color="990033"/>
            </w:tcBorders>
          </w:tcPr>
          <w:p w:rsidR="00E13A38" w:rsidRPr="00C5494E" w:rsidRDefault="00E13A38" w:rsidP="000F4A58">
            <w:pPr>
              <w:pStyle w:val="Tabletext"/>
              <w:jc w:val="center"/>
              <w:cnfStyle w:val="000000100000"/>
            </w:pPr>
            <w:r w:rsidRPr="00C5494E">
              <w:t>5.78</w:t>
            </w:r>
          </w:p>
        </w:tc>
        <w:tc>
          <w:tcPr>
            <w:tcW w:w="3064" w:type="dxa"/>
            <w:tcBorders>
              <w:top w:val="single" w:sz="8" w:space="0" w:color="990033"/>
              <w:left w:val="single" w:sz="8" w:space="0" w:color="990033"/>
              <w:bottom w:val="nil"/>
              <w:right w:val="single" w:sz="8" w:space="0" w:color="990033"/>
            </w:tcBorders>
          </w:tcPr>
          <w:p w:rsidR="00E13A38" w:rsidRPr="00C5494E" w:rsidRDefault="00E13A38" w:rsidP="005704BD">
            <w:pPr>
              <w:pStyle w:val="Tabletext"/>
              <w:jc w:val="center"/>
              <w:cnfStyle w:val="000000100000"/>
            </w:pPr>
            <w:r w:rsidRPr="00C5494E">
              <w:t>5.45%</w:t>
            </w:r>
          </w:p>
        </w:tc>
        <w:tc>
          <w:tcPr>
            <w:tcW w:w="2464" w:type="dxa"/>
            <w:tcBorders>
              <w:top w:val="single" w:sz="8" w:space="0" w:color="990033"/>
              <w:left w:val="single" w:sz="8" w:space="0" w:color="990033"/>
              <w:bottom w:val="nil"/>
              <w:right w:val="single" w:sz="8" w:space="0" w:color="990033"/>
            </w:tcBorders>
          </w:tcPr>
          <w:p w:rsidR="00E13A38" w:rsidRPr="00C5494E" w:rsidRDefault="00E13A38" w:rsidP="005704BD">
            <w:pPr>
              <w:pStyle w:val="Tabletext"/>
              <w:jc w:val="center"/>
              <w:cnfStyle w:val="000000100000"/>
            </w:pPr>
            <w:r w:rsidRPr="00C5494E">
              <w:t>5.50%</w:t>
            </w:r>
          </w:p>
        </w:tc>
      </w:tr>
      <w:tr w:rsidR="00E13A38" w:rsidRPr="00C5494E" w:rsidTr="00E13A38">
        <w:trPr>
          <w:jc w:val="center"/>
        </w:trPr>
        <w:tc>
          <w:tcPr>
            <w:cnfStyle w:val="001000000000"/>
            <w:tcW w:w="1809" w:type="dxa"/>
            <w:tcBorders>
              <w:top w:val="nil"/>
              <w:left w:val="single" w:sz="8" w:space="0" w:color="990033"/>
              <w:bottom w:val="nil"/>
              <w:right w:val="single" w:sz="8" w:space="0" w:color="990033"/>
            </w:tcBorders>
          </w:tcPr>
          <w:p w:rsidR="00E13A38" w:rsidRPr="00C5494E" w:rsidRDefault="00E13A38" w:rsidP="00A71DEE">
            <w:pPr>
              <w:pStyle w:val="Tabletext"/>
            </w:pPr>
            <w:r w:rsidRPr="00C5494E">
              <w:t>Bhutan</w:t>
            </w:r>
          </w:p>
        </w:tc>
        <w:tc>
          <w:tcPr>
            <w:tcW w:w="2181" w:type="dxa"/>
            <w:tcBorders>
              <w:top w:val="nil"/>
              <w:left w:val="single" w:sz="8" w:space="0" w:color="990033"/>
              <w:bottom w:val="nil"/>
              <w:right w:val="single" w:sz="8" w:space="0" w:color="990033"/>
            </w:tcBorders>
          </w:tcPr>
          <w:p w:rsidR="00E13A38" w:rsidRPr="00C5494E" w:rsidRDefault="00E13A38" w:rsidP="000F4A58">
            <w:pPr>
              <w:pStyle w:val="Tabletext"/>
              <w:jc w:val="center"/>
              <w:cnfStyle w:val="000000000000"/>
            </w:pPr>
            <w:r w:rsidRPr="00C5494E">
              <w:t>0.44</w:t>
            </w:r>
          </w:p>
        </w:tc>
        <w:tc>
          <w:tcPr>
            <w:tcW w:w="3064" w:type="dxa"/>
            <w:tcBorders>
              <w:top w:val="nil"/>
              <w:left w:val="single" w:sz="8" w:space="0" w:color="990033"/>
              <w:bottom w:val="nil"/>
              <w:right w:val="single" w:sz="8" w:space="0" w:color="990033"/>
            </w:tcBorders>
          </w:tcPr>
          <w:p w:rsidR="00E13A38" w:rsidRPr="00C5494E" w:rsidRDefault="00E13A38" w:rsidP="005704BD">
            <w:pPr>
              <w:pStyle w:val="Tabletext"/>
              <w:jc w:val="center"/>
              <w:cnfStyle w:val="000000000000"/>
            </w:pPr>
            <w:r w:rsidRPr="00C5494E">
              <w:t>3.22%</w:t>
            </w:r>
          </w:p>
        </w:tc>
        <w:tc>
          <w:tcPr>
            <w:tcW w:w="2464" w:type="dxa"/>
            <w:tcBorders>
              <w:top w:val="nil"/>
              <w:left w:val="single" w:sz="8" w:space="0" w:color="990033"/>
              <w:bottom w:val="nil"/>
              <w:right w:val="single" w:sz="8" w:space="0" w:color="990033"/>
            </w:tcBorders>
          </w:tcPr>
          <w:p w:rsidR="00E13A38" w:rsidRPr="00C5494E" w:rsidRDefault="00E13A38" w:rsidP="005704BD">
            <w:pPr>
              <w:pStyle w:val="Tabletext"/>
              <w:jc w:val="center"/>
              <w:cnfStyle w:val="000000000000"/>
            </w:pPr>
            <w:r w:rsidRPr="00C5494E">
              <w:t>6.66%</w:t>
            </w:r>
          </w:p>
        </w:tc>
      </w:tr>
      <w:tr w:rsidR="00E13A38" w:rsidRPr="00C5494E" w:rsidTr="00E13A38">
        <w:trPr>
          <w:cnfStyle w:val="000000100000"/>
          <w:jc w:val="center"/>
        </w:trPr>
        <w:tc>
          <w:tcPr>
            <w:cnfStyle w:val="001000000000"/>
            <w:tcW w:w="1809" w:type="dxa"/>
            <w:tcBorders>
              <w:top w:val="nil"/>
              <w:left w:val="single" w:sz="8" w:space="0" w:color="990033"/>
              <w:bottom w:val="nil"/>
              <w:right w:val="single" w:sz="8" w:space="0" w:color="990033"/>
            </w:tcBorders>
          </w:tcPr>
          <w:p w:rsidR="00E13A38" w:rsidRPr="00C5494E" w:rsidRDefault="00E13A38" w:rsidP="00A71DEE">
            <w:pPr>
              <w:pStyle w:val="Tabletext"/>
            </w:pPr>
            <w:r w:rsidRPr="00C5494E">
              <w:t>Bangladesh</w:t>
            </w:r>
          </w:p>
        </w:tc>
        <w:tc>
          <w:tcPr>
            <w:tcW w:w="2181" w:type="dxa"/>
            <w:tcBorders>
              <w:top w:val="nil"/>
              <w:left w:val="single" w:sz="8" w:space="0" w:color="990033"/>
              <w:bottom w:val="nil"/>
              <w:right w:val="single" w:sz="8" w:space="0" w:color="990033"/>
            </w:tcBorders>
          </w:tcPr>
          <w:p w:rsidR="00E13A38" w:rsidRPr="00C5494E" w:rsidRDefault="00E13A38" w:rsidP="000F4A58">
            <w:pPr>
              <w:pStyle w:val="Tabletext"/>
              <w:jc w:val="center"/>
              <w:cnfStyle w:val="000000100000"/>
            </w:pPr>
            <w:r w:rsidRPr="00C5494E">
              <w:t>0.03</w:t>
            </w:r>
          </w:p>
        </w:tc>
        <w:tc>
          <w:tcPr>
            <w:tcW w:w="3064" w:type="dxa"/>
            <w:tcBorders>
              <w:top w:val="nil"/>
              <w:left w:val="single" w:sz="8" w:space="0" w:color="990033"/>
              <w:bottom w:val="nil"/>
              <w:right w:val="single" w:sz="8" w:space="0" w:color="990033"/>
            </w:tcBorders>
          </w:tcPr>
          <w:p w:rsidR="00E13A38" w:rsidRPr="00C5494E" w:rsidRDefault="00E13A38" w:rsidP="005704BD">
            <w:pPr>
              <w:pStyle w:val="Tabletext"/>
              <w:jc w:val="center"/>
              <w:cnfStyle w:val="000000100000"/>
            </w:pPr>
            <w:r w:rsidRPr="00C5494E">
              <w:t>1.61%</w:t>
            </w:r>
          </w:p>
        </w:tc>
        <w:tc>
          <w:tcPr>
            <w:tcW w:w="2464" w:type="dxa"/>
            <w:tcBorders>
              <w:top w:val="nil"/>
              <w:left w:val="single" w:sz="8" w:space="0" w:color="990033"/>
              <w:bottom w:val="nil"/>
              <w:right w:val="single" w:sz="8" w:space="0" w:color="990033"/>
            </w:tcBorders>
          </w:tcPr>
          <w:p w:rsidR="00E13A38" w:rsidRPr="00C5494E" w:rsidRDefault="00E13A38" w:rsidP="005704BD">
            <w:pPr>
              <w:pStyle w:val="Tabletext"/>
              <w:jc w:val="center"/>
              <w:cnfStyle w:val="000000100000"/>
            </w:pPr>
            <w:r w:rsidRPr="00C5494E">
              <w:t>5.03%</w:t>
            </w:r>
          </w:p>
        </w:tc>
      </w:tr>
      <w:tr w:rsidR="00E13A38" w:rsidRPr="00C5494E" w:rsidTr="00E13A38">
        <w:trPr>
          <w:jc w:val="center"/>
        </w:trPr>
        <w:tc>
          <w:tcPr>
            <w:cnfStyle w:val="001000000000"/>
            <w:tcW w:w="1809" w:type="dxa"/>
            <w:tcBorders>
              <w:top w:val="nil"/>
              <w:left w:val="single" w:sz="8" w:space="0" w:color="990033"/>
              <w:bottom w:val="nil"/>
              <w:right w:val="single" w:sz="8" w:space="0" w:color="990033"/>
            </w:tcBorders>
          </w:tcPr>
          <w:p w:rsidR="00E13A38" w:rsidRPr="00C5494E" w:rsidRDefault="00E13A38" w:rsidP="00A71DEE">
            <w:pPr>
              <w:pStyle w:val="Tabletext"/>
            </w:pPr>
            <w:r w:rsidRPr="00C5494E">
              <w:t>Nepal</w:t>
            </w:r>
          </w:p>
        </w:tc>
        <w:tc>
          <w:tcPr>
            <w:tcW w:w="2181" w:type="dxa"/>
            <w:tcBorders>
              <w:top w:val="nil"/>
              <w:left w:val="single" w:sz="8" w:space="0" w:color="990033"/>
              <w:bottom w:val="nil"/>
              <w:right w:val="single" w:sz="8" w:space="0" w:color="990033"/>
            </w:tcBorders>
          </w:tcPr>
          <w:p w:rsidR="00E13A38" w:rsidRPr="00C5494E" w:rsidRDefault="00E13A38" w:rsidP="000F4A58">
            <w:pPr>
              <w:pStyle w:val="Tabletext"/>
              <w:jc w:val="center"/>
              <w:cnfStyle w:val="000000000000"/>
            </w:pPr>
            <w:r w:rsidRPr="00C5494E">
              <w:t>0.26</w:t>
            </w:r>
          </w:p>
        </w:tc>
        <w:tc>
          <w:tcPr>
            <w:tcW w:w="3064" w:type="dxa"/>
            <w:tcBorders>
              <w:top w:val="nil"/>
              <w:left w:val="single" w:sz="8" w:space="0" w:color="990033"/>
              <w:bottom w:val="nil"/>
              <w:right w:val="single" w:sz="8" w:space="0" w:color="990033"/>
            </w:tcBorders>
          </w:tcPr>
          <w:p w:rsidR="00E13A38" w:rsidRPr="00C5494E" w:rsidRDefault="00E13A38" w:rsidP="005704BD">
            <w:pPr>
              <w:pStyle w:val="Tabletext"/>
              <w:jc w:val="center"/>
              <w:cnfStyle w:val="000000000000"/>
            </w:pPr>
            <w:r w:rsidRPr="00C5494E">
              <w:t>0.53%</w:t>
            </w:r>
          </w:p>
        </w:tc>
        <w:tc>
          <w:tcPr>
            <w:tcW w:w="2464" w:type="dxa"/>
            <w:tcBorders>
              <w:top w:val="nil"/>
              <w:left w:val="single" w:sz="8" w:space="0" w:color="990033"/>
              <w:bottom w:val="nil"/>
              <w:right w:val="single" w:sz="8" w:space="0" w:color="990033"/>
            </w:tcBorders>
          </w:tcPr>
          <w:p w:rsidR="00E13A38" w:rsidRPr="00C5494E" w:rsidRDefault="00E13A38" w:rsidP="005704BD">
            <w:pPr>
              <w:pStyle w:val="Tabletext"/>
              <w:jc w:val="center"/>
              <w:cnfStyle w:val="000000000000"/>
            </w:pPr>
            <w:r w:rsidRPr="00C5494E">
              <w:t>2.77%</w:t>
            </w:r>
          </w:p>
        </w:tc>
      </w:tr>
      <w:tr w:rsidR="00E13A38" w:rsidRPr="00C5494E" w:rsidTr="00E13A38">
        <w:trPr>
          <w:cnfStyle w:val="000000100000"/>
          <w:jc w:val="center"/>
        </w:trPr>
        <w:tc>
          <w:tcPr>
            <w:cnfStyle w:val="001000000000"/>
            <w:tcW w:w="1809" w:type="dxa"/>
            <w:tcBorders>
              <w:top w:val="nil"/>
              <w:left w:val="single" w:sz="8" w:space="0" w:color="990033"/>
              <w:bottom w:val="single" w:sz="8" w:space="0" w:color="990033"/>
              <w:right w:val="single" w:sz="8" w:space="0" w:color="990033"/>
            </w:tcBorders>
          </w:tcPr>
          <w:p w:rsidR="00E13A38" w:rsidRPr="00C5494E" w:rsidRDefault="00E13A38" w:rsidP="00A71DEE">
            <w:pPr>
              <w:pStyle w:val="Tabletext"/>
            </w:pPr>
            <w:r w:rsidRPr="00C5494E">
              <w:t>Afghanistan</w:t>
            </w:r>
          </w:p>
        </w:tc>
        <w:tc>
          <w:tcPr>
            <w:tcW w:w="2181" w:type="dxa"/>
            <w:tcBorders>
              <w:top w:val="nil"/>
              <w:left w:val="single" w:sz="8" w:space="0" w:color="990033"/>
              <w:bottom w:val="single" w:sz="8" w:space="0" w:color="990033"/>
              <w:right w:val="single" w:sz="8" w:space="0" w:color="990033"/>
            </w:tcBorders>
          </w:tcPr>
          <w:p w:rsidR="00E13A38" w:rsidRPr="00C5494E" w:rsidRDefault="00E13A38" w:rsidP="000F4A58">
            <w:pPr>
              <w:pStyle w:val="Tabletext"/>
              <w:jc w:val="center"/>
              <w:cnfStyle w:val="000000100000"/>
            </w:pPr>
            <w:r w:rsidRPr="00C5494E">
              <w:t>0.00</w:t>
            </w:r>
          </w:p>
        </w:tc>
        <w:tc>
          <w:tcPr>
            <w:tcW w:w="3064" w:type="dxa"/>
            <w:tcBorders>
              <w:top w:val="nil"/>
              <w:left w:val="single" w:sz="8" w:space="0" w:color="990033"/>
              <w:bottom w:val="single" w:sz="8" w:space="0" w:color="990033"/>
              <w:right w:val="single" w:sz="8" w:space="0" w:color="990033"/>
            </w:tcBorders>
          </w:tcPr>
          <w:p w:rsidR="00E13A38" w:rsidRPr="00C5494E" w:rsidRDefault="00E13A38" w:rsidP="005704BD">
            <w:pPr>
              <w:pStyle w:val="Tabletext"/>
              <w:jc w:val="center"/>
              <w:cnfStyle w:val="000000100000"/>
            </w:pPr>
            <w:r w:rsidRPr="00C5494E">
              <w:t>1.57%</w:t>
            </w:r>
          </w:p>
        </w:tc>
        <w:tc>
          <w:tcPr>
            <w:tcW w:w="2464" w:type="dxa"/>
            <w:tcBorders>
              <w:top w:val="nil"/>
              <w:left w:val="single" w:sz="8" w:space="0" w:color="990033"/>
              <w:bottom w:val="single" w:sz="8" w:space="0" w:color="990033"/>
              <w:right w:val="single" w:sz="8" w:space="0" w:color="990033"/>
            </w:tcBorders>
          </w:tcPr>
          <w:p w:rsidR="00E13A38" w:rsidRPr="00C5494E" w:rsidRDefault="00E13A38" w:rsidP="005704BD">
            <w:pPr>
              <w:pStyle w:val="Tabletext"/>
              <w:jc w:val="center"/>
              <w:cnfStyle w:val="000000100000"/>
            </w:pPr>
            <w:r w:rsidRPr="00C5494E">
              <w:t>3.07%</w:t>
            </w:r>
          </w:p>
        </w:tc>
      </w:tr>
      <w:tr w:rsidR="00E13A38" w:rsidRPr="00C5494E" w:rsidTr="00E13A38">
        <w:trPr>
          <w:jc w:val="center"/>
        </w:trPr>
        <w:tc>
          <w:tcPr>
            <w:cnfStyle w:val="001000000000"/>
            <w:tcW w:w="9518" w:type="dxa"/>
            <w:gridSpan w:val="4"/>
            <w:tcBorders>
              <w:top w:val="single" w:sz="8" w:space="0" w:color="990033"/>
              <w:left w:val="single" w:sz="8" w:space="0" w:color="990033"/>
              <w:bottom w:val="single" w:sz="8" w:space="0" w:color="990033"/>
              <w:right w:val="single" w:sz="8" w:space="0" w:color="990033"/>
            </w:tcBorders>
          </w:tcPr>
          <w:p w:rsidR="00E13A38" w:rsidRPr="00C5494E" w:rsidRDefault="00E13A38" w:rsidP="00A71DEE">
            <w:pPr>
              <w:pStyle w:val="Tabletext"/>
              <w:rPr>
                <w:b w:val="0"/>
                <w:bCs w:val="0"/>
              </w:rPr>
            </w:pPr>
            <w:r w:rsidRPr="00C5494E">
              <w:rPr>
                <w:b w:val="0"/>
                <w:bCs w:val="0"/>
                <w:i/>
                <w:iCs/>
              </w:rPr>
              <w:t>Source</w:t>
            </w:r>
            <w:r w:rsidRPr="00C5494E">
              <w:rPr>
                <w:b w:val="0"/>
                <w:bCs w:val="0"/>
              </w:rPr>
              <w:t>: ITU for household size and fixed broadband penetration, UNSD for population data.</w:t>
            </w:r>
          </w:p>
        </w:tc>
      </w:tr>
    </w:tbl>
    <w:p w:rsidR="00E13A38" w:rsidRPr="00C5494E" w:rsidRDefault="005704BD" w:rsidP="005704BD">
      <w:pPr>
        <w:rPr>
          <w:bCs/>
        </w:rPr>
      </w:pPr>
      <w:r w:rsidRPr="00C5494E">
        <w:rPr>
          <w:bCs/>
        </w:rPr>
        <w:lastRenderedPageBreak/>
        <w:t xml:space="preserve">Despite its high population density, </w:t>
      </w:r>
      <w:smartTag w:uri="urn:schemas-microsoft-com:office:smarttags" w:element="country-region">
        <w:r w:rsidRPr="00C5494E">
          <w:rPr>
            <w:bCs/>
          </w:rPr>
          <w:t>Bangladesh</w:t>
        </w:r>
      </w:smartTag>
      <w:r w:rsidRPr="00C5494E">
        <w:rPr>
          <w:bCs/>
        </w:rPr>
        <w:t xml:space="preserve"> would achieve only a 1.6 </w:t>
      </w:r>
      <w:r w:rsidR="000F4A58" w:rsidRPr="00C5494E">
        <w:rPr>
          <w:bCs/>
        </w:rPr>
        <w:t>per cent</w:t>
      </w:r>
      <w:r w:rsidRPr="00C5494E">
        <w:rPr>
          <w:bCs/>
        </w:rPr>
        <w:t xml:space="preserve"> fixed broadband penetration by connecting the households in </w:t>
      </w:r>
      <w:smartTag w:uri="urn:schemas-microsoft-com:office:smarttags" w:element="place">
        <w:r w:rsidRPr="00C5494E">
          <w:rPr>
            <w:bCs/>
          </w:rPr>
          <w:t>Dhaka</w:t>
        </w:r>
      </w:smartTag>
      <w:r w:rsidRPr="00C5494E">
        <w:rPr>
          <w:bCs/>
        </w:rPr>
        <w:t xml:space="preserve">. </w:t>
      </w:r>
      <w:smartTag w:uri="urn:schemas-microsoft-com:office:smarttags" w:element="country-region">
        <w:r w:rsidRPr="00C5494E">
          <w:rPr>
            <w:bCs/>
          </w:rPr>
          <w:t>Afghanistan</w:t>
        </w:r>
      </w:smartTag>
      <w:r w:rsidRPr="00C5494E">
        <w:rPr>
          <w:bCs/>
        </w:rPr>
        <w:t>, which is a much more sparsely populated country (42 inhab</w:t>
      </w:r>
      <w:r w:rsidR="000F4A58" w:rsidRPr="00C5494E">
        <w:rPr>
          <w:bCs/>
        </w:rPr>
        <w:t>.</w:t>
      </w:r>
      <w:r w:rsidRPr="00C5494E">
        <w:rPr>
          <w:bCs/>
        </w:rPr>
        <w:t>/km² compared to 1’102 inhab</w:t>
      </w:r>
      <w:r w:rsidR="000F4A58" w:rsidRPr="00C5494E">
        <w:rPr>
          <w:bCs/>
        </w:rPr>
        <w:t>.</w:t>
      </w:r>
      <w:r w:rsidRPr="00C5494E">
        <w:rPr>
          <w:bCs/>
        </w:rPr>
        <w:t xml:space="preserve">/km² in </w:t>
      </w:r>
      <w:smartTag w:uri="urn:schemas-microsoft-com:office:smarttags" w:element="country-region">
        <w:r w:rsidRPr="00C5494E">
          <w:rPr>
            <w:bCs/>
          </w:rPr>
          <w:t>Bangladesh</w:t>
        </w:r>
      </w:smartTag>
      <w:r w:rsidRPr="00C5494E">
        <w:rPr>
          <w:bCs/>
        </w:rPr>
        <w:t xml:space="preserve">), would achieve a similar fixed broadband penetration by connecting only the households in </w:t>
      </w:r>
      <w:smartTag w:uri="urn:schemas-microsoft-com:office:smarttags" w:element="place">
        <w:smartTag w:uri="urn:schemas-microsoft-com:office:smarttags" w:element="City">
          <w:r w:rsidRPr="00C5494E">
            <w:rPr>
              <w:bCs/>
            </w:rPr>
            <w:t>Kabul</w:t>
          </w:r>
        </w:smartTag>
      </w:smartTag>
      <w:r w:rsidRPr="00C5494E">
        <w:rPr>
          <w:bCs/>
        </w:rPr>
        <w:t xml:space="preserve">. However, if fixed broadband connections were extended to all urban households in the country, the penetration reached in </w:t>
      </w:r>
      <w:smartTag w:uri="urn:schemas-microsoft-com:office:smarttags" w:element="country-region">
        <w:r w:rsidRPr="00C5494E">
          <w:rPr>
            <w:bCs/>
          </w:rPr>
          <w:t>Bangladesh</w:t>
        </w:r>
      </w:smartTag>
      <w:r w:rsidRPr="00C5494E">
        <w:rPr>
          <w:bCs/>
        </w:rPr>
        <w:t xml:space="preserve"> would be greater than in </w:t>
      </w:r>
      <w:smartTag w:uri="urn:schemas-microsoft-com:office:smarttags" w:element="place">
        <w:smartTag w:uri="urn:schemas-microsoft-com:office:smarttags" w:element="country-region">
          <w:r w:rsidRPr="00C5494E">
            <w:rPr>
              <w:bCs/>
            </w:rPr>
            <w:t>Afghanistan</w:t>
          </w:r>
        </w:smartTag>
      </w:smartTag>
      <w:r w:rsidRPr="00C5494E">
        <w:rPr>
          <w:bCs/>
        </w:rPr>
        <w:t xml:space="preserve"> (5 </w:t>
      </w:r>
      <w:r w:rsidR="000F4A58" w:rsidRPr="00C5494E">
        <w:rPr>
          <w:bCs/>
        </w:rPr>
        <w:t>per cent,</w:t>
      </w:r>
      <w:r w:rsidRPr="00C5494E">
        <w:rPr>
          <w:bCs/>
        </w:rPr>
        <w:t xml:space="preserve"> compared to 3 </w:t>
      </w:r>
      <w:r w:rsidR="000F4A58" w:rsidRPr="00C5494E">
        <w:rPr>
          <w:bCs/>
        </w:rPr>
        <w:t>per cent</w:t>
      </w:r>
      <w:r w:rsidRPr="00C5494E">
        <w:rPr>
          <w:bCs/>
        </w:rPr>
        <w:t>).</w:t>
      </w:r>
    </w:p>
    <w:p w:rsidR="00E13A38" w:rsidRPr="00C5494E" w:rsidRDefault="00E13A38" w:rsidP="00E13A38">
      <w:pPr>
        <w:rPr>
          <w:bCs/>
        </w:rPr>
      </w:pPr>
      <w:smartTag w:uri="urn:schemas-microsoft-com:office:smarttags" w:element="country-region">
        <w:r w:rsidRPr="00C5494E">
          <w:rPr>
            <w:bCs/>
          </w:rPr>
          <w:t>Nepal</w:t>
        </w:r>
      </w:smartTag>
      <w:r w:rsidRPr="00C5494E">
        <w:rPr>
          <w:bCs/>
        </w:rPr>
        <w:t xml:space="preserve"> would achieve the lowest fixed broadband penetration of ABBMN countries by connecting only the households in </w:t>
      </w:r>
      <w:smartTag w:uri="urn:schemas-microsoft-com:office:smarttags" w:element="place">
        <w:r w:rsidRPr="00C5494E">
          <w:rPr>
            <w:bCs/>
          </w:rPr>
          <w:t>Kathmandu</w:t>
        </w:r>
      </w:smartTag>
      <w:r w:rsidRPr="00C5494E">
        <w:rPr>
          <w:bCs/>
        </w:rPr>
        <w:t xml:space="preserve">, or all its urban households, due to the geographical dispersion of the population in the country, and the big share or rural population. </w:t>
      </w:r>
    </w:p>
    <w:p w:rsidR="00E13A38" w:rsidRPr="00C5494E" w:rsidRDefault="005704BD" w:rsidP="000F4A58">
      <w:r w:rsidRPr="00C5494E">
        <w:rPr>
          <w:bCs/>
        </w:rPr>
        <w:t xml:space="preserve">In conclusion, Table 3.1 shows how even restricting fixed broadband deployment to those areas </w:t>
      </w:r>
      <w:r w:rsidR="000F4A58" w:rsidRPr="00C5494E">
        <w:rPr>
          <w:bCs/>
        </w:rPr>
        <w:t xml:space="preserve">that </w:t>
      </w:r>
      <w:r w:rsidRPr="00C5494E">
        <w:rPr>
          <w:bCs/>
        </w:rPr>
        <w:t xml:space="preserve">are more accessible, significant progress could be made in the current fixed broadband penetration of all ABBMN countries except Maldives. On the other hand, the challenge in </w:t>
      </w:r>
      <w:smartTag w:uri="urn:schemas-microsoft-com:office:smarttags" w:element="country-region">
        <w:smartTag w:uri="urn:schemas-microsoft-com:office:smarttags" w:element="place">
          <w:r w:rsidRPr="00C5494E">
            <w:rPr>
              <w:bCs/>
            </w:rPr>
            <w:t>Maldives</w:t>
          </w:r>
        </w:smartTag>
      </w:smartTag>
      <w:r w:rsidRPr="00C5494E">
        <w:rPr>
          <w:bCs/>
        </w:rPr>
        <w:t xml:space="preserve"> is to extend fixed broadband to rural areas, </w:t>
      </w:r>
      <w:r w:rsidR="00E82816">
        <w:rPr>
          <w:bCs/>
        </w:rPr>
        <w:t xml:space="preserve">including connecting the widely dispersed islands, </w:t>
      </w:r>
      <w:r w:rsidRPr="00C5494E">
        <w:rPr>
          <w:bCs/>
        </w:rPr>
        <w:t>rather than assuring its availability in urban areas.</w:t>
      </w:r>
    </w:p>
    <w:p w:rsidR="00E13A38" w:rsidRPr="00C5494E" w:rsidRDefault="00E13A38" w:rsidP="00E13A38">
      <w:pPr>
        <w:pStyle w:val="Heading2"/>
      </w:pPr>
      <w:bookmarkStart w:id="28" w:name="_Toc273517396"/>
      <w:bookmarkStart w:id="29" w:name="_Toc273623619"/>
      <w:r w:rsidRPr="00C5494E">
        <w:t>3.2</w:t>
      </w:r>
      <w:r w:rsidRPr="00C5494E">
        <w:tab/>
        <w:t>ICT DEVELOPMENT</w:t>
      </w:r>
      <w:bookmarkEnd w:id="28"/>
      <w:bookmarkEnd w:id="29"/>
      <w:r w:rsidRPr="00C5494E">
        <w:t xml:space="preserve"> </w:t>
      </w:r>
    </w:p>
    <w:p w:rsidR="00E13A38" w:rsidRPr="00C5494E" w:rsidRDefault="00E13A38" w:rsidP="000F4A58">
      <w:pPr>
        <w:rPr>
          <w:bCs/>
        </w:rPr>
      </w:pPr>
      <w:r w:rsidRPr="00C5494E">
        <w:rPr>
          <w:bCs/>
        </w:rPr>
        <w:t>In February 2010</w:t>
      </w:r>
      <w:r w:rsidR="000F4A58" w:rsidRPr="00C5494E">
        <w:rPr>
          <w:bCs/>
        </w:rPr>
        <w:t>,</w:t>
      </w:r>
      <w:r w:rsidRPr="00C5494E">
        <w:rPr>
          <w:bCs/>
        </w:rPr>
        <w:t xml:space="preserve"> ITU presented the second edition of the ICT Development Index (IDI).</w:t>
      </w:r>
      <w:r w:rsidRPr="00C5494E">
        <w:rPr>
          <w:vertAlign w:val="superscript"/>
        </w:rPr>
        <w:footnoteReference w:id="23"/>
      </w:r>
      <w:r w:rsidRPr="00C5494E">
        <w:rPr>
          <w:bCs/>
        </w:rPr>
        <w:t xml:space="preserve"> The IDI is a useful tool to benchmark and assess ICT developments, and to monitor the digital divide. The IDI is a composite index made up of </w:t>
      </w:r>
      <w:r w:rsidR="000F4A58" w:rsidRPr="00C5494E">
        <w:rPr>
          <w:bCs/>
        </w:rPr>
        <w:t>11</w:t>
      </w:r>
      <w:r w:rsidRPr="00C5494E">
        <w:rPr>
          <w:bCs/>
        </w:rPr>
        <w:t xml:space="preserve"> different indicators, grouped into three sub-indices (Figure 3.1). The sub-indices measure ICT infrastructure and access (access sub-index), ICT use and intensity of use (use sub-index), and the capacity to use ICTs effectively (skills sub-index).</w:t>
      </w:r>
    </w:p>
    <w:p w:rsidR="00E13A38" w:rsidRPr="00C5494E" w:rsidRDefault="00E13A38" w:rsidP="007B79E8">
      <w:pPr>
        <w:spacing w:before="0"/>
        <w:rPr>
          <w:bCs/>
        </w:rPr>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7B79E8" w:rsidRPr="00C5494E" w:rsidTr="00FB239F">
        <w:trPr>
          <w:jc w:val="center"/>
        </w:trPr>
        <w:tc>
          <w:tcPr>
            <w:tcW w:w="9424" w:type="dxa"/>
            <w:shd w:val="clear" w:color="auto" w:fill="D9D9D9" w:themeFill="background1" w:themeFillShade="D9"/>
          </w:tcPr>
          <w:p w:rsidR="007B79E8" w:rsidRPr="00C5494E" w:rsidRDefault="007B79E8" w:rsidP="00E82816">
            <w:pPr>
              <w:pStyle w:val="FigureNoTitle"/>
              <w:spacing w:before="160"/>
              <w:rPr>
                <w:lang w:val="en-GB"/>
              </w:rPr>
            </w:pPr>
            <w:r w:rsidRPr="00C5494E">
              <w:rPr>
                <w:lang w:val="en-GB"/>
              </w:rPr>
              <w:t>Figure 3.1: ICT Development Index – Weighting of indicators</w:t>
            </w:r>
          </w:p>
          <w:p w:rsidR="007B79E8" w:rsidRPr="00C5494E" w:rsidRDefault="007B79E8" w:rsidP="00E82816">
            <w:pPr>
              <w:pStyle w:val="Figure"/>
              <w:spacing w:before="160"/>
              <w:rPr>
                <w:lang w:val="en-GB"/>
              </w:rPr>
            </w:pPr>
            <w:r w:rsidRPr="00C5494E">
              <w:drawing>
                <wp:inline distT="0" distB="0" distL="0" distR="0">
                  <wp:extent cx="3962400" cy="3043783"/>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duotone>
                              <a:schemeClr val="accent2">
                                <a:shade val="45000"/>
                                <a:satMod val="135000"/>
                              </a:schemeClr>
                              <a:prstClr val="white"/>
                            </a:duotone>
                          </a:blip>
                          <a:srcRect/>
                          <a:stretch>
                            <a:fillRect/>
                          </a:stretch>
                        </pic:blipFill>
                        <pic:spPr bwMode="auto">
                          <a:xfrm>
                            <a:off x="0" y="0"/>
                            <a:ext cx="3962400" cy="3043783"/>
                          </a:xfrm>
                          <a:prstGeom prst="rect">
                            <a:avLst/>
                          </a:prstGeom>
                          <a:noFill/>
                          <a:ln w="9525">
                            <a:noFill/>
                            <a:miter lim="800000"/>
                            <a:headEnd/>
                            <a:tailEnd/>
                          </a:ln>
                        </pic:spPr>
                      </pic:pic>
                    </a:graphicData>
                  </a:graphic>
                </wp:inline>
              </w:drawing>
            </w:r>
          </w:p>
          <w:p w:rsidR="007B79E8" w:rsidRPr="00C5494E" w:rsidRDefault="007B79E8" w:rsidP="007B79E8">
            <w:pPr>
              <w:pStyle w:val="Figurelegend"/>
            </w:pPr>
            <w:r w:rsidRPr="00C5494E">
              <w:t>* This corresponds to a log value of 5, which was used in the normalization step.</w:t>
            </w:r>
          </w:p>
          <w:p w:rsidR="007B79E8" w:rsidRPr="00C5494E" w:rsidRDefault="007B79E8" w:rsidP="007B79E8">
            <w:pPr>
              <w:pStyle w:val="Figurelegend"/>
              <w:spacing w:before="0"/>
            </w:pPr>
            <w:r w:rsidRPr="00C5494E">
              <w:rPr>
                <w:i/>
                <w:iCs/>
              </w:rPr>
              <w:t>Source</w:t>
            </w:r>
            <w:r w:rsidRPr="00C5494E">
              <w:t>: ITU (2010b).</w:t>
            </w:r>
          </w:p>
        </w:tc>
      </w:tr>
    </w:tbl>
    <w:p w:rsidR="00E13A38" w:rsidRPr="00C5494E" w:rsidRDefault="005704BD" w:rsidP="005704BD">
      <w:pPr>
        <w:rPr>
          <w:bCs/>
        </w:rPr>
      </w:pPr>
      <w:r w:rsidRPr="00C5494E">
        <w:rPr>
          <w:bCs/>
        </w:rPr>
        <w:lastRenderedPageBreak/>
        <w:t>The IDI is based on a conceptual framework that describes the ICT development process, and a country’s transformation to becoming an information society, using a three-stage model. The first stage (ICT readiness) reflects the level of networked infrastructure. The second stage (ICT intensity) reflects the level of use of ICTs in the society, which is enabled by ICT skills. Lastly, the third level (ICT impact) reflects the impact of an efficient and effective ICT use. The IDI measures the first two stages in the evolution towards an information society (see Figure 3.2).</w:t>
      </w:r>
    </w:p>
    <w:p w:rsidR="007B79E8" w:rsidRPr="00C5494E" w:rsidRDefault="007B79E8" w:rsidP="00E13A38">
      <w:pPr>
        <w:rPr>
          <w:bCs/>
        </w:rPr>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7B79E8" w:rsidRPr="00C5494E" w:rsidTr="00FB239F">
        <w:trPr>
          <w:jc w:val="center"/>
        </w:trPr>
        <w:tc>
          <w:tcPr>
            <w:tcW w:w="9424" w:type="dxa"/>
            <w:shd w:val="clear" w:color="auto" w:fill="D9D9D9" w:themeFill="background1" w:themeFillShade="D9"/>
          </w:tcPr>
          <w:p w:rsidR="007B79E8" w:rsidRPr="00C5494E" w:rsidRDefault="007B79E8" w:rsidP="00FB239F">
            <w:pPr>
              <w:pStyle w:val="FigureNoTitle"/>
              <w:rPr>
                <w:lang w:val="en-GB"/>
              </w:rPr>
            </w:pPr>
            <w:r w:rsidRPr="00C5494E">
              <w:rPr>
                <w:lang w:val="en-GB"/>
              </w:rPr>
              <w:t>Figure 3.2: Three stages in the evolution towards an information society</w:t>
            </w:r>
          </w:p>
          <w:p w:rsidR="007B79E8" w:rsidRPr="00C5494E" w:rsidRDefault="007B79E8" w:rsidP="00FB239F">
            <w:pPr>
              <w:pStyle w:val="Figure"/>
              <w:rPr>
                <w:lang w:val="en-GB"/>
              </w:rPr>
            </w:pPr>
            <w:r w:rsidRPr="00C5494E">
              <w:drawing>
                <wp:inline distT="0" distB="0" distL="0" distR="0">
                  <wp:extent cx="5600700" cy="2533650"/>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duotone>
                              <a:schemeClr val="accent2">
                                <a:shade val="45000"/>
                                <a:satMod val="135000"/>
                              </a:schemeClr>
                              <a:prstClr val="white"/>
                            </a:duotone>
                          </a:blip>
                          <a:srcRect/>
                          <a:stretch>
                            <a:fillRect/>
                          </a:stretch>
                        </pic:blipFill>
                        <pic:spPr bwMode="auto">
                          <a:xfrm>
                            <a:off x="0" y="0"/>
                            <a:ext cx="5600700" cy="2533650"/>
                          </a:xfrm>
                          <a:prstGeom prst="rect">
                            <a:avLst/>
                          </a:prstGeom>
                          <a:noFill/>
                          <a:ln w="9525">
                            <a:noFill/>
                            <a:miter lim="800000"/>
                            <a:headEnd/>
                            <a:tailEnd/>
                          </a:ln>
                        </pic:spPr>
                      </pic:pic>
                    </a:graphicData>
                  </a:graphic>
                </wp:inline>
              </w:drawing>
            </w:r>
          </w:p>
          <w:p w:rsidR="007B79E8" w:rsidRPr="00C5494E" w:rsidRDefault="007B79E8" w:rsidP="007B79E8">
            <w:pPr>
              <w:pStyle w:val="Figurelegend"/>
            </w:pPr>
            <w:r w:rsidRPr="00C5494E">
              <w:rPr>
                <w:i/>
                <w:iCs/>
              </w:rPr>
              <w:t>Source</w:t>
            </w:r>
            <w:r w:rsidRPr="00C5494E">
              <w:t>: ITU.</w:t>
            </w:r>
          </w:p>
        </w:tc>
      </w:tr>
    </w:tbl>
    <w:p w:rsidR="007B79E8" w:rsidRPr="00C5494E" w:rsidRDefault="007B79E8" w:rsidP="00E13A38">
      <w:pPr>
        <w:rPr>
          <w:bCs/>
        </w:rPr>
      </w:pPr>
    </w:p>
    <w:p w:rsidR="007B79E8" w:rsidRPr="00C5494E" w:rsidRDefault="007B79E8" w:rsidP="000F4A58">
      <w:pPr>
        <w:rPr>
          <w:bCs/>
        </w:rPr>
      </w:pPr>
      <w:r w:rsidRPr="00C5494E">
        <w:rPr>
          <w:bCs/>
        </w:rPr>
        <w:t xml:space="preserve">This model is also valid to describe the stages of broadband development. Indeed, a country with highly skilled ICT users and advanced applications </w:t>
      </w:r>
      <w:proofErr w:type="spellStart"/>
      <w:r w:rsidRPr="00C5494E">
        <w:rPr>
          <w:bCs/>
        </w:rPr>
        <w:t>can not</w:t>
      </w:r>
      <w:proofErr w:type="spellEnd"/>
      <w:r w:rsidRPr="00C5494E">
        <w:rPr>
          <w:bCs/>
        </w:rPr>
        <w:t xml:space="preserve"> obtain any benefits from broadband if it does not have an infrastructure that provides access to a significant part of the population. Thus, the first stage of broadband development would also be infrastructure development and access. Once there is a high level of access, the second stage would be focused on broadband use. To foster usage of available broadband networks, it would be necessary to have affordable prices, and useful applications (e.g. e-</w:t>
      </w:r>
      <w:r w:rsidR="000F4A58" w:rsidRPr="00C5494E">
        <w:rPr>
          <w:bCs/>
        </w:rPr>
        <w:t>g</w:t>
      </w:r>
      <w:r w:rsidRPr="00C5494E">
        <w:rPr>
          <w:bCs/>
        </w:rPr>
        <w:t xml:space="preserve">overnment or </w:t>
      </w:r>
      <w:proofErr w:type="spellStart"/>
      <w:r w:rsidRPr="00C5494E">
        <w:rPr>
          <w:bCs/>
        </w:rPr>
        <w:t>e</w:t>
      </w:r>
      <w:r w:rsidR="000F4A58" w:rsidRPr="00C5494E">
        <w:rPr>
          <w:bCs/>
        </w:rPr>
        <w:noBreakHyphen/>
        <w:t>b</w:t>
      </w:r>
      <w:r w:rsidRPr="00C5494E">
        <w:rPr>
          <w:bCs/>
        </w:rPr>
        <w:t>anking</w:t>
      </w:r>
      <w:proofErr w:type="spellEnd"/>
      <w:r w:rsidRPr="00C5494E">
        <w:rPr>
          <w:bCs/>
        </w:rPr>
        <w:t xml:space="preserve"> applications, sites with content in the national language(s), etc.). Another key enabling factor for broadband use would be e-literacy skills, without which the population would not know how to use the available broadband services. Lastly, both broadband access and broadband use would be necessary to achieve the third stage: broadband impact (e.g. improved business efficiency and productivity, new opportunities for rural communities, individual access to richer information both for personal and professional use, etc.).</w:t>
      </w:r>
    </w:p>
    <w:p w:rsidR="00E13A38" w:rsidRPr="00C5494E" w:rsidRDefault="005704BD" w:rsidP="000F4A58">
      <w:pPr>
        <w:rPr>
          <w:bCs/>
        </w:rPr>
      </w:pPr>
      <w:r w:rsidRPr="00C5494E">
        <w:rPr>
          <w:bCs/>
        </w:rPr>
        <w:t>The IDI and the different sub-index values for ABBMN countries are shown in Table 3.2. All ABBMN countries had an IDI value below the world average in 2008 and in 2007, which shows that they lag behind in terms of ICT development. This can be partly explained by the fact that ABBMN countries have significantly lower incomes when compared to the world (USD 8</w:t>
      </w:r>
      <w:r w:rsidR="000F4A58" w:rsidRPr="00C5494E">
        <w:rPr>
          <w:bCs/>
        </w:rPr>
        <w:t> </w:t>
      </w:r>
      <w:r w:rsidRPr="00C5494E">
        <w:rPr>
          <w:bCs/>
        </w:rPr>
        <w:t>579 GNI per capita in the world in 2008, while Maldives, the ABBMN country with the highest GNI per capita, had USD 3</w:t>
      </w:r>
      <w:r w:rsidR="000F4A58" w:rsidRPr="00C5494E">
        <w:rPr>
          <w:bCs/>
        </w:rPr>
        <w:t> </w:t>
      </w:r>
      <w:r w:rsidRPr="00C5494E">
        <w:rPr>
          <w:bCs/>
        </w:rPr>
        <w:t xml:space="preserve">630 in the same year). As it has been analyzed in several ITU publications (ITU, 2009a, 2009b, 2009c, 2009d, 2009e, </w:t>
      </w:r>
      <w:smartTag w:uri="urn:schemas-microsoft-com:office:smarttags" w:element="metricconverter">
        <w:smartTagPr>
          <w:attr w:name="ProductID" w:val="2009f"/>
        </w:smartTagPr>
        <w:r w:rsidRPr="00C5494E">
          <w:rPr>
            <w:bCs/>
          </w:rPr>
          <w:t>2009f</w:t>
        </w:r>
      </w:smartTag>
      <w:r w:rsidRPr="00C5494E">
        <w:rPr>
          <w:bCs/>
        </w:rPr>
        <w:t>, 2010a, 2010b), there is a strong link between income and ICT development. That is, countries with low GNI per capita (income) tend to have low IDI values (ICT development), and vice versa.</w:t>
      </w:r>
    </w:p>
    <w:p w:rsidR="007B79E8" w:rsidRPr="00C5494E" w:rsidRDefault="007B79E8" w:rsidP="007B79E8">
      <w:pPr>
        <w:rPr>
          <w:bCs/>
        </w:rPr>
      </w:pPr>
    </w:p>
    <w:tbl>
      <w:tblPr>
        <w:tblStyle w:val="LightShading-Accent2"/>
        <w:tblW w:w="9308" w:type="dxa"/>
        <w:jc w:val="center"/>
        <w:tblLook w:val="04A0"/>
      </w:tblPr>
      <w:tblGrid>
        <w:gridCol w:w="2690"/>
        <w:gridCol w:w="828"/>
        <w:gridCol w:w="828"/>
        <w:gridCol w:w="827"/>
        <w:gridCol w:w="827"/>
        <w:gridCol w:w="827"/>
        <w:gridCol w:w="827"/>
        <w:gridCol w:w="827"/>
        <w:gridCol w:w="827"/>
      </w:tblGrid>
      <w:tr w:rsidR="007B79E8" w:rsidRPr="00C5494E" w:rsidTr="001C0A69">
        <w:trPr>
          <w:cnfStyle w:val="100000000000"/>
          <w:jc w:val="center"/>
        </w:trPr>
        <w:tc>
          <w:tcPr>
            <w:cnfStyle w:val="001000000000"/>
            <w:tcW w:w="9308" w:type="dxa"/>
            <w:gridSpan w:val="9"/>
            <w:tcBorders>
              <w:top w:val="single" w:sz="8" w:space="0" w:color="990033"/>
              <w:left w:val="single" w:sz="8" w:space="0" w:color="990033"/>
              <w:bottom w:val="single" w:sz="8" w:space="0" w:color="990033"/>
              <w:right w:val="single" w:sz="8" w:space="0" w:color="990033"/>
            </w:tcBorders>
            <w:shd w:val="clear" w:color="auto" w:fill="990033"/>
          </w:tcPr>
          <w:p w:rsidR="007B79E8" w:rsidRPr="00C5494E" w:rsidRDefault="007B79E8" w:rsidP="000F4A58">
            <w:pPr>
              <w:pStyle w:val="TableNoTitle"/>
              <w:ind w:left="1191" w:hanging="1191"/>
              <w:rPr>
                <w:lang w:val="en-GB"/>
              </w:rPr>
            </w:pPr>
            <w:r w:rsidRPr="00C5494E">
              <w:rPr>
                <w:lang w:val="en-GB"/>
              </w:rPr>
              <w:lastRenderedPageBreak/>
              <w:t xml:space="preserve">Table 3.2: </w:t>
            </w:r>
            <w:r w:rsidR="000F4A58" w:rsidRPr="00C5494E">
              <w:rPr>
                <w:lang w:val="en-GB"/>
              </w:rPr>
              <w:tab/>
            </w:r>
            <w:r w:rsidRPr="00C5494E">
              <w:rPr>
                <w:lang w:val="en-GB"/>
              </w:rPr>
              <w:t>ICT Development Index (IDI), and IDI sub-indices, 2008 and 2007, ABBMN countries</w:t>
            </w:r>
          </w:p>
        </w:tc>
      </w:tr>
      <w:tr w:rsidR="007B79E8" w:rsidRPr="00C5494E" w:rsidTr="001C0A69">
        <w:trPr>
          <w:cnfStyle w:val="000000100000"/>
          <w:jc w:val="center"/>
        </w:trPr>
        <w:tc>
          <w:tcPr>
            <w:cnfStyle w:val="001000000000"/>
            <w:tcW w:w="2690" w:type="dxa"/>
            <w:tcBorders>
              <w:top w:val="single" w:sz="8" w:space="0" w:color="990033"/>
              <w:left w:val="single" w:sz="8" w:space="0" w:color="990033"/>
              <w:bottom w:val="single" w:sz="8" w:space="0" w:color="990033"/>
              <w:right w:val="single" w:sz="8" w:space="0" w:color="990033"/>
            </w:tcBorders>
          </w:tcPr>
          <w:p w:rsidR="007B79E8" w:rsidRPr="00C5494E" w:rsidRDefault="007B79E8" w:rsidP="00A71DEE">
            <w:pPr>
              <w:pStyle w:val="Tablehead"/>
              <w:rPr>
                <w:lang w:val="en-GB"/>
              </w:rPr>
            </w:pPr>
          </w:p>
        </w:tc>
        <w:tc>
          <w:tcPr>
            <w:tcW w:w="1656" w:type="dxa"/>
            <w:gridSpan w:val="2"/>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A71DEE">
            <w:pPr>
              <w:pStyle w:val="Tablehead"/>
              <w:cnfStyle w:val="000000100000"/>
              <w:rPr>
                <w:lang w:val="en-GB"/>
              </w:rPr>
            </w:pPr>
            <w:r w:rsidRPr="00C5494E">
              <w:rPr>
                <w:lang w:val="en-GB"/>
              </w:rPr>
              <w:t xml:space="preserve">IDI </w:t>
            </w:r>
            <w:r w:rsidR="000F4A58" w:rsidRPr="00C5494E">
              <w:rPr>
                <w:lang w:val="en-GB"/>
              </w:rPr>
              <w:t>value</w:t>
            </w:r>
          </w:p>
        </w:tc>
        <w:tc>
          <w:tcPr>
            <w:tcW w:w="1654" w:type="dxa"/>
            <w:gridSpan w:val="2"/>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A71DEE">
            <w:pPr>
              <w:pStyle w:val="Tablehead"/>
              <w:cnfStyle w:val="000000100000"/>
              <w:rPr>
                <w:lang w:val="en-GB"/>
              </w:rPr>
            </w:pPr>
            <w:r w:rsidRPr="00C5494E">
              <w:rPr>
                <w:lang w:val="en-GB"/>
              </w:rPr>
              <w:t>Access sub-index</w:t>
            </w:r>
          </w:p>
        </w:tc>
        <w:tc>
          <w:tcPr>
            <w:tcW w:w="1654" w:type="dxa"/>
            <w:gridSpan w:val="2"/>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A71DEE">
            <w:pPr>
              <w:pStyle w:val="Tablehead"/>
              <w:cnfStyle w:val="000000100000"/>
              <w:rPr>
                <w:lang w:val="en-GB"/>
              </w:rPr>
            </w:pPr>
            <w:r w:rsidRPr="00C5494E">
              <w:rPr>
                <w:lang w:val="en-GB"/>
              </w:rPr>
              <w:t>Use sub-index</w:t>
            </w:r>
          </w:p>
        </w:tc>
        <w:tc>
          <w:tcPr>
            <w:tcW w:w="1654" w:type="dxa"/>
            <w:gridSpan w:val="2"/>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A71DEE">
            <w:pPr>
              <w:pStyle w:val="Tablehead"/>
              <w:cnfStyle w:val="000000100000"/>
              <w:rPr>
                <w:lang w:val="en-GB"/>
              </w:rPr>
            </w:pPr>
            <w:r w:rsidRPr="00C5494E">
              <w:rPr>
                <w:lang w:val="en-GB"/>
              </w:rPr>
              <w:t>Skills sub-index</w:t>
            </w:r>
          </w:p>
        </w:tc>
      </w:tr>
      <w:tr w:rsidR="007B79E8" w:rsidRPr="00C5494E" w:rsidTr="001C0A69">
        <w:trPr>
          <w:jc w:val="center"/>
        </w:trPr>
        <w:tc>
          <w:tcPr>
            <w:cnfStyle w:val="001000000000"/>
            <w:tcW w:w="2690" w:type="dxa"/>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A71DEE">
            <w:pPr>
              <w:pStyle w:val="Tablehead"/>
              <w:rPr>
                <w:lang w:val="en-GB"/>
              </w:rPr>
            </w:pPr>
            <w:r w:rsidRPr="00C5494E">
              <w:rPr>
                <w:lang w:val="en-GB"/>
              </w:rPr>
              <w:t>Economy</w:t>
            </w:r>
          </w:p>
        </w:tc>
        <w:tc>
          <w:tcPr>
            <w:tcW w:w="828" w:type="dxa"/>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000000"/>
            </w:pPr>
            <w:r w:rsidRPr="00C5494E">
              <w:t>2008</w:t>
            </w:r>
          </w:p>
        </w:tc>
        <w:tc>
          <w:tcPr>
            <w:tcW w:w="828" w:type="dxa"/>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000000"/>
            </w:pPr>
            <w:r w:rsidRPr="00C5494E">
              <w:t>2007</w:t>
            </w:r>
          </w:p>
        </w:tc>
        <w:tc>
          <w:tcPr>
            <w:tcW w:w="827" w:type="dxa"/>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000000"/>
            </w:pPr>
            <w:r w:rsidRPr="00C5494E">
              <w:t>2008</w:t>
            </w:r>
          </w:p>
        </w:tc>
        <w:tc>
          <w:tcPr>
            <w:tcW w:w="827" w:type="dxa"/>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000000"/>
            </w:pPr>
            <w:r w:rsidRPr="00C5494E">
              <w:t>2007</w:t>
            </w:r>
          </w:p>
        </w:tc>
        <w:tc>
          <w:tcPr>
            <w:tcW w:w="827" w:type="dxa"/>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000000"/>
            </w:pPr>
            <w:r w:rsidRPr="00C5494E">
              <w:t>2008</w:t>
            </w:r>
          </w:p>
        </w:tc>
        <w:tc>
          <w:tcPr>
            <w:tcW w:w="827" w:type="dxa"/>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000000"/>
            </w:pPr>
            <w:r w:rsidRPr="00C5494E">
              <w:t>2007</w:t>
            </w:r>
          </w:p>
        </w:tc>
        <w:tc>
          <w:tcPr>
            <w:tcW w:w="827" w:type="dxa"/>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000000"/>
            </w:pPr>
            <w:r w:rsidRPr="00C5494E">
              <w:t>2008</w:t>
            </w:r>
          </w:p>
        </w:tc>
        <w:tc>
          <w:tcPr>
            <w:tcW w:w="827" w:type="dxa"/>
            <w:tcBorders>
              <w:top w:val="single" w:sz="8" w:space="0" w:color="990033"/>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000000"/>
            </w:pPr>
            <w:r w:rsidRPr="00C5494E">
              <w:t>2007</w:t>
            </w:r>
          </w:p>
        </w:tc>
      </w:tr>
      <w:tr w:rsidR="001C0A69" w:rsidRPr="00C5494E" w:rsidTr="001C0A69">
        <w:trPr>
          <w:cnfStyle w:val="000000100000"/>
          <w:jc w:val="center"/>
        </w:trPr>
        <w:tc>
          <w:tcPr>
            <w:cnfStyle w:val="001000000000"/>
            <w:tcW w:w="2690" w:type="dxa"/>
            <w:tcBorders>
              <w:top w:val="single" w:sz="8" w:space="0" w:color="990033"/>
              <w:left w:val="single" w:sz="8" w:space="0" w:color="990033"/>
              <w:bottom w:val="nil"/>
              <w:right w:val="single" w:sz="8" w:space="0" w:color="990033"/>
            </w:tcBorders>
            <w:vAlign w:val="center"/>
          </w:tcPr>
          <w:p w:rsidR="007B79E8" w:rsidRPr="00C5494E" w:rsidRDefault="007B79E8" w:rsidP="00A71DEE">
            <w:pPr>
              <w:pStyle w:val="Tabletext"/>
            </w:pPr>
            <w:r w:rsidRPr="00C5494E">
              <w:t>WORLD*</w:t>
            </w:r>
          </w:p>
        </w:tc>
        <w:tc>
          <w:tcPr>
            <w:tcW w:w="828" w:type="dxa"/>
            <w:tcBorders>
              <w:top w:val="single" w:sz="8" w:space="0" w:color="990033"/>
              <w:left w:val="single" w:sz="8" w:space="0" w:color="990033"/>
              <w:bottom w:val="nil"/>
              <w:right w:val="single" w:sz="8" w:space="0" w:color="990033"/>
            </w:tcBorders>
            <w:vAlign w:val="center"/>
          </w:tcPr>
          <w:p w:rsidR="007B79E8" w:rsidRPr="00C5494E" w:rsidRDefault="007B79E8" w:rsidP="005704BD">
            <w:pPr>
              <w:pStyle w:val="Tabletext"/>
              <w:jc w:val="center"/>
              <w:cnfStyle w:val="000000100000"/>
            </w:pPr>
            <w:r w:rsidRPr="00C5494E">
              <w:t>3.58</w:t>
            </w:r>
          </w:p>
        </w:tc>
        <w:tc>
          <w:tcPr>
            <w:tcW w:w="828" w:type="dxa"/>
            <w:tcBorders>
              <w:top w:val="single" w:sz="8" w:space="0" w:color="990033"/>
              <w:left w:val="single" w:sz="8" w:space="0" w:color="990033"/>
              <w:bottom w:val="nil"/>
              <w:right w:val="single" w:sz="8" w:space="0" w:color="990033"/>
            </w:tcBorders>
            <w:vAlign w:val="center"/>
          </w:tcPr>
          <w:p w:rsidR="007B79E8" w:rsidRPr="00C5494E" w:rsidRDefault="007B79E8" w:rsidP="005704BD">
            <w:pPr>
              <w:pStyle w:val="Tabletext"/>
              <w:jc w:val="center"/>
              <w:cnfStyle w:val="000000100000"/>
            </w:pPr>
            <w:r w:rsidRPr="00C5494E">
              <w:t>3.32</w:t>
            </w:r>
          </w:p>
        </w:tc>
        <w:tc>
          <w:tcPr>
            <w:tcW w:w="827" w:type="dxa"/>
            <w:tcBorders>
              <w:top w:val="single" w:sz="8" w:space="0" w:color="990033"/>
              <w:left w:val="single" w:sz="8" w:space="0" w:color="990033"/>
              <w:bottom w:val="nil"/>
              <w:right w:val="single" w:sz="8" w:space="0" w:color="990033"/>
            </w:tcBorders>
            <w:vAlign w:val="center"/>
          </w:tcPr>
          <w:p w:rsidR="007B79E8" w:rsidRPr="00C5494E" w:rsidRDefault="007B79E8" w:rsidP="005704BD">
            <w:pPr>
              <w:pStyle w:val="Tabletext"/>
              <w:jc w:val="center"/>
              <w:cnfStyle w:val="000000100000"/>
            </w:pPr>
            <w:r w:rsidRPr="00C5494E">
              <w:t>4.07</w:t>
            </w:r>
          </w:p>
        </w:tc>
        <w:tc>
          <w:tcPr>
            <w:tcW w:w="827" w:type="dxa"/>
            <w:tcBorders>
              <w:top w:val="single" w:sz="8" w:space="0" w:color="990033"/>
              <w:left w:val="single" w:sz="8" w:space="0" w:color="990033"/>
              <w:bottom w:val="nil"/>
              <w:right w:val="single" w:sz="8" w:space="0" w:color="990033"/>
            </w:tcBorders>
            <w:vAlign w:val="center"/>
          </w:tcPr>
          <w:p w:rsidR="007B79E8" w:rsidRPr="00C5494E" w:rsidRDefault="007B79E8" w:rsidP="005704BD">
            <w:pPr>
              <w:pStyle w:val="Tabletext"/>
              <w:jc w:val="center"/>
              <w:cnfStyle w:val="000000100000"/>
            </w:pPr>
            <w:r w:rsidRPr="00C5494E">
              <w:t>3.76</w:t>
            </w:r>
          </w:p>
        </w:tc>
        <w:tc>
          <w:tcPr>
            <w:tcW w:w="827" w:type="dxa"/>
            <w:tcBorders>
              <w:top w:val="single" w:sz="8" w:space="0" w:color="990033"/>
              <w:left w:val="single" w:sz="8" w:space="0" w:color="990033"/>
              <w:bottom w:val="nil"/>
              <w:right w:val="single" w:sz="8" w:space="0" w:color="990033"/>
            </w:tcBorders>
            <w:vAlign w:val="center"/>
          </w:tcPr>
          <w:p w:rsidR="007B79E8" w:rsidRPr="00C5494E" w:rsidRDefault="007B79E8" w:rsidP="005704BD">
            <w:pPr>
              <w:pStyle w:val="Tabletext"/>
              <w:jc w:val="center"/>
              <w:cnfStyle w:val="000000100000"/>
            </w:pPr>
            <w:r w:rsidRPr="00C5494E">
              <w:t>1.70</w:t>
            </w:r>
          </w:p>
        </w:tc>
        <w:tc>
          <w:tcPr>
            <w:tcW w:w="827" w:type="dxa"/>
            <w:tcBorders>
              <w:top w:val="single" w:sz="8" w:space="0" w:color="990033"/>
              <w:left w:val="single" w:sz="8" w:space="0" w:color="990033"/>
              <w:bottom w:val="nil"/>
              <w:right w:val="single" w:sz="8" w:space="0" w:color="990033"/>
            </w:tcBorders>
            <w:vAlign w:val="center"/>
          </w:tcPr>
          <w:p w:rsidR="007B79E8" w:rsidRPr="00C5494E" w:rsidRDefault="007B79E8" w:rsidP="005704BD">
            <w:pPr>
              <w:pStyle w:val="Tabletext"/>
              <w:jc w:val="center"/>
              <w:cnfStyle w:val="000000100000"/>
            </w:pPr>
            <w:r w:rsidRPr="00C5494E">
              <w:t>1.39</w:t>
            </w:r>
          </w:p>
        </w:tc>
        <w:tc>
          <w:tcPr>
            <w:tcW w:w="827" w:type="dxa"/>
            <w:tcBorders>
              <w:top w:val="single" w:sz="8" w:space="0" w:color="990033"/>
              <w:left w:val="single" w:sz="8" w:space="0" w:color="990033"/>
              <w:bottom w:val="nil"/>
              <w:right w:val="single" w:sz="8" w:space="0" w:color="990033"/>
            </w:tcBorders>
            <w:vAlign w:val="center"/>
          </w:tcPr>
          <w:p w:rsidR="007B79E8" w:rsidRPr="00C5494E" w:rsidRDefault="007B79E8" w:rsidP="005704BD">
            <w:pPr>
              <w:pStyle w:val="Tabletext"/>
              <w:jc w:val="center"/>
              <w:cnfStyle w:val="000000100000"/>
            </w:pPr>
            <w:r w:rsidRPr="00C5494E">
              <w:t>6.37</w:t>
            </w:r>
          </w:p>
        </w:tc>
        <w:tc>
          <w:tcPr>
            <w:tcW w:w="827" w:type="dxa"/>
            <w:tcBorders>
              <w:top w:val="single" w:sz="8" w:space="0" w:color="990033"/>
              <w:left w:val="single" w:sz="8" w:space="0" w:color="990033"/>
              <w:bottom w:val="nil"/>
              <w:right w:val="single" w:sz="8" w:space="0" w:color="990033"/>
            </w:tcBorders>
            <w:vAlign w:val="center"/>
          </w:tcPr>
          <w:p w:rsidR="007B79E8" w:rsidRPr="00C5494E" w:rsidRDefault="007B79E8" w:rsidP="005704BD">
            <w:pPr>
              <w:pStyle w:val="Tabletext"/>
              <w:jc w:val="center"/>
              <w:cnfStyle w:val="000000100000"/>
            </w:pPr>
            <w:r w:rsidRPr="00C5494E">
              <w:t>6.30</w:t>
            </w:r>
          </w:p>
        </w:tc>
      </w:tr>
      <w:tr w:rsidR="001C0A69" w:rsidRPr="00C5494E" w:rsidTr="001C0A69">
        <w:trPr>
          <w:jc w:val="center"/>
        </w:trPr>
        <w:tc>
          <w:tcPr>
            <w:cnfStyle w:val="001000000000"/>
            <w:tcW w:w="2690" w:type="dxa"/>
            <w:tcBorders>
              <w:top w:val="nil"/>
              <w:left w:val="single" w:sz="8" w:space="0" w:color="990033"/>
              <w:bottom w:val="nil"/>
              <w:right w:val="single" w:sz="8" w:space="0" w:color="990033"/>
            </w:tcBorders>
            <w:vAlign w:val="center"/>
          </w:tcPr>
          <w:p w:rsidR="007B79E8" w:rsidRPr="00C5494E" w:rsidRDefault="007B79E8" w:rsidP="00A71DEE">
            <w:pPr>
              <w:pStyle w:val="Tabletext"/>
            </w:pPr>
            <w:r w:rsidRPr="00C5494E">
              <w:t>DEVELOPING*</w:t>
            </w:r>
          </w:p>
        </w:tc>
        <w:tc>
          <w:tcPr>
            <w:tcW w:w="828" w:type="dxa"/>
            <w:tcBorders>
              <w:top w:val="nil"/>
              <w:left w:val="single" w:sz="8" w:space="0" w:color="990033"/>
              <w:bottom w:val="nil"/>
              <w:right w:val="single" w:sz="8" w:space="0" w:color="990033"/>
            </w:tcBorders>
            <w:vAlign w:val="center"/>
          </w:tcPr>
          <w:p w:rsidR="007B79E8" w:rsidRPr="00C5494E" w:rsidRDefault="007B79E8" w:rsidP="005704BD">
            <w:pPr>
              <w:pStyle w:val="Tabletext"/>
              <w:jc w:val="center"/>
              <w:cnfStyle w:val="000000000000"/>
            </w:pPr>
            <w:r w:rsidRPr="00C5494E">
              <w:t>2.70</w:t>
            </w:r>
          </w:p>
        </w:tc>
        <w:tc>
          <w:tcPr>
            <w:tcW w:w="828" w:type="dxa"/>
            <w:tcBorders>
              <w:top w:val="nil"/>
              <w:left w:val="single" w:sz="8" w:space="0" w:color="990033"/>
              <w:bottom w:val="nil"/>
              <w:right w:val="single" w:sz="8" w:space="0" w:color="990033"/>
            </w:tcBorders>
            <w:vAlign w:val="center"/>
          </w:tcPr>
          <w:p w:rsidR="007B79E8" w:rsidRPr="00C5494E" w:rsidRDefault="007B79E8" w:rsidP="005704BD">
            <w:pPr>
              <w:pStyle w:val="Tabletext"/>
              <w:jc w:val="center"/>
              <w:cnfStyle w:val="000000000000"/>
            </w:pPr>
            <w:r w:rsidRPr="00C5494E">
              <w:t>2.49</w:t>
            </w:r>
          </w:p>
        </w:tc>
        <w:tc>
          <w:tcPr>
            <w:tcW w:w="827" w:type="dxa"/>
            <w:tcBorders>
              <w:top w:val="nil"/>
              <w:left w:val="single" w:sz="8" w:space="0" w:color="990033"/>
              <w:bottom w:val="nil"/>
              <w:right w:val="single" w:sz="8" w:space="0" w:color="990033"/>
            </w:tcBorders>
            <w:vAlign w:val="center"/>
          </w:tcPr>
          <w:p w:rsidR="007B79E8" w:rsidRPr="00C5494E" w:rsidRDefault="007B79E8" w:rsidP="005704BD">
            <w:pPr>
              <w:pStyle w:val="Tabletext"/>
              <w:jc w:val="center"/>
              <w:cnfStyle w:val="000000000000"/>
            </w:pPr>
            <w:r w:rsidRPr="00C5494E">
              <w:t>3.06</w:t>
            </w:r>
          </w:p>
        </w:tc>
        <w:tc>
          <w:tcPr>
            <w:tcW w:w="827" w:type="dxa"/>
            <w:tcBorders>
              <w:top w:val="nil"/>
              <w:left w:val="single" w:sz="8" w:space="0" w:color="990033"/>
              <w:bottom w:val="nil"/>
              <w:right w:val="single" w:sz="8" w:space="0" w:color="990033"/>
            </w:tcBorders>
            <w:vAlign w:val="center"/>
          </w:tcPr>
          <w:p w:rsidR="007B79E8" w:rsidRPr="00C5494E" w:rsidRDefault="007B79E8" w:rsidP="005704BD">
            <w:pPr>
              <w:pStyle w:val="Tabletext"/>
              <w:jc w:val="center"/>
              <w:cnfStyle w:val="000000000000"/>
            </w:pPr>
            <w:r w:rsidRPr="00C5494E">
              <w:t>2.79</w:t>
            </w:r>
          </w:p>
        </w:tc>
        <w:tc>
          <w:tcPr>
            <w:tcW w:w="827" w:type="dxa"/>
            <w:tcBorders>
              <w:top w:val="nil"/>
              <w:left w:val="single" w:sz="8" w:space="0" w:color="990033"/>
              <w:bottom w:val="nil"/>
              <w:right w:val="single" w:sz="8" w:space="0" w:color="990033"/>
            </w:tcBorders>
            <w:vAlign w:val="center"/>
          </w:tcPr>
          <w:p w:rsidR="007B79E8" w:rsidRPr="00C5494E" w:rsidRDefault="007B79E8" w:rsidP="005704BD">
            <w:pPr>
              <w:pStyle w:val="Tabletext"/>
              <w:jc w:val="center"/>
              <w:cnfStyle w:val="000000000000"/>
            </w:pPr>
            <w:r w:rsidRPr="00C5494E">
              <w:t>0.91</w:t>
            </w:r>
          </w:p>
        </w:tc>
        <w:tc>
          <w:tcPr>
            <w:tcW w:w="827" w:type="dxa"/>
            <w:tcBorders>
              <w:top w:val="nil"/>
              <w:left w:val="single" w:sz="8" w:space="0" w:color="990033"/>
              <w:bottom w:val="nil"/>
              <w:right w:val="single" w:sz="8" w:space="0" w:color="990033"/>
            </w:tcBorders>
            <w:vAlign w:val="center"/>
          </w:tcPr>
          <w:p w:rsidR="007B79E8" w:rsidRPr="00C5494E" w:rsidRDefault="007B79E8" w:rsidP="005704BD">
            <w:pPr>
              <w:pStyle w:val="Tabletext"/>
              <w:jc w:val="center"/>
              <w:cnfStyle w:val="000000000000"/>
            </w:pPr>
            <w:r w:rsidRPr="00C5494E">
              <w:t>0.71</w:t>
            </w:r>
          </w:p>
        </w:tc>
        <w:tc>
          <w:tcPr>
            <w:tcW w:w="827" w:type="dxa"/>
            <w:tcBorders>
              <w:top w:val="nil"/>
              <w:left w:val="single" w:sz="8" w:space="0" w:color="990033"/>
              <w:bottom w:val="nil"/>
              <w:right w:val="single" w:sz="8" w:space="0" w:color="990033"/>
            </w:tcBorders>
            <w:vAlign w:val="center"/>
          </w:tcPr>
          <w:p w:rsidR="007B79E8" w:rsidRPr="00C5494E" w:rsidRDefault="007B79E8" w:rsidP="005704BD">
            <w:pPr>
              <w:pStyle w:val="Tabletext"/>
              <w:jc w:val="center"/>
              <w:cnfStyle w:val="000000000000"/>
            </w:pPr>
            <w:r w:rsidRPr="00C5494E">
              <w:t>5.53</w:t>
            </w:r>
          </w:p>
        </w:tc>
        <w:tc>
          <w:tcPr>
            <w:tcW w:w="827" w:type="dxa"/>
            <w:tcBorders>
              <w:top w:val="nil"/>
              <w:left w:val="single" w:sz="8" w:space="0" w:color="990033"/>
              <w:bottom w:val="nil"/>
              <w:right w:val="single" w:sz="8" w:space="0" w:color="990033"/>
            </w:tcBorders>
            <w:vAlign w:val="center"/>
          </w:tcPr>
          <w:p w:rsidR="007B79E8" w:rsidRPr="00C5494E" w:rsidRDefault="007B79E8" w:rsidP="005704BD">
            <w:pPr>
              <w:pStyle w:val="Tabletext"/>
              <w:jc w:val="center"/>
              <w:cnfStyle w:val="000000000000"/>
            </w:pPr>
            <w:r w:rsidRPr="00C5494E">
              <w:t>5.47</w:t>
            </w:r>
          </w:p>
        </w:tc>
      </w:tr>
      <w:tr w:rsidR="001C0A69" w:rsidRPr="00C5494E" w:rsidTr="001C0A69">
        <w:trPr>
          <w:cnfStyle w:val="000000100000"/>
          <w:jc w:val="center"/>
        </w:trPr>
        <w:tc>
          <w:tcPr>
            <w:cnfStyle w:val="001000000000"/>
            <w:tcW w:w="2690" w:type="dxa"/>
            <w:tcBorders>
              <w:top w:val="nil"/>
              <w:left w:val="single" w:sz="8" w:space="0" w:color="990033"/>
              <w:bottom w:val="single" w:sz="8" w:space="0" w:color="990033"/>
              <w:right w:val="single" w:sz="8" w:space="0" w:color="990033"/>
            </w:tcBorders>
            <w:vAlign w:val="center"/>
          </w:tcPr>
          <w:p w:rsidR="007B79E8" w:rsidRPr="00C5494E" w:rsidRDefault="007B79E8" w:rsidP="00A71DEE">
            <w:pPr>
              <w:pStyle w:val="Tabletext"/>
            </w:pPr>
            <w:r w:rsidRPr="00C5494E">
              <w:t>SOUTH ASIA*</w:t>
            </w:r>
          </w:p>
        </w:tc>
        <w:tc>
          <w:tcPr>
            <w:tcW w:w="828" w:type="dxa"/>
            <w:tcBorders>
              <w:top w:val="nil"/>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100000"/>
            </w:pPr>
            <w:r w:rsidRPr="00C5494E">
              <w:t>1.96</w:t>
            </w:r>
          </w:p>
        </w:tc>
        <w:tc>
          <w:tcPr>
            <w:tcW w:w="828" w:type="dxa"/>
            <w:tcBorders>
              <w:top w:val="nil"/>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100000"/>
            </w:pPr>
            <w:r w:rsidRPr="00C5494E">
              <w:t>1.80</w:t>
            </w:r>
          </w:p>
        </w:tc>
        <w:tc>
          <w:tcPr>
            <w:tcW w:w="827" w:type="dxa"/>
            <w:tcBorders>
              <w:top w:val="nil"/>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100000"/>
            </w:pPr>
            <w:r w:rsidRPr="00C5494E">
              <w:t>2.34</w:t>
            </w:r>
          </w:p>
        </w:tc>
        <w:tc>
          <w:tcPr>
            <w:tcW w:w="827" w:type="dxa"/>
            <w:tcBorders>
              <w:top w:val="nil"/>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100000"/>
            </w:pPr>
            <w:r w:rsidRPr="00C5494E">
              <w:t>2.08</w:t>
            </w:r>
          </w:p>
        </w:tc>
        <w:tc>
          <w:tcPr>
            <w:tcW w:w="827" w:type="dxa"/>
            <w:tcBorders>
              <w:top w:val="nil"/>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100000"/>
            </w:pPr>
            <w:r w:rsidRPr="00C5494E">
              <w:t>0.33</w:t>
            </w:r>
          </w:p>
        </w:tc>
        <w:tc>
          <w:tcPr>
            <w:tcW w:w="827" w:type="dxa"/>
            <w:tcBorders>
              <w:top w:val="nil"/>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100000"/>
            </w:pPr>
            <w:r w:rsidRPr="00C5494E">
              <w:t>0.24</w:t>
            </w:r>
          </w:p>
        </w:tc>
        <w:tc>
          <w:tcPr>
            <w:tcW w:w="827" w:type="dxa"/>
            <w:tcBorders>
              <w:top w:val="nil"/>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100000"/>
            </w:pPr>
            <w:r w:rsidRPr="00C5494E">
              <w:t>4.45</w:t>
            </w:r>
          </w:p>
        </w:tc>
        <w:tc>
          <w:tcPr>
            <w:tcW w:w="827" w:type="dxa"/>
            <w:tcBorders>
              <w:top w:val="nil"/>
              <w:left w:val="single" w:sz="8" w:space="0" w:color="990033"/>
              <w:bottom w:val="single" w:sz="8" w:space="0" w:color="990033"/>
              <w:right w:val="single" w:sz="8" w:space="0" w:color="990033"/>
            </w:tcBorders>
            <w:vAlign w:val="center"/>
          </w:tcPr>
          <w:p w:rsidR="007B79E8" w:rsidRPr="00C5494E" w:rsidRDefault="007B79E8" w:rsidP="005704BD">
            <w:pPr>
              <w:pStyle w:val="Tabletext"/>
              <w:jc w:val="center"/>
              <w:cnfStyle w:val="000000100000"/>
            </w:pPr>
            <w:r w:rsidRPr="00C5494E">
              <w:t>4.35</w:t>
            </w:r>
          </w:p>
        </w:tc>
      </w:tr>
      <w:tr w:rsidR="00A71DEE" w:rsidRPr="00C5494E" w:rsidTr="001C0A69">
        <w:trPr>
          <w:jc w:val="center"/>
        </w:trPr>
        <w:tc>
          <w:tcPr>
            <w:cnfStyle w:val="001000000000"/>
            <w:tcW w:w="2690" w:type="dxa"/>
            <w:tcBorders>
              <w:top w:val="single" w:sz="8" w:space="0" w:color="990033"/>
              <w:left w:val="single" w:sz="8" w:space="0" w:color="990033"/>
              <w:bottom w:val="nil"/>
              <w:right w:val="single" w:sz="8" w:space="0" w:color="990033"/>
            </w:tcBorders>
          </w:tcPr>
          <w:p w:rsidR="007B79E8" w:rsidRPr="00C5494E" w:rsidRDefault="007B79E8" w:rsidP="00A71DEE">
            <w:pPr>
              <w:pStyle w:val="Tabletext"/>
            </w:pPr>
            <w:r w:rsidRPr="00C5494E">
              <w:t>Maldives</w:t>
            </w:r>
          </w:p>
        </w:tc>
        <w:tc>
          <w:tcPr>
            <w:tcW w:w="828" w:type="dxa"/>
            <w:tcBorders>
              <w:top w:val="single" w:sz="8" w:space="0" w:color="990033"/>
              <w:left w:val="single" w:sz="8" w:space="0" w:color="990033"/>
              <w:right w:val="single" w:sz="8" w:space="0" w:color="990033"/>
            </w:tcBorders>
          </w:tcPr>
          <w:p w:rsidR="007B79E8" w:rsidRPr="00C5494E" w:rsidRDefault="007B79E8" w:rsidP="005704BD">
            <w:pPr>
              <w:pStyle w:val="Tabletext"/>
              <w:jc w:val="center"/>
              <w:cnfStyle w:val="000000000000"/>
            </w:pPr>
            <w:r w:rsidRPr="00C5494E">
              <w:t>3.54</w:t>
            </w:r>
          </w:p>
        </w:tc>
        <w:tc>
          <w:tcPr>
            <w:tcW w:w="828" w:type="dxa"/>
            <w:tcBorders>
              <w:top w:val="single" w:sz="8" w:space="0" w:color="990033"/>
              <w:left w:val="single" w:sz="8" w:space="0" w:color="990033"/>
              <w:right w:val="single" w:sz="8" w:space="0" w:color="990033"/>
            </w:tcBorders>
          </w:tcPr>
          <w:p w:rsidR="007B79E8" w:rsidRPr="00C5494E" w:rsidRDefault="007B79E8" w:rsidP="005704BD">
            <w:pPr>
              <w:pStyle w:val="Tabletext"/>
              <w:jc w:val="center"/>
              <w:cnfStyle w:val="000000000000"/>
            </w:pPr>
            <w:r w:rsidRPr="00C5494E">
              <w:t>3.11</w:t>
            </w:r>
          </w:p>
        </w:tc>
        <w:tc>
          <w:tcPr>
            <w:tcW w:w="827" w:type="dxa"/>
            <w:tcBorders>
              <w:top w:val="single" w:sz="8" w:space="0" w:color="990033"/>
              <w:left w:val="single" w:sz="8" w:space="0" w:color="990033"/>
              <w:right w:val="single" w:sz="8" w:space="0" w:color="990033"/>
            </w:tcBorders>
          </w:tcPr>
          <w:p w:rsidR="007B79E8" w:rsidRPr="00C5494E" w:rsidRDefault="007B79E8" w:rsidP="005704BD">
            <w:pPr>
              <w:pStyle w:val="Tabletext"/>
              <w:jc w:val="center"/>
              <w:cnfStyle w:val="000000000000"/>
            </w:pPr>
            <w:r w:rsidRPr="00C5494E">
              <w:t>4.61</w:t>
            </w:r>
          </w:p>
        </w:tc>
        <w:tc>
          <w:tcPr>
            <w:tcW w:w="827" w:type="dxa"/>
            <w:tcBorders>
              <w:top w:val="single" w:sz="8" w:space="0" w:color="990033"/>
              <w:left w:val="single" w:sz="8" w:space="0" w:color="990033"/>
              <w:right w:val="single" w:sz="8" w:space="0" w:color="990033"/>
            </w:tcBorders>
          </w:tcPr>
          <w:p w:rsidR="007B79E8" w:rsidRPr="00C5494E" w:rsidRDefault="007B79E8" w:rsidP="005704BD">
            <w:pPr>
              <w:pStyle w:val="Tabletext"/>
              <w:jc w:val="center"/>
              <w:cnfStyle w:val="000000000000"/>
            </w:pPr>
            <w:r w:rsidRPr="00C5494E">
              <w:t>4.00</w:t>
            </w:r>
          </w:p>
        </w:tc>
        <w:tc>
          <w:tcPr>
            <w:tcW w:w="827" w:type="dxa"/>
            <w:tcBorders>
              <w:top w:val="single" w:sz="8" w:space="0" w:color="990033"/>
              <w:left w:val="single" w:sz="8" w:space="0" w:color="990033"/>
              <w:right w:val="single" w:sz="8" w:space="0" w:color="990033"/>
            </w:tcBorders>
          </w:tcPr>
          <w:p w:rsidR="007B79E8" w:rsidRPr="00C5494E" w:rsidRDefault="007B79E8" w:rsidP="005704BD">
            <w:pPr>
              <w:pStyle w:val="Tabletext"/>
              <w:jc w:val="center"/>
              <w:cnfStyle w:val="000000000000"/>
            </w:pPr>
            <w:r w:rsidRPr="00C5494E">
              <w:t>1.15</w:t>
            </w:r>
          </w:p>
        </w:tc>
        <w:tc>
          <w:tcPr>
            <w:tcW w:w="827" w:type="dxa"/>
            <w:tcBorders>
              <w:top w:val="single" w:sz="8" w:space="0" w:color="990033"/>
              <w:left w:val="single" w:sz="8" w:space="0" w:color="990033"/>
              <w:right w:val="single" w:sz="8" w:space="0" w:color="990033"/>
            </w:tcBorders>
          </w:tcPr>
          <w:p w:rsidR="007B79E8" w:rsidRPr="00C5494E" w:rsidRDefault="007B79E8" w:rsidP="005704BD">
            <w:pPr>
              <w:pStyle w:val="Tabletext"/>
              <w:jc w:val="center"/>
              <w:cnfStyle w:val="000000000000"/>
            </w:pPr>
            <w:r w:rsidRPr="00C5494E">
              <w:t>0.76</w:t>
            </w:r>
          </w:p>
        </w:tc>
        <w:tc>
          <w:tcPr>
            <w:tcW w:w="827" w:type="dxa"/>
            <w:tcBorders>
              <w:top w:val="single" w:sz="8" w:space="0" w:color="990033"/>
              <w:left w:val="single" w:sz="8" w:space="0" w:color="990033"/>
              <w:right w:val="single" w:sz="8" w:space="0" w:color="990033"/>
            </w:tcBorders>
          </w:tcPr>
          <w:p w:rsidR="007B79E8" w:rsidRPr="00C5494E" w:rsidRDefault="007B79E8" w:rsidP="005704BD">
            <w:pPr>
              <w:pStyle w:val="Tabletext"/>
              <w:jc w:val="center"/>
              <w:cnfStyle w:val="000000000000"/>
            </w:pPr>
            <w:r w:rsidRPr="00C5494E">
              <w:t>6.16</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000000"/>
            </w:pPr>
            <w:r w:rsidRPr="00C5494E">
              <w:t>6.02</w:t>
            </w:r>
          </w:p>
        </w:tc>
      </w:tr>
      <w:tr w:rsidR="00A71DEE" w:rsidRPr="00C5494E" w:rsidTr="001C0A69">
        <w:trPr>
          <w:cnfStyle w:val="000000100000"/>
          <w:jc w:val="center"/>
        </w:trPr>
        <w:tc>
          <w:tcPr>
            <w:cnfStyle w:val="001000000000"/>
            <w:tcW w:w="2690" w:type="dxa"/>
            <w:tcBorders>
              <w:top w:val="nil"/>
              <w:left w:val="single" w:sz="8" w:space="0" w:color="990033"/>
              <w:bottom w:val="nil"/>
              <w:right w:val="single" w:sz="8" w:space="0" w:color="990033"/>
            </w:tcBorders>
          </w:tcPr>
          <w:p w:rsidR="007B79E8" w:rsidRPr="00C5494E" w:rsidRDefault="007B79E8" w:rsidP="00A71DEE">
            <w:pPr>
              <w:pStyle w:val="Tabletext"/>
            </w:pPr>
            <w:r w:rsidRPr="00C5494E">
              <w:t>Bhutan</w:t>
            </w:r>
          </w:p>
        </w:tc>
        <w:tc>
          <w:tcPr>
            <w:tcW w:w="828"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1.62</w:t>
            </w:r>
          </w:p>
        </w:tc>
        <w:tc>
          <w:tcPr>
            <w:tcW w:w="828"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1.48</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1.90</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1.74</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0.25</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0.20</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3.82</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3.54</w:t>
            </w:r>
          </w:p>
        </w:tc>
      </w:tr>
      <w:tr w:rsidR="00A71DEE" w:rsidRPr="00C5494E" w:rsidTr="001C0A69">
        <w:trPr>
          <w:jc w:val="center"/>
        </w:trPr>
        <w:tc>
          <w:tcPr>
            <w:cnfStyle w:val="001000000000"/>
            <w:tcW w:w="2690" w:type="dxa"/>
            <w:tcBorders>
              <w:top w:val="nil"/>
              <w:left w:val="single" w:sz="8" w:space="0" w:color="990033"/>
              <w:bottom w:val="nil"/>
              <w:right w:val="single" w:sz="8" w:space="0" w:color="990033"/>
            </w:tcBorders>
          </w:tcPr>
          <w:p w:rsidR="007B79E8" w:rsidRPr="00C5494E" w:rsidRDefault="007B79E8" w:rsidP="00A71DEE">
            <w:pPr>
              <w:pStyle w:val="Tabletext"/>
            </w:pPr>
            <w:r w:rsidRPr="00C5494E">
              <w:t>Bangladesh</w:t>
            </w:r>
          </w:p>
        </w:tc>
        <w:tc>
          <w:tcPr>
            <w:tcW w:w="828" w:type="dxa"/>
            <w:tcBorders>
              <w:left w:val="single" w:sz="8" w:space="0" w:color="990033"/>
              <w:right w:val="single" w:sz="8" w:space="0" w:color="990033"/>
            </w:tcBorders>
          </w:tcPr>
          <w:p w:rsidR="007B79E8" w:rsidRPr="00C5494E" w:rsidRDefault="007B79E8" w:rsidP="005704BD">
            <w:pPr>
              <w:pStyle w:val="Tabletext"/>
              <w:jc w:val="center"/>
              <w:cnfStyle w:val="000000000000"/>
            </w:pPr>
            <w:r w:rsidRPr="00C5494E">
              <w:t>1.41</w:t>
            </w:r>
          </w:p>
        </w:tc>
        <w:tc>
          <w:tcPr>
            <w:tcW w:w="828" w:type="dxa"/>
            <w:tcBorders>
              <w:left w:val="single" w:sz="8" w:space="0" w:color="990033"/>
              <w:right w:val="single" w:sz="8" w:space="0" w:color="990033"/>
            </w:tcBorders>
          </w:tcPr>
          <w:p w:rsidR="007B79E8" w:rsidRPr="00C5494E" w:rsidRDefault="007B79E8" w:rsidP="005704BD">
            <w:pPr>
              <w:pStyle w:val="Tabletext"/>
              <w:jc w:val="center"/>
              <w:cnfStyle w:val="000000000000"/>
            </w:pPr>
            <w:r w:rsidRPr="00C5494E">
              <w:t>1.34</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000000"/>
            </w:pPr>
            <w:r w:rsidRPr="00C5494E">
              <w:t>1.78</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000000"/>
            </w:pPr>
            <w:r w:rsidRPr="00C5494E">
              <w:t>1.59</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000000"/>
            </w:pPr>
            <w:r w:rsidRPr="00C5494E">
              <w:t>0.01</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000000"/>
            </w:pPr>
            <w:r w:rsidRPr="00C5494E">
              <w:t>0.01</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000000"/>
            </w:pPr>
            <w:r w:rsidRPr="00C5494E">
              <w:t>3.48</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000000"/>
            </w:pPr>
            <w:r w:rsidRPr="00C5494E">
              <w:t>3.48</w:t>
            </w:r>
          </w:p>
        </w:tc>
      </w:tr>
      <w:tr w:rsidR="00A71DEE" w:rsidRPr="00C5494E" w:rsidTr="001C0A69">
        <w:trPr>
          <w:cnfStyle w:val="000000100000"/>
          <w:jc w:val="center"/>
        </w:trPr>
        <w:tc>
          <w:tcPr>
            <w:cnfStyle w:val="001000000000"/>
            <w:tcW w:w="2690" w:type="dxa"/>
            <w:tcBorders>
              <w:top w:val="nil"/>
              <w:left w:val="single" w:sz="8" w:space="0" w:color="990033"/>
              <w:bottom w:val="nil"/>
              <w:right w:val="single" w:sz="8" w:space="0" w:color="990033"/>
            </w:tcBorders>
          </w:tcPr>
          <w:p w:rsidR="007B79E8" w:rsidRPr="00C5494E" w:rsidRDefault="007B79E8" w:rsidP="00A71DEE">
            <w:pPr>
              <w:pStyle w:val="Tabletext"/>
            </w:pPr>
            <w:r w:rsidRPr="00C5494E">
              <w:t>Nepal</w:t>
            </w:r>
          </w:p>
        </w:tc>
        <w:tc>
          <w:tcPr>
            <w:tcW w:w="828"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1.34</w:t>
            </w:r>
          </w:p>
        </w:tc>
        <w:tc>
          <w:tcPr>
            <w:tcW w:w="828"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1.27</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1.37</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1.31</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0.06</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0.05</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3.83</w:t>
            </w:r>
          </w:p>
        </w:tc>
        <w:tc>
          <w:tcPr>
            <w:tcW w:w="827" w:type="dxa"/>
            <w:tcBorders>
              <w:left w:val="single" w:sz="8" w:space="0" w:color="990033"/>
              <w:right w:val="single" w:sz="8" w:space="0" w:color="990033"/>
            </w:tcBorders>
          </w:tcPr>
          <w:p w:rsidR="007B79E8" w:rsidRPr="00C5494E" w:rsidRDefault="007B79E8" w:rsidP="005704BD">
            <w:pPr>
              <w:pStyle w:val="Tabletext"/>
              <w:jc w:val="center"/>
              <w:cnfStyle w:val="000000100000"/>
            </w:pPr>
            <w:r w:rsidRPr="00C5494E">
              <w:t>3.61</w:t>
            </w:r>
          </w:p>
        </w:tc>
      </w:tr>
      <w:tr w:rsidR="00A71DEE" w:rsidRPr="00C5494E" w:rsidTr="001C0A69">
        <w:trPr>
          <w:jc w:val="center"/>
        </w:trPr>
        <w:tc>
          <w:tcPr>
            <w:cnfStyle w:val="001000000000"/>
            <w:tcW w:w="2690" w:type="dxa"/>
            <w:tcBorders>
              <w:top w:val="nil"/>
              <w:left w:val="single" w:sz="8" w:space="0" w:color="990033"/>
              <w:bottom w:val="single" w:sz="8" w:space="0" w:color="990033"/>
              <w:right w:val="single" w:sz="8" w:space="0" w:color="990033"/>
            </w:tcBorders>
          </w:tcPr>
          <w:p w:rsidR="007B79E8" w:rsidRPr="00C5494E" w:rsidRDefault="007B79E8" w:rsidP="00A71DEE">
            <w:pPr>
              <w:pStyle w:val="Tabletext"/>
            </w:pPr>
            <w:r w:rsidRPr="00C5494E">
              <w:t>Afghanistan</w:t>
            </w:r>
          </w:p>
        </w:tc>
        <w:tc>
          <w:tcPr>
            <w:tcW w:w="828" w:type="dxa"/>
            <w:tcBorders>
              <w:left w:val="single" w:sz="8" w:space="0" w:color="990033"/>
              <w:bottom w:val="single" w:sz="8" w:space="0" w:color="990033"/>
              <w:right w:val="single" w:sz="8" w:space="0" w:color="990033"/>
            </w:tcBorders>
          </w:tcPr>
          <w:p w:rsidR="007B79E8" w:rsidRPr="00C5494E" w:rsidRDefault="007B79E8" w:rsidP="005704BD">
            <w:pPr>
              <w:pStyle w:val="Tabletext"/>
              <w:jc w:val="center"/>
              <w:cnfStyle w:val="000000000000"/>
            </w:pPr>
            <w:r w:rsidRPr="00C5494E">
              <w:t>NA</w:t>
            </w:r>
          </w:p>
        </w:tc>
        <w:tc>
          <w:tcPr>
            <w:tcW w:w="828" w:type="dxa"/>
            <w:tcBorders>
              <w:left w:val="single" w:sz="8" w:space="0" w:color="990033"/>
              <w:bottom w:val="single" w:sz="8" w:space="0" w:color="990033"/>
              <w:right w:val="single" w:sz="8" w:space="0" w:color="990033"/>
            </w:tcBorders>
          </w:tcPr>
          <w:p w:rsidR="007B79E8" w:rsidRPr="00C5494E" w:rsidRDefault="007B79E8" w:rsidP="005704BD">
            <w:pPr>
              <w:pStyle w:val="Tabletext"/>
              <w:jc w:val="center"/>
              <w:cnfStyle w:val="000000000000"/>
            </w:pPr>
            <w:r w:rsidRPr="00C5494E">
              <w:t>NA</w:t>
            </w:r>
          </w:p>
        </w:tc>
        <w:tc>
          <w:tcPr>
            <w:tcW w:w="827" w:type="dxa"/>
            <w:tcBorders>
              <w:left w:val="single" w:sz="8" w:space="0" w:color="990033"/>
              <w:bottom w:val="single" w:sz="8" w:space="0" w:color="990033"/>
              <w:right w:val="single" w:sz="8" w:space="0" w:color="990033"/>
            </w:tcBorders>
          </w:tcPr>
          <w:p w:rsidR="007B79E8" w:rsidRPr="00C5494E" w:rsidRDefault="007B79E8" w:rsidP="005704BD">
            <w:pPr>
              <w:pStyle w:val="Tabletext"/>
              <w:jc w:val="center"/>
              <w:cnfStyle w:val="000000000000"/>
            </w:pPr>
            <w:r w:rsidRPr="00C5494E">
              <w:t>NA</w:t>
            </w:r>
          </w:p>
        </w:tc>
        <w:tc>
          <w:tcPr>
            <w:tcW w:w="827" w:type="dxa"/>
            <w:tcBorders>
              <w:left w:val="single" w:sz="8" w:space="0" w:color="990033"/>
              <w:bottom w:val="single" w:sz="8" w:space="0" w:color="990033"/>
              <w:right w:val="single" w:sz="8" w:space="0" w:color="990033"/>
            </w:tcBorders>
          </w:tcPr>
          <w:p w:rsidR="007B79E8" w:rsidRPr="00C5494E" w:rsidRDefault="007B79E8" w:rsidP="005704BD">
            <w:pPr>
              <w:pStyle w:val="Tabletext"/>
              <w:jc w:val="center"/>
              <w:cnfStyle w:val="000000000000"/>
            </w:pPr>
            <w:r w:rsidRPr="00C5494E">
              <w:t>NA</w:t>
            </w:r>
          </w:p>
        </w:tc>
        <w:tc>
          <w:tcPr>
            <w:tcW w:w="827" w:type="dxa"/>
            <w:tcBorders>
              <w:left w:val="single" w:sz="8" w:space="0" w:color="990033"/>
              <w:bottom w:val="single" w:sz="8" w:space="0" w:color="990033"/>
              <w:right w:val="single" w:sz="8" w:space="0" w:color="990033"/>
            </w:tcBorders>
          </w:tcPr>
          <w:p w:rsidR="007B79E8" w:rsidRPr="00C5494E" w:rsidRDefault="007B79E8" w:rsidP="005704BD">
            <w:pPr>
              <w:pStyle w:val="Tabletext"/>
              <w:jc w:val="center"/>
              <w:cnfStyle w:val="000000000000"/>
            </w:pPr>
            <w:r w:rsidRPr="00C5494E">
              <w:t>NA</w:t>
            </w:r>
          </w:p>
        </w:tc>
        <w:tc>
          <w:tcPr>
            <w:tcW w:w="827" w:type="dxa"/>
            <w:tcBorders>
              <w:left w:val="single" w:sz="8" w:space="0" w:color="990033"/>
              <w:bottom w:val="single" w:sz="8" w:space="0" w:color="990033"/>
              <w:right w:val="single" w:sz="8" w:space="0" w:color="990033"/>
            </w:tcBorders>
          </w:tcPr>
          <w:p w:rsidR="007B79E8" w:rsidRPr="00C5494E" w:rsidRDefault="007B79E8" w:rsidP="005704BD">
            <w:pPr>
              <w:pStyle w:val="Tabletext"/>
              <w:jc w:val="center"/>
              <w:cnfStyle w:val="000000000000"/>
            </w:pPr>
            <w:r w:rsidRPr="00C5494E">
              <w:t>NA</w:t>
            </w:r>
          </w:p>
        </w:tc>
        <w:tc>
          <w:tcPr>
            <w:tcW w:w="827" w:type="dxa"/>
            <w:tcBorders>
              <w:left w:val="single" w:sz="8" w:space="0" w:color="990033"/>
              <w:bottom w:val="single" w:sz="8" w:space="0" w:color="990033"/>
              <w:right w:val="single" w:sz="8" w:space="0" w:color="990033"/>
            </w:tcBorders>
          </w:tcPr>
          <w:p w:rsidR="007B79E8" w:rsidRPr="00C5494E" w:rsidRDefault="007B79E8" w:rsidP="005704BD">
            <w:pPr>
              <w:pStyle w:val="Tabletext"/>
              <w:jc w:val="center"/>
              <w:cnfStyle w:val="000000000000"/>
            </w:pPr>
            <w:r w:rsidRPr="00C5494E">
              <w:t>NA</w:t>
            </w:r>
          </w:p>
        </w:tc>
        <w:tc>
          <w:tcPr>
            <w:tcW w:w="827" w:type="dxa"/>
            <w:tcBorders>
              <w:left w:val="single" w:sz="8" w:space="0" w:color="990033"/>
              <w:bottom w:val="single" w:sz="8" w:space="0" w:color="990033"/>
              <w:right w:val="single" w:sz="8" w:space="0" w:color="990033"/>
            </w:tcBorders>
          </w:tcPr>
          <w:p w:rsidR="007B79E8" w:rsidRPr="00C5494E" w:rsidRDefault="007B79E8" w:rsidP="005704BD">
            <w:pPr>
              <w:pStyle w:val="Tabletext"/>
              <w:jc w:val="center"/>
              <w:cnfStyle w:val="000000000000"/>
            </w:pPr>
            <w:r w:rsidRPr="00C5494E">
              <w:t>NA</w:t>
            </w:r>
          </w:p>
        </w:tc>
      </w:tr>
      <w:tr w:rsidR="007B79E8" w:rsidRPr="00DC056F" w:rsidTr="001C0A69">
        <w:trPr>
          <w:cnfStyle w:val="000000100000"/>
          <w:jc w:val="center"/>
        </w:trPr>
        <w:tc>
          <w:tcPr>
            <w:cnfStyle w:val="001000000000"/>
            <w:tcW w:w="9308" w:type="dxa"/>
            <w:gridSpan w:val="9"/>
            <w:tcBorders>
              <w:top w:val="single" w:sz="8" w:space="0" w:color="990033"/>
              <w:left w:val="single" w:sz="8" w:space="0" w:color="990033"/>
              <w:bottom w:val="single" w:sz="8" w:space="0" w:color="990033"/>
              <w:right w:val="single" w:sz="8" w:space="0" w:color="990033"/>
            </w:tcBorders>
          </w:tcPr>
          <w:p w:rsidR="007B79E8" w:rsidRPr="0048461C" w:rsidRDefault="007B79E8" w:rsidP="00A71DEE">
            <w:pPr>
              <w:pStyle w:val="Tablelegend"/>
              <w:rPr>
                <w:b w:val="0"/>
                <w:bCs w:val="0"/>
                <w:lang w:val="fr-CH"/>
              </w:rPr>
            </w:pPr>
            <w:r w:rsidRPr="0048461C">
              <w:rPr>
                <w:b w:val="0"/>
                <w:bCs w:val="0"/>
                <w:i w:val="0"/>
                <w:iCs w:val="0"/>
                <w:lang w:val="fr-CH"/>
              </w:rPr>
              <w:t xml:space="preserve">* Simple </w:t>
            </w:r>
            <w:proofErr w:type="spellStart"/>
            <w:r w:rsidRPr="0048461C">
              <w:rPr>
                <w:b w:val="0"/>
                <w:bCs w:val="0"/>
                <w:i w:val="0"/>
                <w:iCs w:val="0"/>
                <w:lang w:val="fr-CH"/>
              </w:rPr>
              <w:t>averages</w:t>
            </w:r>
            <w:proofErr w:type="spellEnd"/>
            <w:r w:rsidRPr="0048461C">
              <w:rPr>
                <w:b w:val="0"/>
                <w:bCs w:val="0"/>
                <w:i w:val="0"/>
                <w:iCs w:val="0"/>
                <w:lang w:val="fr-CH"/>
              </w:rPr>
              <w:t>.</w:t>
            </w:r>
            <w:r w:rsidRPr="0048461C">
              <w:rPr>
                <w:b w:val="0"/>
                <w:bCs w:val="0"/>
                <w:i w:val="0"/>
                <w:iCs w:val="0"/>
                <w:lang w:val="fr-CH"/>
              </w:rPr>
              <w:br/>
            </w:r>
            <w:r w:rsidRPr="0048461C">
              <w:rPr>
                <w:b w:val="0"/>
                <w:bCs w:val="0"/>
                <w:lang w:val="fr-CH"/>
              </w:rPr>
              <w:t>Source:</w:t>
            </w:r>
            <w:r w:rsidRPr="0048461C">
              <w:rPr>
                <w:b w:val="0"/>
                <w:bCs w:val="0"/>
                <w:i w:val="0"/>
                <w:iCs w:val="0"/>
                <w:lang w:val="fr-CH"/>
              </w:rPr>
              <w:t xml:space="preserve"> ITU (2010b).</w:t>
            </w:r>
          </w:p>
        </w:tc>
      </w:tr>
    </w:tbl>
    <w:p w:rsidR="007B79E8" w:rsidRPr="0048461C" w:rsidRDefault="007B79E8" w:rsidP="007B79E8">
      <w:pPr>
        <w:rPr>
          <w:lang w:val="fr-CH"/>
        </w:rPr>
      </w:pPr>
    </w:p>
    <w:p w:rsidR="007B79E8" w:rsidRPr="00C5494E" w:rsidRDefault="007B79E8" w:rsidP="007B79E8">
      <w:pPr>
        <w:rPr>
          <w:bCs/>
        </w:rPr>
      </w:pPr>
      <w:r w:rsidRPr="00C5494E">
        <w:rPr>
          <w:bCs/>
        </w:rPr>
        <w:t xml:space="preserve">Maldives is the only ABBMN country with an IDI value above the average of developing countries. It stands out for having a high access sub-index value (higher than the world average), but the country has a rather low use sub-index value when compared to that of the world (i.e. low broadband and Internet uptake). </w:t>
      </w:r>
    </w:p>
    <w:p w:rsidR="007B79E8" w:rsidRPr="00C5494E" w:rsidRDefault="005704BD" w:rsidP="005704BD">
      <w:pPr>
        <w:rPr>
          <w:bCs/>
        </w:rPr>
      </w:pPr>
      <w:r w:rsidRPr="00C5494E">
        <w:rPr>
          <w:bCs/>
        </w:rPr>
        <w:t xml:space="preserve">Chart 3.5 shows the relationship between IDI and GNI per capita in </w:t>
      </w:r>
      <w:smartTag w:uri="urn:schemas-microsoft-com:office:smarttags" w:element="place">
        <w:r w:rsidRPr="00C5494E">
          <w:rPr>
            <w:bCs/>
          </w:rPr>
          <w:t>South Asia</w:t>
        </w:r>
      </w:smartTag>
      <w:r w:rsidRPr="00C5494E">
        <w:rPr>
          <w:bCs/>
        </w:rPr>
        <w:t xml:space="preserve">. The relation is indeed quite strong in the region (overall R square value of 0.69, or 0.89 excluding </w:t>
      </w:r>
      <w:smartTag w:uri="urn:schemas-microsoft-com:office:smarttags" w:element="place">
        <w:smartTag w:uri="urn:schemas-microsoft-com:office:smarttags" w:element="country-region">
          <w:r w:rsidRPr="00C5494E">
            <w:rPr>
              <w:bCs/>
            </w:rPr>
            <w:t>Bhutan</w:t>
          </w:r>
        </w:smartTag>
      </w:smartTag>
      <w:r w:rsidRPr="00C5494E">
        <w:rPr>
          <w:bCs/>
        </w:rPr>
        <w:t xml:space="preserve"> from the computation).</w:t>
      </w:r>
      <w:r w:rsidRPr="00C5494E">
        <w:rPr>
          <w:bCs/>
          <w:vertAlign w:val="superscript"/>
        </w:rPr>
        <w:footnoteReference w:id="24"/>
      </w:r>
      <w:r w:rsidRPr="00C5494E">
        <w:rPr>
          <w:bCs/>
        </w:rPr>
        <w:t xml:space="preserve"> </w:t>
      </w:r>
      <w:smartTag w:uri="urn:schemas-microsoft-com:office:smarttags" w:element="country-region">
        <w:smartTag w:uri="urn:schemas-microsoft-com:office:smarttags" w:element="place">
          <w:r w:rsidRPr="00C5494E">
            <w:rPr>
              <w:bCs/>
            </w:rPr>
            <w:t>Bhutan</w:t>
          </w:r>
        </w:smartTag>
      </w:smartTag>
      <w:r w:rsidRPr="00C5494E">
        <w:rPr>
          <w:bCs/>
        </w:rPr>
        <w:t xml:space="preserve"> has a lower IDI value as would be expected for its level of income (it is clearly below the </w:t>
      </w:r>
      <w:proofErr w:type="spellStart"/>
      <w:r w:rsidRPr="00C5494E">
        <w:rPr>
          <w:bCs/>
        </w:rPr>
        <w:t>trendline</w:t>
      </w:r>
      <w:proofErr w:type="spellEnd"/>
      <w:r w:rsidRPr="00C5494E">
        <w:rPr>
          <w:bCs/>
        </w:rPr>
        <w:t xml:space="preserve"> in Chart 3.5). This suggests that the country has ample room for stronger ICT-led developments, if relevant policies are enforced.</w:t>
      </w:r>
    </w:p>
    <w:p w:rsidR="007B79E8" w:rsidRPr="00C5494E" w:rsidRDefault="007B79E8" w:rsidP="007B79E8">
      <w:pPr>
        <w:rPr>
          <w:bCs/>
        </w:rPr>
      </w:pPr>
      <w:r w:rsidRPr="00C5494E">
        <w:rPr>
          <w:bCs/>
        </w:rPr>
        <w:t>Bangladesh and Nepal have the lowest IDI values in ABBMN countries, although as it can be seen in Chart 3.5</w:t>
      </w:r>
      <w:r w:rsidR="000F4A58" w:rsidRPr="00C5494E">
        <w:rPr>
          <w:bCs/>
        </w:rPr>
        <w:t>,</w:t>
      </w:r>
      <w:r w:rsidRPr="00C5494E">
        <w:rPr>
          <w:bCs/>
        </w:rPr>
        <w:t xml:space="preserve"> their IDI values correspond to their level of income. Bangladesh has a low use sub-index value (in 2008 the second lowest in the world, after that of Myanmar). This stresses the importance of fostering broadband access and Internet use in the country, in order to advance both in terms of ICT uptake and economic development. </w:t>
      </w:r>
    </w:p>
    <w:p w:rsidR="007B79E8" w:rsidRPr="00C5494E" w:rsidRDefault="005704BD" w:rsidP="005704BD">
      <w:pPr>
        <w:rPr>
          <w:bCs/>
        </w:rPr>
      </w:pPr>
      <w:smartTag w:uri="urn:schemas-microsoft-com:office:smarttags" w:element="place">
        <w:smartTag w:uri="urn:schemas-microsoft-com:office:smarttags" w:element="country-region">
          <w:r w:rsidRPr="00C5494E">
            <w:rPr>
              <w:bCs/>
            </w:rPr>
            <w:t>Nepal</w:t>
          </w:r>
        </w:smartTag>
      </w:smartTag>
      <w:r w:rsidRPr="00C5494E">
        <w:rPr>
          <w:bCs/>
        </w:rPr>
        <w:t xml:space="preserve"> has a very low access sub-index value, which has experienced little growth between 2007 and 2008.</w:t>
      </w:r>
      <w:r w:rsidRPr="00C5494E">
        <w:rPr>
          <w:bCs/>
          <w:vertAlign w:val="superscript"/>
        </w:rPr>
        <w:footnoteReference w:id="25"/>
      </w:r>
      <w:r w:rsidRPr="00C5494E">
        <w:rPr>
          <w:bCs/>
        </w:rPr>
        <w:t xml:space="preserve"> This finding suggests that the country should focus on creating an enabling environment for the development of basic ICT infrastructure.</w:t>
      </w:r>
    </w:p>
    <w:p w:rsidR="001C0A69" w:rsidRPr="00C5494E" w:rsidRDefault="001C0A69" w:rsidP="007B79E8"/>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501"/>
      </w:tblGrid>
      <w:tr w:rsidR="001C0A69" w:rsidRPr="00C5494E" w:rsidTr="00FB239F">
        <w:trPr>
          <w:jc w:val="center"/>
        </w:trPr>
        <w:tc>
          <w:tcPr>
            <w:tcW w:w="9424" w:type="dxa"/>
            <w:shd w:val="clear" w:color="auto" w:fill="D9D9D9" w:themeFill="background1" w:themeFillShade="D9"/>
          </w:tcPr>
          <w:p w:rsidR="001C0A69" w:rsidRPr="00C5494E" w:rsidRDefault="001C0A69" w:rsidP="00FB239F">
            <w:pPr>
              <w:pStyle w:val="FigureNoTitle"/>
              <w:rPr>
                <w:lang w:val="en-GB"/>
              </w:rPr>
            </w:pPr>
            <w:r w:rsidRPr="00C5494E">
              <w:rPr>
                <w:lang w:val="en-GB"/>
              </w:rPr>
              <w:lastRenderedPageBreak/>
              <w:t xml:space="preserve">Chart 3.5: IDI and GNI per capita, </w:t>
            </w:r>
            <w:smartTag w:uri="urn:schemas-microsoft-com:office:smarttags" w:element="place">
              <w:r w:rsidRPr="00C5494E">
                <w:rPr>
                  <w:lang w:val="en-GB"/>
                </w:rPr>
                <w:t>South Asia</w:t>
              </w:r>
            </w:smartTag>
            <w:r w:rsidRPr="00C5494E">
              <w:rPr>
                <w:lang w:val="en-GB"/>
              </w:rPr>
              <w:t>, 2008</w:t>
            </w:r>
          </w:p>
          <w:p w:rsidR="001C0A69" w:rsidRPr="00C5494E" w:rsidRDefault="001C0A69" w:rsidP="00FB239F">
            <w:pPr>
              <w:pStyle w:val="Figure"/>
              <w:rPr>
                <w:lang w:val="en-GB"/>
              </w:rPr>
            </w:pPr>
            <w:r w:rsidRPr="00C5494E">
              <w:drawing>
                <wp:inline distT="0" distB="0" distL="0" distR="0">
                  <wp:extent cx="5895975" cy="3781425"/>
                  <wp:effectExtent l="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duotone>
                              <a:schemeClr val="accent2">
                                <a:shade val="45000"/>
                                <a:satMod val="135000"/>
                              </a:schemeClr>
                              <a:prstClr val="white"/>
                            </a:duotone>
                          </a:blip>
                          <a:srcRect/>
                          <a:stretch>
                            <a:fillRect/>
                          </a:stretch>
                        </pic:blipFill>
                        <pic:spPr bwMode="auto">
                          <a:xfrm>
                            <a:off x="0" y="0"/>
                            <a:ext cx="5895975" cy="3781425"/>
                          </a:xfrm>
                          <a:prstGeom prst="rect">
                            <a:avLst/>
                          </a:prstGeom>
                          <a:noFill/>
                          <a:ln w="9525">
                            <a:noFill/>
                            <a:miter lim="800000"/>
                            <a:headEnd/>
                            <a:tailEnd/>
                          </a:ln>
                        </pic:spPr>
                      </pic:pic>
                    </a:graphicData>
                  </a:graphic>
                </wp:inline>
              </w:drawing>
            </w:r>
          </w:p>
          <w:p w:rsidR="001C0A69" w:rsidRPr="00C5494E" w:rsidRDefault="001C0A69" w:rsidP="001C0A69">
            <w:pPr>
              <w:pStyle w:val="Figurelegend"/>
              <w:jc w:val="left"/>
            </w:pPr>
            <w:r w:rsidRPr="00C5494E">
              <w:rPr>
                <w:i/>
                <w:iCs/>
              </w:rPr>
              <w:t xml:space="preserve">Note: </w:t>
            </w:r>
            <w:r w:rsidRPr="00C5494E">
              <w:t>R square of 0.89 if Bhutan is excluded from the computation, 0.69 if it is included.</w:t>
            </w:r>
            <w:r w:rsidRPr="00C5494E">
              <w:br/>
            </w:r>
            <w:r w:rsidRPr="00C5494E">
              <w:rPr>
                <w:i/>
                <w:iCs/>
              </w:rPr>
              <w:t>Source</w:t>
            </w:r>
            <w:r w:rsidRPr="00C5494E">
              <w:t>: ITU (2010b) and World Bank (GNI per capita data).</w:t>
            </w:r>
          </w:p>
        </w:tc>
      </w:tr>
    </w:tbl>
    <w:p w:rsidR="001C0A69" w:rsidRPr="00C5494E" w:rsidRDefault="001C0A69" w:rsidP="007B79E8"/>
    <w:p w:rsidR="001C0A69" w:rsidRPr="00C5494E" w:rsidRDefault="001C0A69" w:rsidP="001C0A69">
      <w:pPr>
        <w:rPr>
          <w:bCs/>
        </w:rPr>
      </w:pPr>
      <w:r w:rsidRPr="00C5494E">
        <w:rPr>
          <w:bCs/>
        </w:rPr>
        <w:t xml:space="preserve">In 2008, all ABBMN countries had an access sub-index well above the use sub-index (see Chart 3.6). Moreover, IDI growth between 2007 and 2008 was mainly due to improvements in the access sub-index, while moderate increases were achieved in the skills and use sub-indices (except for </w:t>
      </w:r>
      <w:smartTag w:uri="urn:schemas-microsoft-com:office:smarttags" w:element="place">
        <w:smartTag w:uri="urn:schemas-microsoft-com:office:smarttags" w:element="country-region">
          <w:r w:rsidRPr="00C5494E">
            <w:rPr>
              <w:bCs/>
            </w:rPr>
            <w:t>Maldives</w:t>
          </w:r>
        </w:smartTag>
      </w:smartTag>
      <w:r w:rsidRPr="00C5494E">
        <w:rPr>
          <w:bCs/>
        </w:rPr>
        <w:t xml:space="preserve">, which experienced a significant increase in the use sub-index). </w:t>
      </w:r>
    </w:p>
    <w:p w:rsidR="001C0A69" w:rsidRPr="00C5494E" w:rsidRDefault="001C0A69" w:rsidP="001C0A69">
      <w:pPr>
        <w:rPr>
          <w:bCs/>
        </w:rPr>
      </w:pPr>
      <w:r w:rsidRPr="00C5494E">
        <w:rPr>
          <w:bCs/>
        </w:rPr>
        <w:t>These dynamics are explained by the sequential three-stage model on which the index is based (Figure 3.2): countries advance towards becoming information societies by developing first ICT infrastructure and access, then ICT use and intensity of use, and finally achieving ICT impact, which is enabled by ICT capabilities or skills. ABBMN countries are in the first stage of ICT development, so the focus would need to be put on ICT infrastructure and access developments.</w:t>
      </w:r>
    </w:p>
    <w:p w:rsidR="001C0A69" w:rsidRPr="00C5494E" w:rsidRDefault="001C0A69" w:rsidP="001C0A69">
      <w:pPr>
        <w:rPr>
          <w:bCs/>
        </w:rPr>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872BA3" w:rsidRPr="00C5494E" w:rsidTr="00FB239F">
        <w:trPr>
          <w:jc w:val="center"/>
        </w:trPr>
        <w:tc>
          <w:tcPr>
            <w:tcW w:w="9424" w:type="dxa"/>
            <w:shd w:val="clear" w:color="auto" w:fill="D9D9D9" w:themeFill="background1" w:themeFillShade="D9"/>
          </w:tcPr>
          <w:p w:rsidR="00872BA3" w:rsidRPr="00C5494E" w:rsidRDefault="00872BA3" w:rsidP="00872BA3">
            <w:pPr>
              <w:pStyle w:val="FigureNoTitle"/>
              <w:keepNext/>
              <w:rPr>
                <w:lang w:val="en-GB"/>
              </w:rPr>
            </w:pPr>
            <w:r w:rsidRPr="00C5494E">
              <w:rPr>
                <w:lang w:val="en-GB"/>
              </w:rPr>
              <w:lastRenderedPageBreak/>
              <w:t>Chart 3.6: IDI value of ABBMN countries by sub-index, 2008</w:t>
            </w:r>
          </w:p>
          <w:p w:rsidR="00872BA3" w:rsidRPr="00C5494E" w:rsidRDefault="00872BA3" w:rsidP="00FB239F">
            <w:pPr>
              <w:pStyle w:val="Figure"/>
              <w:rPr>
                <w:lang w:val="en-GB"/>
              </w:rPr>
            </w:pPr>
            <w:r w:rsidRPr="00C5494E">
              <w:drawing>
                <wp:inline distT="0" distB="0" distL="0" distR="0">
                  <wp:extent cx="5114925" cy="3547447"/>
                  <wp:effectExtent l="0" t="0" r="0" b="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duotone>
                              <a:schemeClr val="accent2">
                                <a:shade val="45000"/>
                                <a:satMod val="135000"/>
                              </a:schemeClr>
                              <a:prstClr val="white"/>
                            </a:duotone>
                          </a:blip>
                          <a:srcRect/>
                          <a:stretch>
                            <a:fillRect/>
                          </a:stretch>
                        </pic:blipFill>
                        <pic:spPr bwMode="auto">
                          <a:xfrm>
                            <a:off x="0" y="0"/>
                            <a:ext cx="5114925" cy="3547447"/>
                          </a:xfrm>
                          <a:prstGeom prst="rect">
                            <a:avLst/>
                          </a:prstGeom>
                          <a:noFill/>
                          <a:ln w="9525">
                            <a:noFill/>
                            <a:miter lim="800000"/>
                            <a:headEnd/>
                            <a:tailEnd/>
                          </a:ln>
                        </pic:spPr>
                      </pic:pic>
                    </a:graphicData>
                  </a:graphic>
                </wp:inline>
              </w:drawing>
            </w:r>
          </w:p>
          <w:p w:rsidR="00872BA3" w:rsidRPr="00C5494E" w:rsidRDefault="00872BA3" w:rsidP="005704BD">
            <w:pPr>
              <w:pStyle w:val="Figurelegend"/>
              <w:jc w:val="left"/>
            </w:pPr>
            <w:r w:rsidRPr="00C5494E">
              <w:rPr>
                <w:i/>
                <w:iCs/>
              </w:rPr>
              <w:t xml:space="preserve">Note: </w:t>
            </w:r>
            <w:r w:rsidR="000F4A58" w:rsidRPr="00C5494E">
              <w:t xml:space="preserve">The </w:t>
            </w:r>
            <w:r w:rsidR="005704BD" w:rsidRPr="00C5494E">
              <w:t xml:space="preserve">access and use sub-index have each a weight of 40 </w:t>
            </w:r>
            <w:r w:rsidR="000F4A58" w:rsidRPr="00C5494E">
              <w:t>per cent</w:t>
            </w:r>
            <w:r w:rsidR="005704BD" w:rsidRPr="00C5494E">
              <w:t xml:space="preserve">, while the skills sub-index has the remaining 20 </w:t>
            </w:r>
            <w:r w:rsidR="000F4A58" w:rsidRPr="00C5494E">
              <w:t>per cent</w:t>
            </w:r>
            <w:r w:rsidR="005704BD" w:rsidRPr="00C5494E">
              <w:t xml:space="preserve"> weight of the IDI (see Figure 3.1).</w:t>
            </w:r>
            <w:r w:rsidRPr="00C5494E">
              <w:br/>
            </w:r>
            <w:r w:rsidRPr="00C5494E">
              <w:rPr>
                <w:i/>
                <w:iCs/>
              </w:rPr>
              <w:t>Source</w:t>
            </w:r>
            <w:r w:rsidRPr="00C5494E">
              <w:t>: ITU.</w:t>
            </w:r>
          </w:p>
        </w:tc>
      </w:tr>
    </w:tbl>
    <w:p w:rsidR="00872BA3" w:rsidRPr="00C5494E" w:rsidRDefault="00872BA3" w:rsidP="001C0A69"/>
    <w:p w:rsidR="003F3F29" w:rsidRPr="00C5494E" w:rsidRDefault="003F3F29">
      <w:pPr>
        <w:tabs>
          <w:tab w:val="clear" w:pos="794"/>
          <w:tab w:val="clear" w:pos="1191"/>
          <w:tab w:val="clear" w:pos="1588"/>
          <w:tab w:val="clear" w:pos="1985"/>
        </w:tabs>
        <w:overflowPunct/>
        <w:autoSpaceDE/>
        <w:autoSpaceDN/>
        <w:adjustRightInd/>
        <w:spacing w:before="0"/>
        <w:jc w:val="left"/>
        <w:textAlignment w:val="auto"/>
        <w:rPr>
          <w:bCs/>
        </w:rPr>
      </w:pPr>
      <w:r w:rsidRPr="00C5494E">
        <w:rPr>
          <w:bCs/>
        </w:rPr>
        <w:br w:type="page"/>
      </w:r>
    </w:p>
    <w:p w:rsidR="00872BA3" w:rsidRPr="00C5494E" w:rsidRDefault="00872BA3" w:rsidP="001C0A69">
      <w:pPr>
        <w:rPr>
          <w:bCs/>
        </w:rPr>
      </w:pPr>
      <w:r w:rsidRPr="00C5494E">
        <w:rPr>
          <w:bCs/>
        </w:rPr>
        <w:lastRenderedPageBreak/>
        <w:t>The following section takes a closer look at the IDI performance of ABBMN countries, and highlights key developments and future challenges:</w:t>
      </w:r>
    </w:p>
    <w:p w:rsidR="00872BA3" w:rsidRPr="00C5494E" w:rsidRDefault="00872BA3" w:rsidP="005704BD">
      <w:pPr>
        <w:pStyle w:val="enumlev1"/>
      </w:pPr>
      <w:r w:rsidRPr="00C5494E">
        <w:rPr>
          <w:color w:val="990033"/>
        </w:rPr>
        <w:t>•</w:t>
      </w:r>
      <w:r w:rsidRPr="00C5494E">
        <w:rPr>
          <w:b/>
          <w:bCs/>
        </w:rPr>
        <w:tab/>
        <w:t>Maldives</w:t>
      </w:r>
      <w:r w:rsidRPr="00C5494E">
        <w:t xml:space="preserve"> </w:t>
      </w:r>
      <w:r w:rsidR="005704BD" w:rsidRPr="00C5494E">
        <w:t>(Chart 3.7) had the highest IDI value of all ABBMN countries in 2008 (</w:t>
      </w:r>
      <w:smartTag w:uri="urn:schemas-microsoft-com:office:smarttags" w:element="metricconverter">
        <w:smartTagPr>
          <w:attr w:name="ProductID" w:val="3.54 in"/>
        </w:smartTagPr>
        <w:r w:rsidR="005704BD" w:rsidRPr="00C5494E">
          <w:t>3.54 in</w:t>
        </w:r>
      </w:smartTag>
      <w:r w:rsidR="005704BD" w:rsidRPr="00C5494E">
        <w:t xml:space="preserve"> 2008, ranked 68th out of 159 countries in the global IDI ranking), and the country also experienced the highest IDI gain among ABBMN countries between 2007 and 2008 (0.43 points or 13.7 </w:t>
      </w:r>
      <w:r w:rsidR="000F4A58" w:rsidRPr="00C5494E">
        <w:t>per cent</w:t>
      </w:r>
      <w:r w:rsidR="005704BD" w:rsidRPr="00C5494E">
        <w:t xml:space="preserve"> growth). </w:t>
      </w:r>
      <w:smartTag w:uri="urn:schemas-microsoft-com:office:smarttags" w:element="place">
        <w:smartTag w:uri="urn:schemas-microsoft-com:office:smarttags" w:element="country-region">
          <w:r w:rsidR="005704BD" w:rsidRPr="00C5494E">
            <w:t>Maldives</w:t>
          </w:r>
        </w:smartTag>
      </w:smartTag>
      <w:r w:rsidR="005704BD" w:rsidRPr="00C5494E">
        <w:t xml:space="preserve"> increased mobile cellular penetration from 104 </w:t>
      </w:r>
      <w:r w:rsidR="000F4A58" w:rsidRPr="00C5494E">
        <w:t>per cent</w:t>
      </w:r>
      <w:r w:rsidR="005704BD" w:rsidRPr="00C5494E">
        <w:t xml:space="preserve"> in 2007 to 143 </w:t>
      </w:r>
      <w:r w:rsidR="000F4A58" w:rsidRPr="00C5494E">
        <w:t>per cent</w:t>
      </w:r>
      <w:r w:rsidR="005704BD" w:rsidRPr="00C5494E">
        <w:t xml:space="preserve"> in 2008, reaching the tenth highest mobile cellular penetration in the world. It is the only South Asian country with a mobile cellular penetration above 100 </w:t>
      </w:r>
      <w:r w:rsidR="000F4A58" w:rsidRPr="00C5494E">
        <w:t>per cent</w:t>
      </w:r>
      <w:r w:rsidR="005704BD" w:rsidRPr="00C5494E">
        <w:t xml:space="preserve">. Although much lower, fixed telephone penetration also increased in the same period (from 11 to 15 </w:t>
      </w:r>
      <w:r w:rsidR="000F4A58" w:rsidRPr="00C5494E">
        <w:t>per cent</w:t>
      </w:r>
      <w:r w:rsidR="005704BD" w:rsidRPr="00C5494E">
        <w:t>), which is a significant growth</w:t>
      </w:r>
      <w:r w:rsidR="000F4A58" w:rsidRPr="00C5494E">
        <w:t>,</w:t>
      </w:r>
      <w:r w:rsidR="005704BD" w:rsidRPr="00C5494E">
        <w:t xml:space="preserve"> taking into account that fixed telephone penetration is stagnating or even decreasing worldwide. Nevertheless, the country’s fixed telephone penetration is still far from the reference value (60 </w:t>
      </w:r>
      <w:r w:rsidR="000F4A58" w:rsidRPr="00C5494E">
        <w:t>per cent</w:t>
      </w:r>
      <w:r w:rsidR="005704BD" w:rsidRPr="00C5494E">
        <w:t xml:space="preserve">, see Figure 3.1). In 2008, 30 </w:t>
      </w:r>
      <w:r w:rsidR="000F4A58" w:rsidRPr="00C5494E">
        <w:t>per cent</w:t>
      </w:r>
      <w:r w:rsidR="005704BD" w:rsidRPr="00C5494E">
        <w:t xml:space="preserve"> of households in </w:t>
      </w:r>
      <w:smartTag w:uri="urn:schemas-microsoft-com:office:smarttags" w:element="place">
        <w:smartTag w:uri="urn:schemas-microsoft-com:office:smarttags" w:element="country-region">
          <w:r w:rsidR="005704BD" w:rsidRPr="00C5494E">
            <w:t>Maldives</w:t>
          </w:r>
        </w:smartTag>
      </w:smartTag>
      <w:r w:rsidR="005704BD" w:rsidRPr="00C5494E">
        <w:t xml:space="preserve"> had a computer, and some 10 </w:t>
      </w:r>
      <w:r w:rsidR="000F4A58" w:rsidRPr="00C5494E">
        <w:t>per cent</w:t>
      </w:r>
      <w:r w:rsidR="005704BD" w:rsidRPr="00C5494E">
        <w:t xml:space="preserve"> had an Internet access at home. Regarding use sub-index indicators, Internet usage increased from 17 </w:t>
      </w:r>
      <w:r w:rsidR="000F4A58" w:rsidRPr="00C5494E">
        <w:t>per cent</w:t>
      </w:r>
      <w:r w:rsidR="005704BD" w:rsidRPr="00C5494E">
        <w:t xml:space="preserve"> in 2007 to 24 </w:t>
      </w:r>
      <w:r w:rsidR="000F4A58" w:rsidRPr="00C5494E">
        <w:t>per cent</w:t>
      </w:r>
      <w:r w:rsidR="005704BD" w:rsidRPr="00C5494E">
        <w:t xml:space="preserve"> in 2008, which is still a relatively low value.</w:t>
      </w:r>
      <w:r w:rsidR="005704BD" w:rsidRPr="00C5494E">
        <w:rPr>
          <w:vertAlign w:val="superscript"/>
        </w:rPr>
        <w:footnoteReference w:id="26"/>
      </w:r>
      <w:r w:rsidR="005704BD" w:rsidRPr="00C5494E">
        <w:t xml:space="preserve"> Fixed broadband penetration increased from 3.5 to 5.3 </w:t>
      </w:r>
      <w:r w:rsidR="000F4A58" w:rsidRPr="00C5494E">
        <w:t>per cent</w:t>
      </w:r>
      <w:r w:rsidR="005704BD" w:rsidRPr="00C5494E">
        <w:t xml:space="preserve"> between 2007 and 2008. Concerning the skills sub-index, </w:t>
      </w:r>
      <w:smartTag w:uri="urn:schemas-microsoft-com:office:smarttags" w:element="country-region">
        <w:smartTag w:uri="urn:schemas-microsoft-com:office:smarttags" w:element="place">
          <w:r w:rsidR="005704BD" w:rsidRPr="00C5494E">
            <w:t>Maldives</w:t>
          </w:r>
        </w:smartTag>
      </w:smartTag>
      <w:r w:rsidR="005704BD" w:rsidRPr="00C5494E">
        <w:t xml:space="preserve"> has a very low tertiary enrolment ratio (0.2 </w:t>
      </w:r>
      <w:r w:rsidR="000F4A58" w:rsidRPr="00C5494E">
        <w:t>per cent</w:t>
      </w:r>
      <w:r w:rsidR="005704BD" w:rsidRPr="00C5494E">
        <w:t>, the lowest of all 159 countries included in the IDI).</w:t>
      </w:r>
    </w:p>
    <w:p w:rsidR="003F3F29" w:rsidRPr="00C5494E" w:rsidRDefault="003F3F29" w:rsidP="00872BA3">
      <w:pPr>
        <w:pStyle w:val="enumlev1"/>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3F3F29" w:rsidRPr="00C5494E" w:rsidTr="00FB239F">
        <w:trPr>
          <w:jc w:val="center"/>
        </w:trPr>
        <w:tc>
          <w:tcPr>
            <w:tcW w:w="9424" w:type="dxa"/>
            <w:shd w:val="clear" w:color="auto" w:fill="D9D9D9" w:themeFill="background1" w:themeFillShade="D9"/>
          </w:tcPr>
          <w:p w:rsidR="003F3F29" w:rsidRPr="00C5494E" w:rsidRDefault="003F3F29" w:rsidP="00FB239F">
            <w:pPr>
              <w:pStyle w:val="FigureNoTitle"/>
              <w:keepNext/>
              <w:rPr>
                <w:lang w:val="en-GB"/>
              </w:rPr>
            </w:pPr>
            <w:r w:rsidRPr="00C5494E">
              <w:rPr>
                <w:lang w:val="en-GB"/>
              </w:rPr>
              <w:t xml:space="preserve">Chart 3.7: Spider chart, </w:t>
            </w:r>
            <w:smartTag w:uri="urn:schemas-microsoft-com:office:smarttags" w:element="country-region">
              <w:smartTag w:uri="urn:schemas-microsoft-com:office:smarttags" w:element="place">
                <w:r w:rsidRPr="00C5494E">
                  <w:rPr>
                    <w:lang w:val="en-GB"/>
                  </w:rPr>
                  <w:t>Maldives</w:t>
                </w:r>
              </w:smartTag>
            </w:smartTag>
            <w:r w:rsidRPr="00C5494E">
              <w:rPr>
                <w:lang w:val="en-GB"/>
              </w:rPr>
              <w:t>, 2008 and 2007*</w:t>
            </w:r>
          </w:p>
          <w:p w:rsidR="003F3F29" w:rsidRPr="00C5494E" w:rsidRDefault="003F3F29" w:rsidP="00FB239F">
            <w:pPr>
              <w:pStyle w:val="Figure"/>
              <w:rPr>
                <w:lang w:val="en-GB"/>
              </w:rPr>
            </w:pPr>
            <w:r w:rsidRPr="00C5494E">
              <w:drawing>
                <wp:inline distT="0" distB="0" distL="0" distR="0">
                  <wp:extent cx="4371975" cy="3276600"/>
                  <wp:effectExtent l="0" t="0" r="0" b="0"/>
                  <wp:docPr id="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duotone>
                              <a:schemeClr val="accent2">
                                <a:shade val="45000"/>
                                <a:satMod val="135000"/>
                              </a:schemeClr>
                              <a:prstClr val="white"/>
                            </a:duotone>
                          </a:blip>
                          <a:srcRect/>
                          <a:stretch>
                            <a:fillRect/>
                          </a:stretch>
                        </pic:blipFill>
                        <pic:spPr bwMode="auto">
                          <a:xfrm>
                            <a:off x="0" y="0"/>
                            <a:ext cx="4371975" cy="3276600"/>
                          </a:xfrm>
                          <a:prstGeom prst="rect">
                            <a:avLst/>
                          </a:prstGeom>
                          <a:noFill/>
                          <a:ln w="9525">
                            <a:noFill/>
                            <a:miter lim="800000"/>
                            <a:headEnd/>
                            <a:tailEnd/>
                          </a:ln>
                        </pic:spPr>
                      </pic:pic>
                    </a:graphicData>
                  </a:graphic>
                </wp:inline>
              </w:drawing>
            </w:r>
          </w:p>
          <w:p w:rsidR="003F3F29" w:rsidRPr="00C5494E" w:rsidRDefault="003F3F29" w:rsidP="000F4A58">
            <w:pPr>
              <w:pStyle w:val="Figurelegend"/>
              <w:jc w:val="left"/>
            </w:pPr>
            <w:r w:rsidRPr="00C5494E">
              <w:t xml:space="preserve">* </w:t>
            </w:r>
            <w:r w:rsidR="005704BD" w:rsidRPr="00C5494E">
              <w:t xml:space="preserve">This </w:t>
            </w:r>
            <w:r w:rsidRPr="00C5494E">
              <w:t>chart show</w:t>
            </w:r>
            <w:r w:rsidR="000F4A58" w:rsidRPr="00C5494E">
              <w:t>s</w:t>
            </w:r>
            <w:r w:rsidRPr="00C5494E">
              <w:t xml:space="preserve"> normalized changes in the indicators that are included in the IDI. </w:t>
            </w:r>
            <w:r w:rsidRPr="00C5494E">
              <w:br/>
            </w:r>
            <w:r w:rsidRPr="00C5494E">
              <w:rPr>
                <w:i/>
                <w:iCs/>
              </w:rPr>
              <w:t>Source</w:t>
            </w:r>
            <w:r w:rsidRPr="00C5494E">
              <w:t>: ITU (2010b).</w:t>
            </w:r>
          </w:p>
        </w:tc>
      </w:tr>
    </w:tbl>
    <w:p w:rsidR="00872BA3" w:rsidRPr="00C5494E" w:rsidRDefault="00872BA3" w:rsidP="00872BA3"/>
    <w:p w:rsidR="003F3F29" w:rsidRPr="00C5494E" w:rsidRDefault="003F3F29" w:rsidP="000F4A58">
      <w:pPr>
        <w:pStyle w:val="enumlev1"/>
      </w:pPr>
      <w:r w:rsidRPr="00C5494E">
        <w:rPr>
          <w:color w:val="990033"/>
        </w:rPr>
        <w:lastRenderedPageBreak/>
        <w:t>•</w:t>
      </w:r>
      <w:r w:rsidRPr="00C5494E">
        <w:rPr>
          <w:b/>
          <w:bCs/>
        </w:rPr>
        <w:tab/>
      </w:r>
      <w:r w:rsidRPr="00C5494E">
        <w:rPr>
          <w:b/>
        </w:rPr>
        <w:t xml:space="preserve">Bhutan </w:t>
      </w:r>
      <w:r w:rsidR="005704BD" w:rsidRPr="00C5494E">
        <w:t xml:space="preserve">(Chart 3.8) increased 0.14 points (9.7 </w:t>
      </w:r>
      <w:r w:rsidR="000F4A58" w:rsidRPr="00C5494E">
        <w:t>per cent</w:t>
      </w:r>
      <w:r w:rsidR="005704BD" w:rsidRPr="00C5494E">
        <w:t xml:space="preserve">) its IDI value between 2007 and 2008. The country improved mobile cellular penetration from 22 to 37 </w:t>
      </w:r>
      <w:r w:rsidR="000F4A58" w:rsidRPr="00C5494E">
        <w:t>per cent</w:t>
      </w:r>
      <w:r w:rsidR="005704BD" w:rsidRPr="00C5494E">
        <w:t xml:space="preserve">, and secondary enrolment ratio from 48 to 56 </w:t>
      </w:r>
      <w:r w:rsidR="000F4A58" w:rsidRPr="00C5494E">
        <w:t>per cent</w:t>
      </w:r>
      <w:r w:rsidR="005704BD" w:rsidRPr="00C5494E">
        <w:t xml:space="preserve">. On the other hand, fixed telephone penetration decreased slightly to 4 </w:t>
      </w:r>
      <w:r w:rsidR="000F4A58" w:rsidRPr="00C5494E">
        <w:t>per cent</w:t>
      </w:r>
      <w:r w:rsidR="005704BD" w:rsidRPr="00C5494E">
        <w:t xml:space="preserve"> in 2008, which is a low value </w:t>
      </w:r>
      <w:r w:rsidR="005704BD" w:rsidRPr="00C5494E">
        <w:rPr>
          <w:bCs/>
        </w:rPr>
        <w:t>that affects not only fixed telephony uptake, but also fixed broadband deployment through xDSL technologies (the most commonly used technologies for fixed broadband access).</w:t>
      </w:r>
      <w:r w:rsidR="005704BD" w:rsidRPr="00C5494E">
        <w:rPr>
          <w:bCs/>
          <w:vertAlign w:val="superscript"/>
        </w:rPr>
        <w:footnoteReference w:id="27"/>
      </w:r>
      <w:r w:rsidR="005704BD" w:rsidRPr="00C5494E">
        <w:t xml:space="preserve"> By the same year, only 4.2 </w:t>
      </w:r>
      <w:r w:rsidR="000F4A58" w:rsidRPr="00C5494E">
        <w:t>per cent</w:t>
      </w:r>
      <w:r w:rsidR="005704BD" w:rsidRPr="00C5494E">
        <w:t xml:space="preserve"> of households had a computer, and 2.8 </w:t>
      </w:r>
      <w:r w:rsidR="000F4A58" w:rsidRPr="00C5494E">
        <w:t>per cent</w:t>
      </w:r>
      <w:r w:rsidR="005704BD" w:rsidRPr="00C5494E">
        <w:t xml:space="preserve"> had Internet access. The three use sub-index indicators were very low: in 2008, there were 6.6 Internet users per 100 inhabitants, 0.3 fixed broadband subscriptions per 100</w:t>
      </w:r>
      <w:r w:rsidR="000F4A58" w:rsidRPr="00C5494E">
        <w:t> </w:t>
      </w:r>
      <w:r w:rsidR="005704BD" w:rsidRPr="00C5494E">
        <w:t>inhabitants, and 0.4 mobile broadband subscriptions per 100 inhabitants.</w:t>
      </w:r>
    </w:p>
    <w:p w:rsidR="003F3F29" w:rsidRPr="00C5494E" w:rsidRDefault="003F3F29" w:rsidP="003F3F29"/>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3F3F29" w:rsidRPr="00C5494E" w:rsidTr="00FB239F">
        <w:trPr>
          <w:jc w:val="center"/>
        </w:trPr>
        <w:tc>
          <w:tcPr>
            <w:tcW w:w="9424" w:type="dxa"/>
            <w:shd w:val="clear" w:color="auto" w:fill="D9D9D9" w:themeFill="background1" w:themeFillShade="D9"/>
          </w:tcPr>
          <w:p w:rsidR="003F3F29" w:rsidRPr="00C5494E" w:rsidRDefault="003F3F29" w:rsidP="00FB239F">
            <w:pPr>
              <w:pStyle w:val="FigureNoTitle"/>
              <w:keepNext/>
              <w:rPr>
                <w:lang w:val="en-GB"/>
              </w:rPr>
            </w:pPr>
            <w:r w:rsidRPr="00C5494E">
              <w:rPr>
                <w:lang w:val="en-GB"/>
              </w:rPr>
              <w:t xml:space="preserve">Chart 3.8: Spider chart, </w:t>
            </w:r>
            <w:smartTag w:uri="urn:schemas-microsoft-com:office:smarttags" w:element="country-region">
              <w:smartTag w:uri="urn:schemas-microsoft-com:office:smarttags" w:element="place">
                <w:r w:rsidRPr="00C5494E">
                  <w:rPr>
                    <w:lang w:val="en-GB"/>
                  </w:rPr>
                  <w:t>Bhutan</w:t>
                </w:r>
              </w:smartTag>
            </w:smartTag>
            <w:r w:rsidRPr="00C5494E">
              <w:rPr>
                <w:lang w:val="en-GB"/>
              </w:rPr>
              <w:t>, 2008 and 2007*</w:t>
            </w:r>
          </w:p>
          <w:p w:rsidR="003F3F29" w:rsidRPr="00C5494E" w:rsidRDefault="003F3F29" w:rsidP="00FB239F">
            <w:pPr>
              <w:pStyle w:val="Figure"/>
              <w:rPr>
                <w:lang w:val="en-GB"/>
              </w:rPr>
            </w:pPr>
            <w:r w:rsidRPr="00C5494E">
              <w:drawing>
                <wp:inline distT="0" distB="0" distL="0" distR="0">
                  <wp:extent cx="4371975" cy="3276600"/>
                  <wp:effectExtent l="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duotone>
                              <a:schemeClr val="accent2">
                                <a:shade val="45000"/>
                                <a:satMod val="135000"/>
                              </a:schemeClr>
                              <a:prstClr val="white"/>
                            </a:duotone>
                          </a:blip>
                          <a:srcRect/>
                          <a:stretch>
                            <a:fillRect/>
                          </a:stretch>
                        </pic:blipFill>
                        <pic:spPr bwMode="auto">
                          <a:xfrm>
                            <a:off x="0" y="0"/>
                            <a:ext cx="4371975" cy="3276600"/>
                          </a:xfrm>
                          <a:prstGeom prst="rect">
                            <a:avLst/>
                          </a:prstGeom>
                          <a:noFill/>
                          <a:ln w="9525">
                            <a:noFill/>
                            <a:miter lim="800000"/>
                            <a:headEnd/>
                            <a:tailEnd/>
                          </a:ln>
                        </pic:spPr>
                      </pic:pic>
                    </a:graphicData>
                  </a:graphic>
                </wp:inline>
              </w:drawing>
            </w:r>
          </w:p>
          <w:p w:rsidR="003F3F29" w:rsidRPr="00C5494E" w:rsidRDefault="003F3F29" w:rsidP="000F4A58">
            <w:pPr>
              <w:pStyle w:val="Figurelegend"/>
              <w:jc w:val="left"/>
            </w:pPr>
            <w:r w:rsidRPr="00C5494E">
              <w:t>* Th</w:t>
            </w:r>
            <w:r w:rsidR="005704BD" w:rsidRPr="00C5494E">
              <w:t>i</w:t>
            </w:r>
            <w:r w:rsidRPr="00C5494E">
              <w:t>s chart show</w:t>
            </w:r>
            <w:r w:rsidR="000F4A58" w:rsidRPr="00C5494E">
              <w:t>s</w:t>
            </w:r>
            <w:r w:rsidRPr="00C5494E">
              <w:t xml:space="preserve"> normalized changes in the indicators that are included in the IDI. </w:t>
            </w:r>
            <w:r w:rsidRPr="00C5494E">
              <w:br/>
            </w:r>
            <w:r w:rsidRPr="00C5494E">
              <w:rPr>
                <w:i/>
                <w:iCs/>
              </w:rPr>
              <w:t>Source</w:t>
            </w:r>
            <w:r w:rsidRPr="00C5494E">
              <w:t>: ITU (2010b).</w:t>
            </w:r>
          </w:p>
        </w:tc>
      </w:tr>
    </w:tbl>
    <w:p w:rsidR="003F3F29" w:rsidRPr="00C5494E" w:rsidRDefault="003F3F29" w:rsidP="003F3F29"/>
    <w:p w:rsidR="003F3F29" w:rsidRPr="00C5494E" w:rsidRDefault="003F3F29" w:rsidP="000F4A58">
      <w:pPr>
        <w:pStyle w:val="enumlev1"/>
        <w:keepNext/>
      </w:pPr>
      <w:r w:rsidRPr="00C5494E">
        <w:rPr>
          <w:color w:val="990033"/>
        </w:rPr>
        <w:lastRenderedPageBreak/>
        <w:t>•</w:t>
      </w:r>
      <w:r w:rsidRPr="00C5494E">
        <w:rPr>
          <w:b/>
          <w:bCs/>
        </w:rPr>
        <w:tab/>
      </w:r>
      <w:r w:rsidRPr="00C5494E">
        <w:rPr>
          <w:b/>
        </w:rPr>
        <w:t>Bangladesh</w:t>
      </w:r>
      <w:r w:rsidRPr="00C5494E">
        <w:t xml:space="preserve"> </w:t>
      </w:r>
      <w:r w:rsidR="005704BD" w:rsidRPr="00C5494E">
        <w:t xml:space="preserve">(Chart 3.9) slightly increased access indicators between 2007 and 2008, while the use and skills sub-index stagnated. Mobile cellular penetration advanced from 22 to 28 </w:t>
      </w:r>
      <w:r w:rsidR="000F4A58" w:rsidRPr="00C5494E">
        <w:t>per cent</w:t>
      </w:r>
      <w:r w:rsidR="005704BD" w:rsidRPr="00C5494E">
        <w:t>, and international Internet bandwidth per Internet user from 1</w:t>
      </w:r>
      <w:r w:rsidR="000F4A58" w:rsidRPr="00C5494E">
        <w:t> </w:t>
      </w:r>
      <w:r w:rsidR="005704BD" w:rsidRPr="00C5494E">
        <w:t>284 to 2</w:t>
      </w:r>
      <w:r w:rsidR="000F4A58" w:rsidRPr="00C5494E">
        <w:t> </w:t>
      </w:r>
      <w:r w:rsidR="005704BD" w:rsidRPr="00C5494E">
        <w:t xml:space="preserve">273 bps per user (estimation). However, by 2008 the country had a very low fixed telephone penetration (0.8 </w:t>
      </w:r>
      <w:r w:rsidR="000F4A58" w:rsidRPr="00C5494E">
        <w:t>per cent</w:t>
      </w:r>
      <w:r w:rsidR="005704BD" w:rsidRPr="00C5494E">
        <w:t xml:space="preserve">), only comparable to that of some sub-Saharan countries in </w:t>
      </w:r>
      <w:smartTag w:uri="urn:schemas-microsoft-com:office:smarttags" w:element="place">
        <w:r w:rsidR="005704BD" w:rsidRPr="00C5494E">
          <w:t>Africa</w:t>
        </w:r>
      </w:smartTag>
      <w:r w:rsidR="005704BD" w:rsidRPr="00C5494E">
        <w:t xml:space="preserve">. The percentages of households with a computer (2.2 </w:t>
      </w:r>
      <w:r w:rsidR="000F4A58" w:rsidRPr="00C5494E">
        <w:t>per cent</w:t>
      </w:r>
      <w:r w:rsidR="005704BD" w:rsidRPr="00C5494E">
        <w:t xml:space="preserve"> in 2008) and with Internet access (1.9 </w:t>
      </w:r>
      <w:r w:rsidR="000F4A58" w:rsidRPr="00C5494E">
        <w:t>per cent</w:t>
      </w:r>
      <w:r w:rsidR="005704BD" w:rsidRPr="00C5494E">
        <w:t xml:space="preserve"> in 2008) were also low. In 2008, Internet usage in </w:t>
      </w:r>
      <w:smartTag w:uri="urn:schemas-microsoft-com:office:smarttags" w:element="country-region">
        <w:r w:rsidR="005704BD" w:rsidRPr="00C5494E">
          <w:t>Bangladesh</w:t>
        </w:r>
      </w:smartTag>
      <w:r w:rsidR="005704BD" w:rsidRPr="00C5494E">
        <w:t xml:space="preserve"> stood at 0.3 </w:t>
      </w:r>
      <w:r w:rsidR="000F4A58" w:rsidRPr="00C5494E">
        <w:t>per cent</w:t>
      </w:r>
      <w:r w:rsidR="005704BD" w:rsidRPr="00C5494E">
        <w:t xml:space="preserve">, the second lowest in the world, after that of </w:t>
      </w:r>
      <w:smartTag w:uri="urn:schemas-microsoft-com:office:smarttags" w:element="place">
        <w:smartTag w:uri="urn:schemas-microsoft-com:office:smarttags" w:element="country-region">
          <w:r w:rsidR="005704BD" w:rsidRPr="00C5494E">
            <w:t>Myanmar</w:t>
          </w:r>
        </w:smartTag>
      </w:smartTag>
      <w:r w:rsidR="005704BD" w:rsidRPr="00C5494E">
        <w:t>, and there were only three fixed broadband subscriptions per 10</w:t>
      </w:r>
      <w:r w:rsidR="000F4A58" w:rsidRPr="00C5494E">
        <w:t> </w:t>
      </w:r>
      <w:r w:rsidR="005704BD" w:rsidRPr="00C5494E">
        <w:t>000 inhabitants in the country. Mobile broadband was not availa</w:t>
      </w:r>
      <w:r w:rsidR="000F4A58" w:rsidRPr="00C5494E">
        <w:t>ble in the country (no 3G licenc</w:t>
      </w:r>
      <w:r w:rsidR="005704BD" w:rsidRPr="00C5494E">
        <w:t>es have been awarded yet).</w:t>
      </w:r>
    </w:p>
    <w:p w:rsidR="003F3F29" w:rsidRPr="00C5494E" w:rsidRDefault="003F3F29" w:rsidP="003F3F29">
      <w:pPr>
        <w:pStyle w:val="enumlev1"/>
        <w:keepNext/>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3F3F29" w:rsidRPr="00C5494E" w:rsidTr="00FB239F">
        <w:trPr>
          <w:jc w:val="center"/>
        </w:trPr>
        <w:tc>
          <w:tcPr>
            <w:tcW w:w="9424" w:type="dxa"/>
            <w:shd w:val="clear" w:color="auto" w:fill="D9D9D9" w:themeFill="background1" w:themeFillShade="D9"/>
          </w:tcPr>
          <w:p w:rsidR="003F3F29" w:rsidRPr="00C5494E" w:rsidRDefault="003F3F29" w:rsidP="00FB239F">
            <w:pPr>
              <w:pStyle w:val="FigureNoTitle"/>
              <w:keepNext/>
              <w:rPr>
                <w:lang w:val="en-GB"/>
              </w:rPr>
            </w:pPr>
            <w:r w:rsidRPr="00C5494E">
              <w:rPr>
                <w:lang w:val="en-GB"/>
              </w:rPr>
              <w:t xml:space="preserve">Chart 3.9: Spider chart, </w:t>
            </w:r>
            <w:smartTag w:uri="urn:schemas-microsoft-com:office:smarttags" w:element="country-region">
              <w:smartTag w:uri="urn:schemas-microsoft-com:office:smarttags" w:element="place">
                <w:r w:rsidRPr="00C5494E">
                  <w:rPr>
                    <w:lang w:val="en-GB"/>
                  </w:rPr>
                  <w:t>Bangladesh</w:t>
                </w:r>
              </w:smartTag>
            </w:smartTag>
            <w:r w:rsidRPr="00C5494E">
              <w:rPr>
                <w:lang w:val="en-GB"/>
              </w:rPr>
              <w:t>, 2008 and 2007*</w:t>
            </w:r>
          </w:p>
          <w:p w:rsidR="003F3F29" w:rsidRPr="00C5494E" w:rsidRDefault="003F3F29" w:rsidP="00FB239F">
            <w:pPr>
              <w:pStyle w:val="Figure"/>
              <w:rPr>
                <w:lang w:val="en-GB"/>
              </w:rPr>
            </w:pPr>
            <w:r w:rsidRPr="00C5494E">
              <w:drawing>
                <wp:inline distT="0" distB="0" distL="0" distR="0">
                  <wp:extent cx="4371975" cy="3276600"/>
                  <wp:effectExtent l="0" t="0" r="0" b="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duotone>
                              <a:schemeClr val="accent2">
                                <a:shade val="45000"/>
                                <a:satMod val="135000"/>
                              </a:schemeClr>
                              <a:prstClr val="white"/>
                            </a:duotone>
                          </a:blip>
                          <a:srcRect/>
                          <a:stretch>
                            <a:fillRect/>
                          </a:stretch>
                        </pic:blipFill>
                        <pic:spPr bwMode="auto">
                          <a:xfrm>
                            <a:off x="0" y="0"/>
                            <a:ext cx="4371975" cy="3276600"/>
                          </a:xfrm>
                          <a:prstGeom prst="rect">
                            <a:avLst/>
                          </a:prstGeom>
                          <a:noFill/>
                          <a:ln w="9525">
                            <a:noFill/>
                            <a:miter lim="800000"/>
                            <a:headEnd/>
                            <a:tailEnd/>
                          </a:ln>
                        </pic:spPr>
                      </pic:pic>
                    </a:graphicData>
                  </a:graphic>
                </wp:inline>
              </w:drawing>
            </w:r>
          </w:p>
          <w:p w:rsidR="003F3F29" w:rsidRPr="00C5494E" w:rsidRDefault="003F3F29" w:rsidP="000F4A58">
            <w:pPr>
              <w:pStyle w:val="Figurelegend"/>
              <w:jc w:val="left"/>
            </w:pPr>
            <w:r w:rsidRPr="00C5494E">
              <w:t>* Th</w:t>
            </w:r>
            <w:r w:rsidR="005704BD" w:rsidRPr="00C5494E">
              <w:t>i</w:t>
            </w:r>
            <w:r w:rsidRPr="00C5494E">
              <w:t xml:space="preserve">s chart show normalized changes in the indicators that are included in the IDI. </w:t>
            </w:r>
            <w:r w:rsidRPr="00C5494E">
              <w:br/>
            </w:r>
            <w:r w:rsidRPr="00C5494E">
              <w:rPr>
                <w:i/>
                <w:iCs/>
              </w:rPr>
              <w:t>Source</w:t>
            </w:r>
            <w:r w:rsidRPr="00C5494E">
              <w:t>: ITU (2010b).</w:t>
            </w:r>
          </w:p>
        </w:tc>
      </w:tr>
    </w:tbl>
    <w:p w:rsidR="003F3F29" w:rsidRPr="00C5494E" w:rsidRDefault="003F3F29" w:rsidP="003F3F29">
      <w:pPr>
        <w:pStyle w:val="enumlev1"/>
      </w:pPr>
    </w:p>
    <w:p w:rsidR="003F3F29" w:rsidRPr="00C5494E" w:rsidRDefault="003F3F29" w:rsidP="003F3F29">
      <w:pPr>
        <w:pStyle w:val="enumlev1"/>
      </w:pPr>
    </w:p>
    <w:p w:rsidR="003F3F29" w:rsidRPr="00C5494E" w:rsidRDefault="003F3F29" w:rsidP="003F3F29">
      <w:pPr>
        <w:pStyle w:val="enumlev1"/>
      </w:pPr>
    </w:p>
    <w:p w:rsidR="003F3F29" w:rsidRPr="00C5494E" w:rsidRDefault="003F3F29" w:rsidP="003F3F29">
      <w:pPr>
        <w:pStyle w:val="enumlev1"/>
      </w:pPr>
    </w:p>
    <w:p w:rsidR="003F3F29" w:rsidRPr="00C5494E" w:rsidRDefault="003F3F29" w:rsidP="003F3F29">
      <w:pPr>
        <w:pStyle w:val="enumlev1"/>
      </w:pPr>
    </w:p>
    <w:p w:rsidR="003F3F29" w:rsidRPr="00C5494E" w:rsidRDefault="003F3F29">
      <w:pPr>
        <w:tabs>
          <w:tab w:val="clear" w:pos="794"/>
          <w:tab w:val="clear" w:pos="1191"/>
          <w:tab w:val="clear" w:pos="1588"/>
          <w:tab w:val="clear" w:pos="1985"/>
        </w:tabs>
        <w:overflowPunct/>
        <w:autoSpaceDE/>
        <w:autoSpaceDN/>
        <w:adjustRightInd/>
        <w:spacing w:before="0"/>
        <w:jc w:val="left"/>
        <w:textAlignment w:val="auto"/>
        <w:rPr>
          <w:color w:val="990033"/>
        </w:rPr>
      </w:pPr>
      <w:r w:rsidRPr="00C5494E">
        <w:rPr>
          <w:color w:val="990033"/>
        </w:rPr>
        <w:br w:type="page"/>
      </w:r>
    </w:p>
    <w:p w:rsidR="003F3F29" w:rsidRPr="00C5494E" w:rsidRDefault="003F3F29" w:rsidP="000F4A58">
      <w:pPr>
        <w:pStyle w:val="enumlev1"/>
        <w:keepNext/>
      </w:pPr>
      <w:r w:rsidRPr="00C5494E">
        <w:rPr>
          <w:color w:val="990033"/>
        </w:rPr>
        <w:lastRenderedPageBreak/>
        <w:t>•</w:t>
      </w:r>
      <w:r w:rsidRPr="00C5494E">
        <w:rPr>
          <w:b/>
          <w:bCs/>
        </w:rPr>
        <w:tab/>
      </w:r>
      <w:r w:rsidRPr="00C5494E">
        <w:rPr>
          <w:b/>
        </w:rPr>
        <w:t>Nepal</w:t>
      </w:r>
      <w:r w:rsidRPr="00C5494E">
        <w:t xml:space="preserve"> </w:t>
      </w:r>
      <w:r w:rsidR="005704BD" w:rsidRPr="00C5494E">
        <w:t xml:space="preserve">(Chart 3.10) experienced little IDI growth between 2007 and 2008. The slight progress was due to improvements in secondary enrolment ratio (from 43 to 48 </w:t>
      </w:r>
      <w:r w:rsidR="000F4A58" w:rsidRPr="00C5494E">
        <w:t>per cent</w:t>
      </w:r>
      <w:r w:rsidR="005704BD" w:rsidRPr="00C5494E">
        <w:t xml:space="preserve">), and in mobile cellular penetration (from 11.6 to 14.6 </w:t>
      </w:r>
      <w:r w:rsidR="000F4A58" w:rsidRPr="00C5494E">
        <w:t>per cent</w:t>
      </w:r>
      <w:r w:rsidR="005704BD" w:rsidRPr="00C5494E">
        <w:t>). However, mobile cellular penetration was in 2008 the lowest of all South Asian countries.</w:t>
      </w:r>
      <w:r w:rsidR="005704BD" w:rsidRPr="00C5494E">
        <w:rPr>
          <w:bCs/>
          <w:vertAlign w:val="superscript"/>
        </w:rPr>
        <w:footnoteReference w:id="28"/>
      </w:r>
      <w:r w:rsidR="005704BD" w:rsidRPr="00C5494E">
        <w:t xml:space="preserve"> Furthermore, </w:t>
      </w:r>
      <w:smartTag w:uri="urn:schemas-microsoft-com:office:smarttags" w:element="place">
        <w:smartTag w:uri="urn:schemas-microsoft-com:office:smarttags" w:element="country-region">
          <w:r w:rsidR="005704BD" w:rsidRPr="00C5494E">
            <w:t>Nepal</w:t>
          </w:r>
        </w:smartTag>
      </w:smartTag>
      <w:r w:rsidR="005704BD" w:rsidRPr="00C5494E">
        <w:t xml:space="preserve"> has very low international connectivity per Internet user: only some estimated 350 bps per user in 2008. Taking into account that </w:t>
      </w:r>
      <w:smartTag w:uri="urn:schemas-microsoft-com:office:smarttags" w:element="place">
        <w:smartTag w:uri="urn:schemas-microsoft-com:office:smarttags" w:element="country-region">
          <w:r w:rsidR="005704BD" w:rsidRPr="00C5494E">
            <w:t>Nepal</w:t>
          </w:r>
        </w:smartTag>
      </w:smartTag>
      <w:r w:rsidR="005704BD" w:rsidRPr="00C5494E">
        <w:t xml:space="preserve"> has few Internet users (499</w:t>
      </w:r>
      <w:r w:rsidR="000F4A58" w:rsidRPr="00C5494E">
        <w:t> </w:t>
      </w:r>
      <w:r w:rsidR="005704BD" w:rsidRPr="00C5494E">
        <w:t xml:space="preserve">000 users or 1.7 penetration in 2008), the lack of international Internet bandwidth may become a major barrier for Internet uptake in the future (i.e. as the number </w:t>
      </w:r>
      <w:r w:rsidR="000F4A58" w:rsidRPr="00C5494E">
        <w:t xml:space="preserve">of </w:t>
      </w:r>
      <w:r w:rsidR="005704BD" w:rsidRPr="00C5494E">
        <w:t xml:space="preserve">Internet users increases). Despite that </w:t>
      </w:r>
      <w:smartTag w:uri="urn:schemas-microsoft-com:office:smarttags" w:element="place">
        <w:smartTag w:uri="urn:schemas-microsoft-com:office:smarttags" w:element="country-region">
          <w:r w:rsidR="005704BD" w:rsidRPr="00C5494E">
            <w:t>Nepal</w:t>
          </w:r>
        </w:smartTag>
      </w:smartTag>
      <w:r w:rsidR="005704BD" w:rsidRPr="00C5494E">
        <w:t xml:space="preserve"> launched 3G services in 2007,</w:t>
      </w:r>
      <w:r w:rsidR="005704BD" w:rsidRPr="00C5494E">
        <w:rPr>
          <w:bCs/>
          <w:vertAlign w:val="superscript"/>
        </w:rPr>
        <w:footnoteReference w:id="29"/>
      </w:r>
      <w:r w:rsidR="005704BD" w:rsidRPr="00C5494E">
        <w:t xml:space="preserve"> the uptake of mobile broadband was by the end of 2008 negligible (less than 0.1 </w:t>
      </w:r>
      <w:r w:rsidR="000F4A58" w:rsidRPr="00C5494E">
        <w:t>per cent</w:t>
      </w:r>
      <w:r w:rsidR="005704BD" w:rsidRPr="00C5494E">
        <w:t xml:space="preserve"> penetration). By the same time, there were only three fixed broadband subscriptions per 10</w:t>
      </w:r>
      <w:r w:rsidR="000F4A58" w:rsidRPr="00C5494E">
        <w:t> </w:t>
      </w:r>
      <w:r w:rsidR="005704BD" w:rsidRPr="00C5494E">
        <w:t xml:space="preserve">000 inhabitants, and the proportion of households with a PC and Internet access were as low as 3.2 </w:t>
      </w:r>
      <w:r w:rsidR="000F4A58" w:rsidRPr="00C5494E">
        <w:t>per cent</w:t>
      </w:r>
      <w:r w:rsidR="005704BD" w:rsidRPr="00C5494E">
        <w:t xml:space="preserve"> and 1 </w:t>
      </w:r>
      <w:r w:rsidR="000F4A58" w:rsidRPr="00C5494E">
        <w:t>per cent</w:t>
      </w:r>
      <w:r w:rsidR="005704BD" w:rsidRPr="00C5494E">
        <w:t xml:space="preserve"> respectively.</w:t>
      </w:r>
    </w:p>
    <w:p w:rsidR="003F3F29" w:rsidRPr="00C5494E" w:rsidRDefault="003F3F29" w:rsidP="003F3F29"/>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3F3F29" w:rsidRPr="00C5494E" w:rsidTr="00FB239F">
        <w:trPr>
          <w:jc w:val="center"/>
        </w:trPr>
        <w:tc>
          <w:tcPr>
            <w:tcW w:w="9424" w:type="dxa"/>
            <w:shd w:val="clear" w:color="auto" w:fill="D9D9D9" w:themeFill="background1" w:themeFillShade="D9"/>
          </w:tcPr>
          <w:p w:rsidR="003F3F29" w:rsidRPr="00C5494E" w:rsidRDefault="003F3F29" w:rsidP="00FB239F">
            <w:pPr>
              <w:pStyle w:val="FigureNoTitle"/>
              <w:keepNext/>
              <w:rPr>
                <w:lang w:val="en-GB"/>
              </w:rPr>
            </w:pPr>
            <w:r w:rsidRPr="00C5494E">
              <w:rPr>
                <w:lang w:val="en-GB"/>
              </w:rPr>
              <w:t xml:space="preserve">Chart 3.10: Spider chart, </w:t>
            </w:r>
            <w:smartTag w:uri="urn:schemas-microsoft-com:office:smarttags" w:element="country-region">
              <w:smartTag w:uri="urn:schemas-microsoft-com:office:smarttags" w:element="place">
                <w:r w:rsidRPr="00C5494E">
                  <w:rPr>
                    <w:lang w:val="en-GB"/>
                  </w:rPr>
                  <w:t>Nepal</w:t>
                </w:r>
              </w:smartTag>
            </w:smartTag>
            <w:r w:rsidRPr="00C5494E">
              <w:rPr>
                <w:lang w:val="en-GB"/>
              </w:rPr>
              <w:t>, 2008 and 2007*</w:t>
            </w:r>
          </w:p>
          <w:p w:rsidR="003F3F29" w:rsidRPr="00C5494E" w:rsidRDefault="003F3F29" w:rsidP="00FB239F">
            <w:pPr>
              <w:pStyle w:val="Figure"/>
              <w:rPr>
                <w:lang w:val="en-GB"/>
              </w:rPr>
            </w:pPr>
            <w:r w:rsidRPr="00C5494E">
              <w:drawing>
                <wp:inline distT="0" distB="0" distL="0" distR="0">
                  <wp:extent cx="4371975" cy="3276600"/>
                  <wp:effectExtent l="0" t="0" r="0"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duotone>
                              <a:schemeClr val="accent2">
                                <a:shade val="45000"/>
                                <a:satMod val="135000"/>
                              </a:schemeClr>
                              <a:prstClr val="white"/>
                            </a:duotone>
                          </a:blip>
                          <a:srcRect/>
                          <a:stretch>
                            <a:fillRect/>
                          </a:stretch>
                        </pic:blipFill>
                        <pic:spPr bwMode="auto">
                          <a:xfrm>
                            <a:off x="0" y="0"/>
                            <a:ext cx="4371975" cy="3276600"/>
                          </a:xfrm>
                          <a:prstGeom prst="rect">
                            <a:avLst/>
                          </a:prstGeom>
                          <a:noFill/>
                          <a:ln w="9525">
                            <a:noFill/>
                            <a:miter lim="800000"/>
                            <a:headEnd/>
                            <a:tailEnd/>
                          </a:ln>
                        </pic:spPr>
                      </pic:pic>
                    </a:graphicData>
                  </a:graphic>
                </wp:inline>
              </w:drawing>
            </w:r>
          </w:p>
          <w:p w:rsidR="003F3F29" w:rsidRPr="00C5494E" w:rsidRDefault="003F3F29" w:rsidP="000F4A58">
            <w:pPr>
              <w:pStyle w:val="Figurelegend"/>
              <w:jc w:val="left"/>
            </w:pPr>
            <w:r w:rsidRPr="00C5494E">
              <w:t>* Th</w:t>
            </w:r>
            <w:r w:rsidR="000F4A58" w:rsidRPr="00C5494E">
              <w:t>i</w:t>
            </w:r>
            <w:r w:rsidRPr="00C5494E">
              <w:t>s chart show</w:t>
            </w:r>
            <w:r w:rsidR="000F4A58" w:rsidRPr="00C5494E">
              <w:t>s</w:t>
            </w:r>
            <w:r w:rsidRPr="00C5494E">
              <w:t xml:space="preserve"> normalized changes in the indicators that are included in the IDI. </w:t>
            </w:r>
            <w:r w:rsidRPr="00C5494E">
              <w:br/>
            </w:r>
            <w:r w:rsidRPr="00C5494E">
              <w:rPr>
                <w:i/>
                <w:iCs/>
              </w:rPr>
              <w:t>Source</w:t>
            </w:r>
            <w:r w:rsidRPr="00C5494E">
              <w:t>: ITU (2010b).</w:t>
            </w:r>
          </w:p>
        </w:tc>
      </w:tr>
    </w:tbl>
    <w:p w:rsidR="003F3F29" w:rsidRPr="00C5494E" w:rsidRDefault="003F3F29" w:rsidP="003F3F29"/>
    <w:p w:rsidR="003F3F29" w:rsidRPr="00C5494E" w:rsidRDefault="003F3F29">
      <w:pPr>
        <w:tabs>
          <w:tab w:val="clear" w:pos="794"/>
          <w:tab w:val="clear" w:pos="1191"/>
          <w:tab w:val="clear" w:pos="1588"/>
          <w:tab w:val="clear" w:pos="1985"/>
        </w:tabs>
        <w:overflowPunct/>
        <w:autoSpaceDE/>
        <w:autoSpaceDN/>
        <w:adjustRightInd/>
        <w:spacing w:before="0"/>
        <w:jc w:val="left"/>
        <w:textAlignment w:val="auto"/>
        <w:rPr>
          <w:color w:val="990033"/>
        </w:rPr>
      </w:pPr>
      <w:r w:rsidRPr="00C5494E">
        <w:rPr>
          <w:color w:val="990033"/>
        </w:rPr>
        <w:br w:type="page"/>
      </w:r>
    </w:p>
    <w:p w:rsidR="003F3F29" w:rsidRPr="00C5494E" w:rsidRDefault="003F3F29" w:rsidP="005704BD">
      <w:pPr>
        <w:pStyle w:val="enumlev1"/>
        <w:keepNext/>
      </w:pPr>
      <w:r w:rsidRPr="00C5494E">
        <w:rPr>
          <w:color w:val="990033"/>
        </w:rPr>
        <w:lastRenderedPageBreak/>
        <w:t>•</w:t>
      </w:r>
      <w:r w:rsidRPr="00C5494E">
        <w:rPr>
          <w:b/>
          <w:bCs/>
        </w:rPr>
        <w:tab/>
      </w:r>
      <w:r w:rsidR="005704BD" w:rsidRPr="00C5494E">
        <w:t xml:space="preserve">Due to lack of data, </w:t>
      </w:r>
      <w:smartTag w:uri="urn:schemas-microsoft-com:office:smarttags" w:element="place">
        <w:smartTag w:uri="urn:schemas-microsoft-com:office:smarttags" w:element="country-region">
          <w:r w:rsidR="005704BD" w:rsidRPr="00C5494E">
            <w:t>Afghanistan</w:t>
          </w:r>
        </w:smartTag>
      </w:smartTag>
      <w:r w:rsidR="005704BD" w:rsidRPr="00C5494E">
        <w:t xml:space="preserve">’s IDI value </w:t>
      </w:r>
      <w:proofErr w:type="spellStart"/>
      <w:r w:rsidR="005704BD" w:rsidRPr="00C5494E">
        <w:t>can not</w:t>
      </w:r>
      <w:proofErr w:type="spellEnd"/>
      <w:r w:rsidR="005704BD" w:rsidRPr="00C5494E">
        <w:t xml:space="preserve"> be computed. However, a partial </w:t>
      </w:r>
      <w:r w:rsidR="00527AA9" w:rsidRPr="00C5494E">
        <w:t>analyzis</w:t>
      </w:r>
      <w:r w:rsidR="005704BD" w:rsidRPr="00C5494E">
        <w:t xml:space="preserve"> of the situation in the country can be carried out with the available indicators (Chart 3.11). The country achieved remarkable progress in mobile cellular penetration: from 18 </w:t>
      </w:r>
      <w:r w:rsidR="000F4A58" w:rsidRPr="00C5494E">
        <w:t>per cent</w:t>
      </w:r>
      <w:r w:rsidR="005704BD" w:rsidRPr="00C5494E">
        <w:t xml:space="preserve"> in 2007 to 29 </w:t>
      </w:r>
      <w:r w:rsidR="000F4A58" w:rsidRPr="00C5494E">
        <w:t>per cent</w:t>
      </w:r>
      <w:r w:rsidR="005704BD" w:rsidRPr="00C5494E">
        <w:t xml:space="preserve"> in 2008. However, international bandwidth per Internet user was the lowest in all ABBMN countries, with only 42 bps per user in 2008. As it has been flagged in the case of Nepal, low international connectivity may become a major barrier for future Internet uptake, moreover taking into account the low Internet penetration in Afghanistan (1.8 users per 100 inhabitants in 2008). In 2008, </w:t>
      </w:r>
      <w:smartTag w:uri="urn:schemas-microsoft-com:office:smarttags" w:element="place">
        <w:smartTag w:uri="urn:schemas-microsoft-com:office:smarttags" w:element="country-region">
          <w:r w:rsidR="005704BD" w:rsidRPr="00C5494E">
            <w:t>Afghanistan</w:t>
          </w:r>
        </w:smartTag>
      </w:smartTag>
      <w:r w:rsidR="005704BD" w:rsidRPr="00C5494E">
        <w:t xml:space="preserve"> had the lowest fixed telephone penetration in all ABBMN countries (only 0.37 main lines per 100 inhabitants), the lowest percentage of households with a PC (1.5 </w:t>
      </w:r>
      <w:r w:rsidR="000F4A58" w:rsidRPr="00C5494E">
        <w:t>per cent</w:t>
      </w:r>
      <w:r w:rsidR="005704BD" w:rsidRPr="00C5494E">
        <w:t>), and negligible fixed and mobile broadband penetration.</w:t>
      </w:r>
    </w:p>
    <w:p w:rsidR="003F3F29" w:rsidRPr="00C5494E" w:rsidRDefault="003F3F29" w:rsidP="003F3F29"/>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3F3F29" w:rsidRPr="00C5494E" w:rsidTr="00FB239F">
        <w:trPr>
          <w:jc w:val="center"/>
        </w:trPr>
        <w:tc>
          <w:tcPr>
            <w:tcW w:w="9424" w:type="dxa"/>
            <w:shd w:val="clear" w:color="auto" w:fill="D9D9D9" w:themeFill="background1" w:themeFillShade="D9"/>
          </w:tcPr>
          <w:p w:rsidR="003F3F29" w:rsidRPr="00C5494E" w:rsidRDefault="003F3F29" w:rsidP="00FB239F">
            <w:pPr>
              <w:pStyle w:val="FigureNoTitle"/>
              <w:keepNext/>
              <w:rPr>
                <w:lang w:val="en-GB"/>
              </w:rPr>
            </w:pPr>
            <w:r w:rsidRPr="00C5494E">
              <w:rPr>
                <w:lang w:val="en-GB"/>
              </w:rPr>
              <w:t xml:space="preserve">Chart 3.11: Spider chart, </w:t>
            </w:r>
            <w:smartTag w:uri="urn:schemas-microsoft-com:office:smarttags" w:element="country-region">
              <w:smartTag w:uri="urn:schemas-microsoft-com:office:smarttags" w:element="place">
                <w:r w:rsidRPr="00C5494E">
                  <w:rPr>
                    <w:lang w:val="en-GB"/>
                  </w:rPr>
                  <w:t>Afghanistan</w:t>
                </w:r>
              </w:smartTag>
            </w:smartTag>
            <w:r w:rsidRPr="00C5494E">
              <w:rPr>
                <w:lang w:val="en-GB"/>
              </w:rPr>
              <w:t>, 2008 and 2007*</w:t>
            </w:r>
          </w:p>
          <w:p w:rsidR="003F3F29" w:rsidRPr="00C5494E" w:rsidRDefault="003F3F29" w:rsidP="00FB239F">
            <w:pPr>
              <w:pStyle w:val="Figure"/>
              <w:rPr>
                <w:lang w:val="en-GB"/>
              </w:rPr>
            </w:pPr>
            <w:r w:rsidRPr="00C5494E">
              <w:drawing>
                <wp:inline distT="0" distB="0" distL="0" distR="0">
                  <wp:extent cx="4371975" cy="3276600"/>
                  <wp:effectExtent l="0" t="0" r="0" b="0"/>
                  <wp:docPr id="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duotone>
                              <a:schemeClr val="accent2">
                                <a:shade val="45000"/>
                                <a:satMod val="135000"/>
                              </a:schemeClr>
                              <a:prstClr val="white"/>
                            </a:duotone>
                          </a:blip>
                          <a:srcRect/>
                          <a:stretch>
                            <a:fillRect/>
                          </a:stretch>
                        </pic:blipFill>
                        <pic:spPr bwMode="auto">
                          <a:xfrm>
                            <a:off x="0" y="0"/>
                            <a:ext cx="4371975" cy="3276600"/>
                          </a:xfrm>
                          <a:prstGeom prst="rect">
                            <a:avLst/>
                          </a:prstGeom>
                          <a:noFill/>
                          <a:ln w="9525">
                            <a:noFill/>
                            <a:miter lim="800000"/>
                            <a:headEnd/>
                            <a:tailEnd/>
                          </a:ln>
                        </pic:spPr>
                      </pic:pic>
                    </a:graphicData>
                  </a:graphic>
                </wp:inline>
              </w:drawing>
            </w:r>
          </w:p>
          <w:p w:rsidR="003F3F29" w:rsidRPr="00C5494E" w:rsidRDefault="003F3F29" w:rsidP="000F4A58">
            <w:pPr>
              <w:pStyle w:val="Figurelegend"/>
              <w:jc w:val="left"/>
            </w:pPr>
            <w:r w:rsidRPr="00C5494E">
              <w:t>* Th</w:t>
            </w:r>
            <w:r w:rsidR="000F4A58" w:rsidRPr="00C5494E">
              <w:t>is</w:t>
            </w:r>
            <w:r w:rsidRPr="00C5494E">
              <w:t xml:space="preserve"> chart show</w:t>
            </w:r>
            <w:r w:rsidR="000F4A58" w:rsidRPr="00C5494E">
              <w:t>s</w:t>
            </w:r>
            <w:r w:rsidRPr="00C5494E">
              <w:t xml:space="preserve"> normalized changes in the indicators that are included in the IDI. </w:t>
            </w:r>
            <w:r w:rsidRPr="00C5494E">
              <w:br/>
            </w:r>
            <w:r w:rsidRPr="00C5494E">
              <w:rPr>
                <w:i/>
                <w:iCs/>
              </w:rPr>
              <w:t>Source</w:t>
            </w:r>
            <w:r w:rsidRPr="00C5494E">
              <w:t>: ITU (2010b).</w:t>
            </w:r>
          </w:p>
        </w:tc>
      </w:tr>
    </w:tbl>
    <w:p w:rsidR="003F3F29" w:rsidRPr="00C5494E" w:rsidRDefault="003F3F29" w:rsidP="003F3F29"/>
    <w:p w:rsidR="003F3F29" w:rsidRPr="00C5494E" w:rsidRDefault="003F3F29">
      <w:pPr>
        <w:tabs>
          <w:tab w:val="clear" w:pos="794"/>
          <w:tab w:val="clear" w:pos="1191"/>
          <w:tab w:val="clear" w:pos="1588"/>
          <w:tab w:val="clear" w:pos="1985"/>
        </w:tabs>
        <w:overflowPunct/>
        <w:autoSpaceDE/>
        <w:autoSpaceDN/>
        <w:adjustRightInd/>
        <w:spacing w:before="0"/>
        <w:jc w:val="left"/>
        <w:textAlignment w:val="auto"/>
      </w:pPr>
      <w:r w:rsidRPr="00C5494E">
        <w:br w:type="page"/>
      </w:r>
    </w:p>
    <w:p w:rsidR="003F3F29" w:rsidRPr="00C5494E" w:rsidRDefault="003F3F29" w:rsidP="003F3F29">
      <w:pPr>
        <w:pStyle w:val="Heading2"/>
      </w:pPr>
      <w:bookmarkStart w:id="30" w:name="_Toc273517397"/>
      <w:bookmarkStart w:id="31" w:name="_Toc273623620"/>
      <w:r w:rsidRPr="00C5494E">
        <w:lastRenderedPageBreak/>
        <w:t>3.3</w:t>
      </w:r>
      <w:r w:rsidRPr="00C5494E">
        <w:tab/>
        <w:t>AFFORDABILITY OF ICT SERVICES</w:t>
      </w:r>
      <w:bookmarkEnd w:id="30"/>
      <w:bookmarkEnd w:id="31"/>
      <w:r w:rsidRPr="00C5494E">
        <w:t xml:space="preserve"> </w:t>
      </w:r>
    </w:p>
    <w:p w:rsidR="003F3F29" w:rsidRPr="00C5494E" w:rsidRDefault="005704BD" w:rsidP="005704BD">
      <w:pPr>
        <w:rPr>
          <w:bCs/>
        </w:rPr>
      </w:pPr>
      <w:r w:rsidRPr="00C5494E">
        <w:rPr>
          <w:bCs/>
        </w:rPr>
        <w:t>In February 2010, ITU presented the second edition of the ICT Price Basket.</w:t>
      </w:r>
      <w:r w:rsidRPr="00C5494E">
        <w:rPr>
          <w:bCs/>
          <w:vertAlign w:val="superscript"/>
        </w:rPr>
        <w:footnoteReference w:id="30"/>
      </w:r>
      <w:r w:rsidRPr="00C5494E">
        <w:rPr>
          <w:bCs/>
        </w:rPr>
        <w:t xml:space="preserve"> Its objective is to monitor the price of ICT services, which influences or even determines whether or not people will subscribe to certain services and use ICTs.</w:t>
      </w:r>
    </w:p>
    <w:p w:rsidR="003F3F29" w:rsidRPr="00C5494E" w:rsidRDefault="005704BD" w:rsidP="000F4A58">
      <w:pPr>
        <w:rPr>
          <w:bCs/>
        </w:rPr>
      </w:pPr>
      <w:r w:rsidRPr="00C5494E">
        <w:rPr>
          <w:bCs/>
        </w:rPr>
        <w:t>The ITU ICT Price Basket is made up of three sub-baskets, which measure the prices of fixed telephony, mobile cellular and fixed broadband Internet services. Each sub-basket is presented in USD, in PPP$</w:t>
      </w:r>
      <w:r w:rsidRPr="00C5494E">
        <w:rPr>
          <w:bCs/>
          <w:vertAlign w:val="superscript"/>
        </w:rPr>
        <w:footnoteReference w:id="31"/>
      </w:r>
      <w:r w:rsidRPr="00C5494E">
        <w:rPr>
          <w:bCs/>
        </w:rPr>
        <w:t xml:space="preserve"> and as a percentage of monthly GNI per capita. The three sub-baskets are combined into a single ICT Price Basket value, based on which countries are ranked (Figure 3.3). For the ranking, prices of each sub-basket are expressed as a percentage of GNI per capita, thus pointing to the relative cost (or affordability) of ICT services within a country. The lower the ICT Price Basket value, the cheaper the combined relative cost of ICT services. This section analyses the ICT Price Basket in ABBMN countries. </w:t>
      </w:r>
      <w:smartTag w:uri="urn:schemas-microsoft-com:office:smarttags" w:element="place">
        <w:smartTag w:uri="urn:schemas-microsoft-com:office:smarttags" w:element="country-region">
          <w:r w:rsidRPr="00C5494E">
            <w:rPr>
              <w:bCs/>
            </w:rPr>
            <w:t>Afghanistan</w:t>
          </w:r>
        </w:smartTag>
      </w:smartTag>
      <w:r w:rsidRPr="00C5494E">
        <w:rPr>
          <w:bCs/>
        </w:rPr>
        <w:t xml:space="preserve"> is excluded f</w:t>
      </w:r>
      <w:r w:rsidR="000F4A58" w:rsidRPr="00C5494E">
        <w:rPr>
          <w:bCs/>
        </w:rPr>
        <w:t>r</w:t>
      </w:r>
      <w:r w:rsidRPr="00C5494E">
        <w:rPr>
          <w:bCs/>
        </w:rPr>
        <w:t>om the comparison, due to lack of data on ICT prices.</w:t>
      </w:r>
    </w:p>
    <w:p w:rsidR="003F3F29" w:rsidRPr="00C5494E" w:rsidRDefault="003F3F29" w:rsidP="003F3F29"/>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3F3F29" w:rsidRPr="00C5494E" w:rsidTr="00FB239F">
        <w:trPr>
          <w:jc w:val="center"/>
        </w:trPr>
        <w:tc>
          <w:tcPr>
            <w:tcW w:w="9424" w:type="dxa"/>
            <w:shd w:val="clear" w:color="auto" w:fill="D9D9D9" w:themeFill="background1" w:themeFillShade="D9"/>
          </w:tcPr>
          <w:p w:rsidR="003F3F29" w:rsidRPr="00C5494E" w:rsidRDefault="003F3F29" w:rsidP="00FB239F">
            <w:pPr>
              <w:pStyle w:val="FigureNoTitle"/>
              <w:keepNext/>
              <w:rPr>
                <w:lang w:val="en-GB"/>
              </w:rPr>
            </w:pPr>
            <w:r w:rsidRPr="00C5494E">
              <w:rPr>
                <w:lang w:val="en-GB"/>
              </w:rPr>
              <w:t>Figure 3.3: ICT Price Basket methodology</w:t>
            </w:r>
          </w:p>
          <w:p w:rsidR="003F3F29" w:rsidRPr="00C5494E" w:rsidRDefault="003F3F29" w:rsidP="00FB239F">
            <w:pPr>
              <w:pStyle w:val="Figure"/>
              <w:rPr>
                <w:lang w:val="en-GB"/>
              </w:rPr>
            </w:pPr>
            <w:r w:rsidRPr="00C5494E">
              <w:drawing>
                <wp:inline distT="0" distB="0" distL="0" distR="0">
                  <wp:extent cx="5019675" cy="2694855"/>
                  <wp:effectExtent l="19050" t="0" r="9525" b="0"/>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5019675" cy="2694855"/>
                          </a:xfrm>
                          <a:prstGeom prst="rect">
                            <a:avLst/>
                          </a:prstGeom>
                          <a:noFill/>
                          <a:ln w="9525">
                            <a:noFill/>
                            <a:miter lim="800000"/>
                            <a:headEnd/>
                            <a:tailEnd/>
                          </a:ln>
                        </pic:spPr>
                      </pic:pic>
                    </a:graphicData>
                  </a:graphic>
                </wp:inline>
              </w:drawing>
            </w:r>
          </w:p>
          <w:p w:rsidR="003F3F29" w:rsidRPr="00C5494E" w:rsidRDefault="003F3F29" w:rsidP="005704BD">
            <w:pPr>
              <w:pStyle w:val="Figurelegend"/>
              <w:ind w:left="1191" w:hanging="1191"/>
              <w:jc w:val="left"/>
            </w:pPr>
            <w:r w:rsidRPr="00C5494E">
              <w:rPr>
                <w:i/>
                <w:iCs/>
              </w:rPr>
              <w:t>Note:</w:t>
            </w:r>
            <w:r w:rsidRPr="00C5494E">
              <w:rPr>
                <w:i/>
                <w:iCs/>
              </w:rPr>
              <w:tab/>
            </w:r>
            <w:r w:rsidRPr="00C5494E">
              <w:t xml:space="preserve">1) </w:t>
            </w:r>
            <w:r w:rsidR="005704BD" w:rsidRPr="00C5494E">
              <w:tab/>
            </w:r>
            <w:r w:rsidRPr="00C5494E">
              <w:t xml:space="preserve">In countries where no mobile prepaid offers are available, the monthly fixed cost (minus the free minutes included, if applicable) of a </w:t>
            </w:r>
            <w:proofErr w:type="spellStart"/>
            <w:r w:rsidRPr="00C5494E">
              <w:t>postpaid</w:t>
            </w:r>
            <w:proofErr w:type="spellEnd"/>
            <w:r w:rsidRPr="00C5494E">
              <w:t xml:space="preserve"> subscription is added to the basket.</w:t>
            </w:r>
          </w:p>
          <w:p w:rsidR="003F3F29" w:rsidRPr="00C5494E" w:rsidRDefault="003F3F29" w:rsidP="005704BD">
            <w:pPr>
              <w:pStyle w:val="Figurelegend"/>
              <w:spacing w:before="0"/>
              <w:ind w:left="1191" w:hanging="1191"/>
            </w:pPr>
            <w:r w:rsidRPr="00C5494E">
              <w:tab/>
              <w:t xml:space="preserve">2) </w:t>
            </w:r>
            <w:r w:rsidR="005704BD" w:rsidRPr="00C5494E">
              <w:tab/>
            </w:r>
            <w:r w:rsidRPr="00C5494E">
              <w:t>For monthly fixed broadband Internet plans that limit the amount of data transferred by including caps below 1 Gigabyte, the cost for additional bytes is added.</w:t>
            </w:r>
          </w:p>
          <w:p w:rsidR="003F3F29" w:rsidRPr="00C5494E" w:rsidRDefault="003F3F29" w:rsidP="000F4A58">
            <w:pPr>
              <w:pStyle w:val="Figurelegend"/>
              <w:spacing w:before="0"/>
              <w:ind w:left="1191" w:hanging="1191"/>
              <w:jc w:val="left"/>
            </w:pPr>
            <w:r w:rsidRPr="00C5494E">
              <w:tab/>
              <w:t xml:space="preserve">3) </w:t>
            </w:r>
            <w:r w:rsidR="005704BD" w:rsidRPr="00C5494E">
              <w:tab/>
            </w:r>
            <w:r w:rsidR="000F4A58" w:rsidRPr="00C5494E">
              <w:t>Twenty-five</w:t>
            </w:r>
            <w:r w:rsidRPr="00C5494E">
              <w:t xml:space="preserve"> outgoing calls are equivalent to a total of 37.1 minutes. For more details on the OECD/</w:t>
            </w:r>
            <w:proofErr w:type="spellStart"/>
            <w:r w:rsidRPr="00C5494E">
              <w:t>Teligen</w:t>
            </w:r>
            <w:proofErr w:type="spellEnd"/>
            <w:r w:rsidRPr="00C5494E">
              <w:t xml:space="preserve"> methodology, see OECD (2002).</w:t>
            </w:r>
          </w:p>
          <w:p w:rsidR="003F3F29" w:rsidRPr="00C5494E" w:rsidRDefault="003F3F29" w:rsidP="003F3F29">
            <w:pPr>
              <w:pStyle w:val="Figurelegend"/>
              <w:spacing w:before="0"/>
              <w:ind w:left="794" w:hanging="794"/>
              <w:jc w:val="left"/>
            </w:pPr>
            <w:r w:rsidRPr="00C5494E">
              <w:rPr>
                <w:i/>
                <w:iCs/>
              </w:rPr>
              <w:t>Source</w:t>
            </w:r>
            <w:r w:rsidRPr="00C5494E">
              <w:t>: ITU (2010b).</w:t>
            </w:r>
          </w:p>
        </w:tc>
      </w:tr>
    </w:tbl>
    <w:p w:rsidR="003F3F29" w:rsidRPr="00C5494E" w:rsidRDefault="003F3F29" w:rsidP="003F3F29"/>
    <w:p w:rsidR="003F3F29" w:rsidRPr="00C5494E" w:rsidRDefault="005704BD" w:rsidP="005704BD">
      <w:pPr>
        <w:rPr>
          <w:bCs/>
        </w:rPr>
      </w:pPr>
      <w:r w:rsidRPr="00C5494E">
        <w:rPr>
          <w:bCs/>
        </w:rPr>
        <w:lastRenderedPageBreak/>
        <w:t xml:space="preserve">Table 3.3 presents the results of the ICT Price Basket in ABBMN countries. Between 2008 and 2009, the combined cost of the three ICT services included in the ICT Price Basket decreased an average 27.8 </w:t>
      </w:r>
      <w:r w:rsidR="000F4A58" w:rsidRPr="00C5494E">
        <w:rPr>
          <w:bCs/>
        </w:rPr>
        <w:t>per cent</w:t>
      </w:r>
      <w:r w:rsidRPr="00C5494E">
        <w:rPr>
          <w:bCs/>
        </w:rPr>
        <w:t xml:space="preserve"> in South Asian countries, which is a higher reduction of prices than the average of the world for the same period (14.8 </w:t>
      </w:r>
      <w:r w:rsidR="000F4A58" w:rsidRPr="00C5494E">
        <w:rPr>
          <w:bCs/>
        </w:rPr>
        <w:t>per cent</w:t>
      </w:r>
      <w:r w:rsidRPr="00C5494E">
        <w:rPr>
          <w:bCs/>
        </w:rPr>
        <w:t xml:space="preserve"> decrease). In 2008, </w:t>
      </w:r>
      <w:smartTag w:uri="urn:schemas-microsoft-com:office:smarttags" w:element="place">
        <w:smartTag w:uri="urn:schemas-microsoft-com:office:smarttags" w:element="country-region">
          <w:r w:rsidRPr="00C5494E">
            <w:rPr>
              <w:bCs/>
            </w:rPr>
            <w:t>Maldives</w:t>
          </w:r>
        </w:smartTag>
      </w:smartTag>
      <w:r w:rsidRPr="00C5494E">
        <w:rPr>
          <w:bCs/>
        </w:rPr>
        <w:t xml:space="preserve"> was the only ABBMN country that had an ICT Price Basket below the average of the world (i.e. cheaper ICT prices). In 2009, </w:t>
      </w:r>
      <w:smartTag w:uri="urn:schemas-microsoft-com:office:smarttags" w:element="place">
        <w:smartTag w:uri="urn:schemas-microsoft-com:office:smarttags" w:element="country-region">
          <w:r w:rsidRPr="00C5494E">
            <w:rPr>
              <w:bCs/>
            </w:rPr>
            <w:t>Bhutan</w:t>
          </w:r>
        </w:smartTag>
      </w:smartTag>
      <w:r w:rsidRPr="00C5494E">
        <w:rPr>
          <w:bCs/>
        </w:rPr>
        <w:t xml:space="preserve"> also achieved an ICT Price Basket below the world average, due to a drastic reduction in fixed broadband prices. </w:t>
      </w:r>
      <w:smartTag w:uri="urn:schemas-microsoft-com:office:smarttags" w:element="place">
        <w:smartTag w:uri="urn:schemas-microsoft-com:office:smarttags" w:element="country-region">
          <w:r w:rsidRPr="00C5494E">
            <w:rPr>
              <w:bCs/>
            </w:rPr>
            <w:t>Nepal</w:t>
          </w:r>
        </w:smartTag>
      </w:smartTag>
      <w:r w:rsidRPr="00C5494E">
        <w:rPr>
          <w:bCs/>
        </w:rPr>
        <w:t xml:space="preserve"> ICT prices also decreased significantly (especially mobile cellular and fixed broadband ones), although they were still above the world average (i.e. more expensive). </w:t>
      </w:r>
      <w:smartTag w:uri="urn:schemas-microsoft-com:office:smarttags" w:element="place">
        <w:smartTag w:uri="urn:schemas-microsoft-com:office:smarttags" w:element="country-region">
          <w:r w:rsidRPr="00C5494E">
            <w:rPr>
              <w:bCs/>
            </w:rPr>
            <w:t>Bangladesh</w:t>
          </w:r>
        </w:smartTag>
      </w:smartTag>
      <w:r w:rsidRPr="00C5494E">
        <w:rPr>
          <w:bCs/>
        </w:rPr>
        <w:t xml:space="preserve"> was the only South Asian country where ICT prices did not significantly decrease between 2008 and 2009.</w:t>
      </w:r>
    </w:p>
    <w:p w:rsidR="003F3F29" w:rsidRPr="00C5494E" w:rsidRDefault="003F3F29" w:rsidP="003F3F29">
      <w:pPr>
        <w:rPr>
          <w:bCs/>
        </w:rPr>
      </w:pPr>
    </w:p>
    <w:tbl>
      <w:tblPr>
        <w:tblStyle w:val="LightShading-Accent2"/>
        <w:tblW w:w="9728" w:type="dxa"/>
        <w:jc w:val="center"/>
        <w:tblLook w:val="04A0"/>
      </w:tblPr>
      <w:tblGrid>
        <w:gridCol w:w="2235"/>
        <w:gridCol w:w="776"/>
        <w:gridCol w:w="776"/>
        <w:gridCol w:w="775"/>
        <w:gridCol w:w="775"/>
        <w:gridCol w:w="775"/>
        <w:gridCol w:w="775"/>
        <w:gridCol w:w="775"/>
        <w:gridCol w:w="775"/>
        <w:gridCol w:w="1291"/>
      </w:tblGrid>
      <w:tr w:rsidR="000620A9" w:rsidRPr="00C5494E" w:rsidTr="000620A9">
        <w:trPr>
          <w:cnfStyle w:val="100000000000"/>
          <w:jc w:val="center"/>
        </w:trPr>
        <w:tc>
          <w:tcPr>
            <w:cnfStyle w:val="001000000000"/>
            <w:tcW w:w="9728" w:type="dxa"/>
            <w:gridSpan w:val="10"/>
            <w:tcBorders>
              <w:top w:val="single" w:sz="8" w:space="0" w:color="990033"/>
              <w:left w:val="single" w:sz="8" w:space="0" w:color="990033"/>
              <w:bottom w:val="single" w:sz="8" w:space="0" w:color="990033"/>
              <w:right w:val="single" w:sz="8" w:space="0" w:color="990033"/>
            </w:tcBorders>
            <w:shd w:val="clear" w:color="auto" w:fill="990033"/>
          </w:tcPr>
          <w:p w:rsidR="000620A9" w:rsidRPr="00C5494E" w:rsidRDefault="000620A9" w:rsidP="000F4A58">
            <w:pPr>
              <w:pStyle w:val="TableNoTitle"/>
              <w:rPr>
                <w:lang w:val="en-GB"/>
              </w:rPr>
            </w:pPr>
            <w:r w:rsidRPr="00C5494E">
              <w:rPr>
                <w:lang w:val="en-GB"/>
              </w:rPr>
              <w:t>Table 3.3: ICT Price Basket and sub-baskets, 2009 and 2008, ABBMN countries</w:t>
            </w:r>
          </w:p>
        </w:tc>
      </w:tr>
      <w:tr w:rsidR="000620A9" w:rsidRPr="00C5494E" w:rsidTr="00B36270">
        <w:trPr>
          <w:cnfStyle w:val="000000100000"/>
          <w:jc w:val="center"/>
        </w:trPr>
        <w:tc>
          <w:tcPr>
            <w:cnfStyle w:val="001000000000"/>
            <w:tcW w:w="2235" w:type="dxa"/>
            <w:tcBorders>
              <w:top w:val="single" w:sz="8" w:space="0" w:color="990033"/>
              <w:left w:val="single" w:sz="8" w:space="0" w:color="990033"/>
              <w:bottom w:val="single" w:sz="8" w:space="0" w:color="990033"/>
              <w:right w:val="single" w:sz="8" w:space="0" w:color="990033"/>
            </w:tcBorders>
          </w:tcPr>
          <w:p w:rsidR="000620A9" w:rsidRPr="00C5494E" w:rsidRDefault="000620A9" w:rsidP="00A71DEE">
            <w:pPr>
              <w:pStyle w:val="Tablehead"/>
              <w:rPr>
                <w:lang w:val="en-GB"/>
              </w:rPr>
            </w:pPr>
          </w:p>
        </w:tc>
        <w:tc>
          <w:tcPr>
            <w:tcW w:w="1552" w:type="dxa"/>
            <w:gridSpan w:val="2"/>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A71DEE">
            <w:pPr>
              <w:pStyle w:val="Tablehead"/>
              <w:cnfStyle w:val="000000100000"/>
              <w:rPr>
                <w:lang w:val="en-GB"/>
              </w:rPr>
            </w:pPr>
            <w:r w:rsidRPr="00C5494E">
              <w:rPr>
                <w:lang w:val="en-GB"/>
              </w:rPr>
              <w:t>ICT Price Basket</w:t>
            </w:r>
          </w:p>
        </w:tc>
        <w:tc>
          <w:tcPr>
            <w:tcW w:w="1550" w:type="dxa"/>
            <w:gridSpan w:val="2"/>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A71DEE">
            <w:pPr>
              <w:pStyle w:val="Tablehead"/>
              <w:cnfStyle w:val="000000100000"/>
              <w:rPr>
                <w:lang w:val="en-GB"/>
              </w:rPr>
            </w:pPr>
            <w:r w:rsidRPr="00C5494E">
              <w:rPr>
                <w:lang w:val="en-GB"/>
              </w:rPr>
              <w:t>Fixed telephone sub-basket as a % of GNI per capita</w:t>
            </w:r>
          </w:p>
        </w:tc>
        <w:tc>
          <w:tcPr>
            <w:tcW w:w="1550" w:type="dxa"/>
            <w:gridSpan w:val="2"/>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A71DEE">
            <w:pPr>
              <w:pStyle w:val="Tablehead"/>
              <w:cnfStyle w:val="000000100000"/>
              <w:rPr>
                <w:lang w:val="en-GB"/>
              </w:rPr>
            </w:pPr>
            <w:r w:rsidRPr="00C5494E">
              <w:rPr>
                <w:lang w:val="en-GB"/>
              </w:rPr>
              <w:t>Mobile cellular sub-basket as a % of GNI per capita</w:t>
            </w:r>
          </w:p>
        </w:tc>
        <w:tc>
          <w:tcPr>
            <w:tcW w:w="1550" w:type="dxa"/>
            <w:gridSpan w:val="2"/>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A71DEE">
            <w:pPr>
              <w:pStyle w:val="Tablehead"/>
              <w:cnfStyle w:val="000000100000"/>
              <w:rPr>
                <w:lang w:val="en-GB"/>
              </w:rPr>
            </w:pPr>
            <w:r w:rsidRPr="00C5494E">
              <w:rPr>
                <w:lang w:val="en-GB"/>
              </w:rPr>
              <w:t>Fixed broadband sub-basket as a % of GNI per capita</w:t>
            </w:r>
          </w:p>
        </w:tc>
        <w:tc>
          <w:tcPr>
            <w:tcW w:w="1291" w:type="dxa"/>
            <w:vMerge w:val="restart"/>
            <w:tcBorders>
              <w:top w:val="single" w:sz="8" w:space="0" w:color="990033"/>
              <w:left w:val="single" w:sz="8" w:space="0" w:color="990033"/>
              <w:right w:val="single" w:sz="8" w:space="0" w:color="990033"/>
            </w:tcBorders>
          </w:tcPr>
          <w:p w:rsidR="000620A9" w:rsidRPr="00C5494E" w:rsidRDefault="000620A9" w:rsidP="00A71DEE">
            <w:pPr>
              <w:pStyle w:val="Tablehead"/>
              <w:cnfStyle w:val="000000100000"/>
              <w:rPr>
                <w:lang w:val="en-GB"/>
              </w:rPr>
            </w:pPr>
            <w:r w:rsidRPr="00C5494E">
              <w:rPr>
                <w:lang w:val="en-GB"/>
              </w:rPr>
              <w:t>GNI per capita, USD</w:t>
            </w:r>
            <w:r w:rsidR="000F4A58" w:rsidRPr="00C5494E">
              <w:rPr>
                <w:lang w:val="en-GB"/>
              </w:rPr>
              <w:t>,</w:t>
            </w:r>
            <w:r w:rsidRPr="00C5494E">
              <w:rPr>
                <w:lang w:val="en-GB"/>
              </w:rPr>
              <w:t xml:space="preserve"> 2008 (or latest available year)</w:t>
            </w:r>
          </w:p>
        </w:tc>
      </w:tr>
      <w:tr w:rsidR="000620A9" w:rsidRPr="00C5494E" w:rsidTr="00B36270">
        <w:trPr>
          <w:jc w:val="center"/>
        </w:trPr>
        <w:tc>
          <w:tcPr>
            <w:cnfStyle w:val="001000000000"/>
            <w:tcW w:w="2235" w:type="dxa"/>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A71DEE">
            <w:pPr>
              <w:pStyle w:val="Tablehead"/>
              <w:rPr>
                <w:lang w:val="en-GB"/>
              </w:rPr>
            </w:pPr>
            <w:r w:rsidRPr="00C5494E">
              <w:rPr>
                <w:lang w:val="en-GB"/>
              </w:rPr>
              <w:t>Economy</w:t>
            </w:r>
          </w:p>
        </w:tc>
        <w:tc>
          <w:tcPr>
            <w:tcW w:w="776" w:type="dxa"/>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000000"/>
            </w:pPr>
            <w:r w:rsidRPr="00C5494E">
              <w:t>2009</w:t>
            </w:r>
          </w:p>
        </w:tc>
        <w:tc>
          <w:tcPr>
            <w:tcW w:w="776" w:type="dxa"/>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000000"/>
            </w:pPr>
            <w:r w:rsidRPr="00C5494E">
              <w:t>2008</w:t>
            </w:r>
          </w:p>
        </w:tc>
        <w:tc>
          <w:tcPr>
            <w:tcW w:w="775" w:type="dxa"/>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000000"/>
            </w:pPr>
            <w:r w:rsidRPr="00C5494E">
              <w:t>2009</w:t>
            </w:r>
          </w:p>
        </w:tc>
        <w:tc>
          <w:tcPr>
            <w:tcW w:w="775" w:type="dxa"/>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000000"/>
            </w:pPr>
            <w:r w:rsidRPr="00C5494E">
              <w:t>2008</w:t>
            </w:r>
          </w:p>
        </w:tc>
        <w:tc>
          <w:tcPr>
            <w:tcW w:w="775" w:type="dxa"/>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000000"/>
            </w:pPr>
            <w:r w:rsidRPr="00C5494E">
              <w:t>2009</w:t>
            </w:r>
          </w:p>
        </w:tc>
        <w:tc>
          <w:tcPr>
            <w:tcW w:w="775" w:type="dxa"/>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000000"/>
            </w:pPr>
            <w:r w:rsidRPr="00C5494E">
              <w:t>2008</w:t>
            </w:r>
          </w:p>
        </w:tc>
        <w:tc>
          <w:tcPr>
            <w:tcW w:w="775" w:type="dxa"/>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000000"/>
            </w:pPr>
            <w:r w:rsidRPr="00C5494E">
              <w:t>2009</w:t>
            </w:r>
          </w:p>
        </w:tc>
        <w:tc>
          <w:tcPr>
            <w:tcW w:w="775" w:type="dxa"/>
            <w:tcBorders>
              <w:top w:val="single" w:sz="8" w:space="0" w:color="990033"/>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000000"/>
            </w:pPr>
            <w:r w:rsidRPr="00C5494E">
              <w:t>2008</w:t>
            </w:r>
          </w:p>
        </w:tc>
        <w:tc>
          <w:tcPr>
            <w:tcW w:w="1291" w:type="dxa"/>
            <w:vMerge/>
            <w:tcBorders>
              <w:left w:val="single" w:sz="8" w:space="0" w:color="990033"/>
              <w:bottom w:val="single" w:sz="8" w:space="0" w:color="990033"/>
              <w:right w:val="single" w:sz="8" w:space="0" w:color="990033"/>
            </w:tcBorders>
          </w:tcPr>
          <w:p w:rsidR="000620A9" w:rsidRPr="00C5494E" w:rsidRDefault="000620A9" w:rsidP="00A71DEE">
            <w:pPr>
              <w:pStyle w:val="Tabletext"/>
              <w:cnfStyle w:val="000000000000"/>
            </w:pPr>
          </w:p>
        </w:tc>
      </w:tr>
      <w:tr w:rsidR="000620A9" w:rsidRPr="00C5494E" w:rsidTr="000620A9">
        <w:trPr>
          <w:cnfStyle w:val="000000100000"/>
          <w:jc w:val="center"/>
        </w:trPr>
        <w:tc>
          <w:tcPr>
            <w:cnfStyle w:val="001000000000"/>
            <w:tcW w:w="2235" w:type="dxa"/>
            <w:tcBorders>
              <w:top w:val="single" w:sz="8" w:space="0" w:color="990033"/>
              <w:left w:val="single" w:sz="8" w:space="0" w:color="990033"/>
              <w:bottom w:val="nil"/>
              <w:right w:val="single" w:sz="8" w:space="0" w:color="990033"/>
            </w:tcBorders>
            <w:vAlign w:val="center"/>
          </w:tcPr>
          <w:p w:rsidR="000620A9" w:rsidRPr="00C5494E" w:rsidRDefault="000620A9" w:rsidP="00A71DEE">
            <w:pPr>
              <w:pStyle w:val="Tabletext"/>
            </w:pPr>
            <w:r w:rsidRPr="00C5494E">
              <w:t>DEVELOPED</w:t>
            </w:r>
          </w:p>
        </w:tc>
        <w:tc>
          <w:tcPr>
            <w:tcW w:w="776" w:type="dxa"/>
            <w:tcBorders>
              <w:top w:val="single" w:sz="8" w:space="0" w:color="990033"/>
              <w:left w:val="single" w:sz="8" w:space="0" w:color="990033"/>
              <w:bottom w:val="nil"/>
              <w:right w:val="single" w:sz="8" w:space="0" w:color="990033"/>
            </w:tcBorders>
            <w:vAlign w:val="center"/>
          </w:tcPr>
          <w:p w:rsidR="000620A9" w:rsidRPr="00C5494E" w:rsidRDefault="000620A9" w:rsidP="005704BD">
            <w:pPr>
              <w:pStyle w:val="Tabletext"/>
              <w:jc w:val="center"/>
              <w:cnfStyle w:val="000000100000"/>
            </w:pPr>
            <w:r w:rsidRPr="00C5494E">
              <w:t>1.5</w:t>
            </w:r>
          </w:p>
        </w:tc>
        <w:tc>
          <w:tcPr>
            <w:tcW w:w="776" w:type="dxa"/>
            <w:tcBorders>
              <w:top w:val="single" w:sz="8" w:space="0" w:color="990033"/>
              <w:left w:val="single" w:sz="8" w:space="0" w:color="990033"/>
              <w:bottom w:val="nil"/>
              <w:right w:val="single" w:sz="8" w:space="0" w:color="990033"/>
            </w:tcBorders>
            <w:vAlign w:val="center"/>
          </w:tcPr>
          <w:p w:rsidR="000620A9" w:rsidRPr="00C5494E" w:rsidRDefault="000620A9" w:rsidP="005704BD">
            <w:pPr>
              <w:pStyle w:val="Tabletext"/>
              <w:jc w:val="center"/>
              <w:cnfStyle w:val="000000100000"/>
            </w:pPr>
            <w:r w:rsidRPr="00C5494E">
              <w:t>1.9</w:t>
            </w:r>
          </w:p>
        </w:tc>
        <w:tc>
          <w:tcPr>
            <w:tcW w:w="775" w:type="dxa"/>
            <w:tcBorders>
              <w:top w:val="single" w:sz="8" w:space="0" w:color="990033"/>
              <w:left w:val="single" w:sz="8" w:space="0" w:color="990033"/>
              <w:bottom w:val="nil"/>
              <w:right w:val="single" w:sz="8" w:space="0" w:color="990033"/>
            </w:tcBorders>
            <w:vAlign w:val="center"/>
          </w:tcPr>
          <w:p w:rsidR="000620A9" w:rsidRPr="00C5494E" w:rsidRDefault="000620A9" w:rsidP="005704BD">
            <w:pPr>
              <w:pStyle w:val="Tabletext"/>
              <w:jc w:val="center"/>
              <w:cnfStyle w:val="000000100000"/>
            </w:pPr>
            <w:r w:rsidRPr="00C5494E">
              <w:t>1.2</w:t>
            </w:r>
          </w:p>
        </w:tc>
        <w:tc>
          <w:tcPr>
            <w:tcW w:w="775" w:type="dxa"/>
            <w:tcBorders>
              <w:top w:val="single" w:sz="8" w:space="0" w:color="990033"/>
              <w:left w:val="single" w:sz="8" w:space="0" w:color="990033"/>
              <w:bottom w:val="nil"/>
              <w:right w:val="single" w:sz="8" w:space="0" w:color="990033"/>
            </w:tcBorders>
            <w:vAlign w:val="center"/>
          </w:tcPr>
          <w:p w:rsidR="000620A9" w:rsidRPr="00C5494E" w:rsidRDefault="000620A9" w:rsidP="005704BD">
            <w:pPr>
              <w:pStyle w:val="Tabletext"/>
              <w:jc w:val="center"/>
              <w:cnfStyle w:val="000000100000"/>
            </w:pPr>
            <w:r w:rsidRPr="00C5494E">
              <w:t>1.4</w:t>
            </w:r>
          </w:p>
        </w:tc>
        <w:tc>
          <w:tcPr>
            <w:tcW w:w="775" w:type="dxa"/>
            <w:tcBorders>
              <w:top w:val="single" w:sz="8" w:space="0" w:color="990033"/>
              <w:left w:val="single" w:sz="8" w:space="0" w:color="990033"/>
              <w:bottom w:val="nil"/>
              <w:right w:val="single" w:sz="8" w:space="0" w:color="990033"/>
            </w:tcBorders>
            <w:vAlign w:val="center"/>
          </w:tcPr>
          <w:p w:rsidR="000620A9" w:rsidRPr="00C5494E" w:rsidRDefault="000620A9" w:rsidP="005704BD">
            <w:pPr>
              <w:pStyle w:val="Tabletext"/>
              <w:jc w:val="center"/>
              <w:cnfStyle w:val="000000100000"/>
            </w:pPr>
            <w:r w:rsidRPr="00C5494E">
              <w:t>1.2</w:t>
            </w:r>
          </w:p>
        </w:tc>
        <w:tc>
          <w:tcPr>
            <w:tcW w:w="775" w:type="dxa"/>
            <w:tcBorders>
              <w:top w:val="single" w:sz="8" w:space="0" w:color="990033"/>
              <w:left w:val="single" w:sz="8" w:space="0" w:color="990033"/>
              <w:bottom w:val="nil"/>
              <w:right w:val="single" w:sz="8" w:space="0" w:color="990033"/>
            </w:tcBorders>
            <w:vAlign w:val="center"/>
          </w:tcPr>
          <w:p w:rsidR="000620A9" w:rsidRPr="00C5494E" w:rsidRDefault="000620A9" w:rsidP="005704BD">
            <w:pPr>
              <w:pStyle w:val="Tabletext"/>
              <w:jc w:val="center"/>
              <w:cnfStyle w:val="000000100000"/>
            </w:pPr>
            <w:r w:rsidRPr="00C5494E">
              <w:t>1.6</w:t>
            </w:r>
          </w:p>
        </w:tc>
        <w:tc>
          <w:tcPr>
            <w:tcW w:w="775" w:type="dxa"/>
            <w:tcBorders>
              <w:top w:val="single" w:sz="8" w:space="0" w:color="990033"/>
              <w:left w:val="single" w:sz="8" w:space="0" w:color="990033"/>
              <w:bottom w:val="nil"/>
              <w:right w:val="single" w:sz="8" w:space="0" w:color="990033"/>
            </w:tcBorders>
            <w:vAlign w:val="center"/>
          </w:tcPr>
          <w:p w:rsidR="000620A9" w:rsidRPr="00C5494E" w:rsidRDefault="000620A9" w:rsidP="005704BD">
            <w:pPr>
              <w:pStyle w:val="Tabletext"/>
              <w:jc w:val="center"/>
              <w:cnfStyle w:val="000000100000"/>
            </w:pPr>
            <w:r w:rsidRPr="00C5494E">
              <w:t>2.0</w:t>
            </w:r>
          </w:p>
        </w:tc>
        <w:tc>
          <w:tcPr>
            <w:tcW w:w="775" w:type="dxa"/>
            <w:tcBorders>
              <w:top w:val="single" w:sz="8" w:space="0" w:color="990033"/>
              <w:left w:val="single" w:sz="8" w:space="0" w:color="990033"/>
              <w:bottom w:val="nil"/>
              <w:right w:val="single" w:sz="8" w:space="0" w:color="990033"/>
            </w:tcBorders>
            <w:vAlign w:val="center"/>
          </w:tcPr>
          <w:p w:rsidR="000620A9" w:rsidRPr="00C5494E" w:rsidRDefault="000620A9" w:rsidP="005704BD">
            <w:pPr>
              <w:pStyle w:val="Tabletext"/>
              <w:jc w:val="center"/>
              <w:cnfStyle w:val="000000100000"/>
            </w:pPr>
            <w:r w:rsidRPr="00C5494E">
              <w:t>2.8</w:t>
            </w:r>
          </w:p>
        </w:tc>
        <w:tc>
          <w:tcPr>
            <w:tcW w:w="1291" w:type="dxa"/>
            <w:tcBorders>
              <w:top w:val="single" w:sz="8" w:space="0" w:color="990033"/>
              <w:left w:val="single" w:sz="8" w:space="0" w:color="990033"/>
              <w:bottom w:val="nil"/>
              <w:right w:val="single" w:sz="8" w:space="0" w:color="990033"/>
            </w:tcBorders>
          </w:tcPr>
          <w:p w:rsidR="000620A9" w:rsidRPr="00C5494E" w:rsidRDefault="000620A9" w:rsidP="005704BD">
            <w:pPr>
              <w:pStyle w:val="Tabletext"/>
              <w:jc w:val="center"/>
              <w:cnfStyle w:val="000000100000"/>
            </w:pPr>
            <w:r w:rsidRPr="00C5494E">
              <w:t>34.038</w:t>
            </w:r>
          </w:p>
        </w:tc>
      </w:tr>
      <w:tr w:rsidR="000620A9" w:rsidRPr="00C5494E" w:rsidTr="000620A9">
        <w:trPr>
          <w:jc w:val="center"/>
        </w:trPr>
        <w:tc>
          <w:tcPr>
            <w:cnfStyle w:val="001000000000"/>
            <w:tcW w:w="2235" w:type="dxa"/>
            <w:tcBorders>
              <w:top w:val="nil"/>
              <w:left w:val="single" w:sz="8" w:space="0" w:color="990033"/>
              <w:bottom w:val="nil"/>
              <w:right w:val="single" w:sz="8" w:space="0" w:color="990033"/>
            </w:tcBorders>
            <w:vAlign w:val="center"/>
          </w:tcPr>
          <w:p w:rsidR="000620A9" w:rsidRPr="00C5494E" w:rsidRDefault="000620A9" w:rsidP="00A71DEE">
            <w:pPr>
              <w:pStyle w:val="Tabletext"/>
            </w:pPr>
            <w:r w:rsidRPr="00C5494E">
              <w:t>SOUTH ASIA</w:t>
            </w:r>
          </w:p>
        </w:tc>
        <w:tc>
          <w:tcPr>
            <w:tcW w:w="776" w:type="dxa"/>
            <w:tcBorders>
              <w:top w:val="nil"/>
              <w:left w:val="single" w:sz="8" w:space="0" w:color="990033"/>
              <w:bottom w:val="nil"/>
              <w:right w:val="single" w:sz="8" w:space="0" w:color="990033"/>
            </w:tcBorders>
            <w:vAlign w:val="center"/>
          </w:tcPr>
          <w:p w:rsidR="000620A9" w:rsidRPr="00C5494E" w:rsidRDefault="000620A9" w:rsidP="005704BD">
            <w:pPr>
              <w:pStyle w:val="Tabletext"/>
              <w:jc w:val="center"/>
              <w:cnfStyle w:val="000000000000"/>
            </w:pPr>
            <w:r w:rsidRPr="00C5494E">
              <w:t>11.4</w:t>
            </w:r>
          </w:p>
        </w:tc>
        <w:tc>
          <w:tcPr>
            <w:tcW w:w="776" w:type="dxa"/>
            <w:tcBorders>
              <w:top w:val="nil"/>
              <w:left w:val="single" w:sz="8" w:space="0" w:color="990033"/>
              <w:bottom w:val="nil"/>
              <w:right w:val="single" w:sz="8" w:space="0" w:color="990033"/>
            </w:tcBorders>
            <w:vAlign w:val="center"/>
          </w:tcPr>
          <w:p w:rsidR="000620A9" w:rsidRPr="00C5494E" w:rsidRDefault="000620A9" w:rsidP="005704BD">
            <w:pPr>
              <w:pStyle w:val="Tabletext"/>
              <w:jc w:val="center"/>
              <w:cnfStyle w:val="000000000000"/>
            </w:pPr>
            <w:r w:rsidRPr="00C5494E">
              <w:t>15.8</w:t>
            </w:r>
          </w:p>
        </w:tc>
        <w:tc>
          <w:tcPr>
            <w:tcW w:w="775" w:type="dxa"/>
            <w:tcBorders>
              <w:top w:val="nil"/>
              <w:left w:val="single" w:sz="8" w:space="0" w:color="990033"/>
              <w:bottom w:val="nil"/>
              <w:right w:val="single" w:sz="8" w:space="0" w:color="990033"/>
            </w:tcBorders>
            <w:vAlign w:val="center"/>
          </w:tcPr>
          <w:p w:rsidR="000620A9" w:rsidRPr="00C5494E" w:rsidRDefault="000620A9" w:rsidP="005704BD">
            <w:pPr>
              <w:pStyle w:val="Tabletext"/>
              <w:jc w:val="center"/>
              <w:cnfStyle w:val="000000000000"/>
            </w:pPr>
            <w:r w:rsidRPr="00C5494E">
              <w:t>3.7</w:t>
            </w:r>
          </w:p>
        </w:tc>
        <w:tc>
          <w:tcPr>
            <w:tcW w:w="775" w:type="dxa"/>
            <w:tcBorders>
              <w:top w:val="nil"/>
              <w:left w:val="single" w:sz="8" w:space="0" w:color="990033"/>
              <w:bottom w:val="nil"/>
              <w:right w:val="single" w:sz="8" w:space="0" w:color="990033"/>
            </w:tcBorders>
            <w:vAlign w:val="center"/>
          </w:tcPr>
          <w:p w:rsidR="000620A9" w:rsidRPr="00C5494E" w:rsidRDefault="000620A9" w:rsidP="005704BD">
            <w:pPr>
              <w:pStyle w:val="Tabletext"/>
              <w:jc w:val="center"/>
              <w:cnfStyle w:val="000000000000"/>
            </w:pPr>
            <w:r w:rsidRPr="00C5494E">
              <w:t>4.7</w:t>
            </w:r>
          </w:p>
        </w:tc>
        <w:tc>
          <w:tcPr>
            <w:tcW w:w="775" w:type="dxa"/>
            <w:tcBorders>
              <w:top w:val="nil"/>
              <w:left w:val="single" w:sz="8" w:space="0" w:color="990033"/>
              <w:bottom w:val="nil"/>
              <w:right w:val="single" w:sz="8" w:space="0" w:color="990033"/>
            </w:tcBorders>
            <w:vAlign w:val="center"/>
          </w:tcPr>
          <w:p w:rsidR="000620A9" w:rsidRPr="00C5494E" w:rsidRDefault="000620A9" w:rsidP="005704BD">
            <w:pPr>
              <w:pStyle w:val="Tabletext"/>
              <w:jc w:val="center"/>
              <w:cnfStyle w:val="000000000000"/>
            </w:pPr>
            <w:r w:rsidRPr="00C5494E">
              <w:t>1.8</w:t>
            </w:r>
          </w:p>
        </w:tc>
        <w:tc>
          <w:tcPr>
            <w:tcW w:w="775" w:type="dxa"/>
            <w:tcBorders>
              <w:top w:val="nil"/>
              <w:left w:val="single" w:sz="8" w:space="0" w:color="990033"/>
              <w:bottom w:val="nil"/>
              <w:right w:val="single" w:sz="8" w:space="0" w:color="990033"/>
            </w:tcBorders>
            <w:vAlign w:val="center"/>
          </w:tcPr>
          <w:p w:rsidR="000620A9" w:rsidRPr="00C5494E" w:rsidRDefault="000620A9" w:rsidP="005704BD">
            <w:pPr>
              <w:pStyle w:val="Tabletext"/>
              <w:jc w:val="center"/>
              <w:cnfStyle w:val="000000000000"/>
            </w:pPr>
            <w:r w:rsidRPr="00C5494E">
              <w:t>3.4</w:t>
            </w:r>
          </w:p>
        </w:tc>
        <w:tc>
          <w:tcPr>
            <w:tcW w:w="775" w:type="dxa"/>
            <w:tcBorders>
              <w:top w:val="nil"/>
              <w:left w:val="single" w:sz="8" w:space="0" w:color="990033"/>
              <w:bottom w:val="nil"/>
              <w:right w:val="single" w:sz="8" w:space="0" w:color="990033"/>
            </w:tcBorders>
            <w:vAlign w:val="center"/>
          </w:tcPr>
          <w:p w:rsidR="000620A9" w:rsidRPr="00C5494E" w:rsidRDefault="000620A9" w:rsidP="005704BD">
            <w:pPr>
              <w:pStyle w:val="Tabletext"/>
              <w:jc w:val="center"/>
              <w:cnfStyle w:val="000000000000"/>
            </w:pPr>
            <w:r w:rsidRPr="00C5494E">
              <w:t>31.0</w:t>
            </w:r>
          </w:p>
        </w:tc>
        <w:tc>
          <w:tcPr>
            <w:tcW w:w="775" w:type="dxa"/>
            <w:tcBorders>
              <w:top w:val="nil"/>
              <w:left w:val="single" w:sz="8" w:space="0" w:color="990033"/>
              <w:bottom w:val="nil"/>
              <w:right w:val="single" w:sz="8" w:space="0" w:color="990033"/>
            </w:tcBorders>
            <w:vAlign w:val="center"/>
          </w:tcPr>
          <w:p w:rsidR="000620A9" w:rsidRPr="00C5494E" w:rsidRDefault="000620A9" w:rsidP="005704BD">
            <w:pPr>
              <w:pStyle w:val="Tabletext"/>
              <w:jc w:val="center"/>
              <w:cnfStyle w:val="000000000000"/>
            </w:pPr>
            <w:r w:rsidRPr="00C5494E">
              <w:t>44.6</w:t>
            </w:r>
          </w:p>
        </w:tc>
        <w:tc>
          <w:tcPr>
            <w:tcW w:w="1291" w:type="dxa"/>
            <w:tcBorders>
              <w:top w:val="nil"/>
              <w:left w:val="single" w:sz="8" w:space="0" w:color="990033"/>
              <w:bottom w:val="nil"/>
              <w:right w:val="single" w:sz="8" w:space="0" w:color="990033"/>
            </w:tcBorders>
          </w:tcPr>
          <w:p w:rsidR="000620A9" w:rsidRPr="00C5494E" w:rsidRDefault="000620A9" w:rsidP="005704BD">
            <w:pPr>
              <w:pStyle w:val="Tabletext"/>
              <w:jc w:val="center"/>
              <w:cnfStyle w:val="000000000000"/>
            </w:pPr>
            <w:r w:rsidRPr="00C5494E">
              <w:t>963</w:t>
            </w:r>
          </w:p>
        </w:tc>
      </w:tr>
      <w:tr w:rsidR="000620A9" w:rsidRPr="00C5494E" w:rsidTr="000620A9">
        <w:trPr>
          <w:cnfStyle w:val="000000100000"/>
          <w:jc w:val="center"/>
        </w:trPr>
        <w:tc>
          <w:tcPr>
            <w:cnfStyle w:val="001000000000"/>
            <w:tcW w:w="2235" w:type="dxa"/>
            <w:tcBorders>
              <w:top w:val="nil"/>
              <w:left w:val="single" w:sz="8" w:space="0" w:color="990033"/>
              <w:bottom w:val="single" w:sz="8" w:space="0" w:color="990033"/>
              <w:right w:val="single" w:sz="8" w:space="0" w:color="990033"/>
            </w:tcBorders>
            <w:vAlign w:val="center"/>
          </w:tcPr>
          <w:p w:rsidR="000620A9" w:rsidRPr="00C5494E" w:rsidRDefault="000620A9" w:rsidP="00A71DEE">
            <w:pPr>
              <w:pStyle w:val="Tabletext"/>
            </w:pPr>
            <w:r w:rsidRPr="00C5494E">
              <w:t>WORLD</w:t>
            </w:r>
          </w:p>
        </w:tc>
        <w:tc>
          <w:tcPr>
            <w:tcW w:w="776" w:type="dxa"/>
            <w:tcBorders>
              <w:top w:val="nil"/>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100000"/>
            </w:pPr>
            <w:r w:rsidRPr="00C5494E">
              <w:t>12.8</w:t>
            </w:r>
          </w:p>
        </w:tc>
        <w:tc>
          <w:tcPr>
            <w:tcW w:w="776" w:type="dxa"/>
            <w:tcBorders>
              <w:top w:val="nil"/>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100000"/>
            </w:pPr>
            <w:r w:rsidRPr="00C5494E">
              <w:t>15.0</w:t>
            </w:r>
          </w:p>
        </w:tc>
        <w:tc>
          <w:tcPr>
            <w:tcW w:w="775" w:type="dxa"/>
            <w:tcBorders>
              <w:top w:val="nil"/>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100000"/>
            </w:pPr>
            <w:r w:rsidRPr="00C5494E">
              <w:t>5.9</w:t>
            </w:r>
          </w:p>
        </w:tc>
        <w:tc>
          <w:tcPr>
            <w:tcW w:w="775" w:type="dxa"/>
            <w:tcBorders>
              <w:top w:val="nil"/>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100000"/>
            </w:pPr>
            <w:r w:rsidRPr="00C5494E">
              <w:t>7.4</w:t>
            </w:r>
          </w:p>
        </w:tc>
        <w:tc>
          <w:tcPr>
            <w:tcW w:w="775" w:type="dxa"/>
            <w:tcBorders>
              <w:top w:val="nil"/>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100000"/>
            </w:pPr>
            <w:r w:rsidRPr="00C5494E">
              <w:t>5.7</w:t>
            </w:r>
          </w:p>
        </w:tc>
        <w:tc>
          <w:tcPr>
            <w:tcW w:w="775" w:type="dxa"/>
            <w:tcBorders>
              <w:top w:val="nil"/>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100000"/>
            </w:pPr>
            <w:r w:rsidRPr="00C5494E">
              <w:t>7.5</w:t>
            </w:r>
          </w:p>
        </w:tc>
        <w:tc>
          <w:tcPr>
            <w:tcW w:w="775" w:type="dxa"/>
            <w:tcBorders>
              <w:top w:val="nil"/>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100000"/>
            </w:pPr>
            <w:r w:rsidRPr="00C5494E">
              <w:t>122.0</w:t>
            </w:r>
          </w:p>
        </w:tc>
        <w:tc>
          <w:tcPr>
            <w:tcW w:w="775" w:type="dxa"/>
            <w:tcBorders>
              <w:top w:val="nil"/>
              <w:left w:val="single" w:sz="8" w:space="0" w:color="990033"/>
              <w:bottom w:val="single" w:sz="8" w:space="0" w:color="990033"/>
              <w:right w:val="single" w:sz="8" w:space="0" w:color="990033"/>
            </w:tcBorders>
            <w:vAlign w:val="center"/>
          </w:tcPr>
          <w:p w:rsidR="000620A9" w:rsidRPr="00C5494E" w:rsidRDefault="000620A9" w:rsidP="005704BD">
            <w:pPr>
              <w:pStyle w:val="Tabletext"/>
              <w:jc w:val="center"/>
              <w:cnfStyle w:val="000000100000"/>
            </w:pPr>
            <w:r w:rsidRPr="00C5494E">
              <w:t>210.8</w:t>
            </w:r>
          </w:p>
        </w:tc>
        <w:tc>
          <w:tcPr>
            <w:tcW w:w="1291" w:type="dxa"/>
            <w:tcBorders>
              <w:top w:val="nil"/>
              <w:left w:val="single" w:sz="8" w:space="0" w:color="990033"/>
              <w:bottom w:val="single" w:sz="8" w:space="0" w:color="990033"/>
              <w:right w:val="single" w:sz="8" w:space="0" w:color="990033"/>
            </w:tcBorders>
          </w:tcPr>
          <w:p w:rsidR="000620A9" w:rsidRPr="00C5494E" w:rsidRDefault="000620A9" w:rsidP="005704BD">
            <w:pPr>
              <w:pStyle w:val="Tabletext"/>
              <w:jc w:val="center"/>
              <w:cnfStyle w:val="000000100000"/>
            </w:pPr>
            <w:r w:rsidRPr="00C5494E">
              <w:t>8.654</w:t>
            </w:r>
          </w:p>
        </w:tc>
      </w:tr>
      <w:tr w:rsidR="000620A9" w:rsidRPr="00C5494E" w:rsidTr="000620A9">
        <w:trPr>
          <w:jc w:val="center"/>
        </w:trPr>
        <w:tc>
          <w:tcPr>
            <w:cnfStyle w:val="001000000000"/>
            <w:tcW w:w="2235" w:type="dxa"/>
            <w:tcBorders>
              <w:top w:val="single" w:sz="8" w:space="0" w:color="990033"/>
              <w:left w:val="single" w:sz="8" w:space="0" w:color="990033"/>
              <w:bottom w:val="nil"/>
              <w:right w:val="single" w:sz="8" w:space="0" w:color="990033"/>
            </w:tcBorders>
          </w:tcPr>
          <w:p w:rsidR="000620A9" w:rsidRPr="00C5494E" w:rsidRDefault="000620A9" w:rsidP="00A71DEE">
            <w:pPr>
              <w:pStyle w:val="Tabletext"/>
            </w:pPr>
            <w:r w:rsidRPr="00C5494E">
              <w:t>Maldives</w:t>
            </w:r>
          </w:p>
        </w:tc>
        <w:tc>
          <w:tcPr>
            <w:tcW w:w="776" w:type="dxa"/>
            <w:tcBorders>
              <w:top w:val="single" w:sz="8" w:space="0" w:color="990033"/>
              <w:left w:val="single" w:sz="8" w:space="0" w:color="990033"/>
              <w:right w:val="single" w:sz="8" w:space="0" w:color="990033"/>
            </w:tcBorders>
          </w:tcPr>
          <w:p w:rsidR="000620A9" w:rsidRPr="00C5494E" w:rsidRDefault="000620A9" w:rsidP="005704BD">
            <w:pPr>
              <w:pStyle w:val="Tabletext"/>
              <w:jc w:val="center"/>
              <w:cnfStyle w:val="000000000000"/>
            </w:pPr>
            <w:r w:rsidRPr="00C5494E">
              <w:t>1.9</w:t>
            </w:r>
          </w:p>
        </w:tc>
        <w:tc>
          <w:tcPr>
            <w:tcW w:w="776" w:type="dxa"/>
            <w:tcBorders>
              <w:top w:val="single" w:sz="8" w:space="0" w:color="990033"/>
              <w:left w:val="single" w:sz="8" w:space="0" w:color="990033"/>
              <w:right w:val="single" w:sz="8" w:space="0" w:color="990033"/>
            </w:tcBorders>
          </w:tcPr>
          <w:p w:rsidR="000620A9" w:rsidRPr="00C5494E" w:rsidRDefault="000620A9" w:rsidP="005704BD">
            <w:pPr>
              <w:pStyle w:val="Tabletext"/>
              <w:jc w:val="center"/>
              <w:cnfStyle w:val="000000000000"/>
            </w:pPr>
            <w:r w:rsidRPr="00C5494E">
              <w:t>2.1</w:t>
            </w:r>
          </w:p>
        </w:tc>
        <w:tc>
          <w:tcPr>
            <w:tcW w:w="775" w:type="dxa"/>
            <w:tcBorders>
              <w:top w:val="single" w:sz="8" w:space="0" w:color="990033"/>
              <w:left w:val="single" w:sz="8" w:space="0" w:color="990033"/>
              <w:right w:val="single" w:sz="8" w:space="0" w:color="990033"/>
            </w:tcBorders>
          </w:tcPr>
          <w:p w:rsidR="000620A9" w:rsidRPr="00C5494E" w:rsidRDefault="000620A9" w:rsidP="005704BD">
            <w:pPr>
              <w:pStyle w:val="Tabletext"/>
              <w:jc w:val="center"/>
              <w:cnfStyle w:val="000000000000"/>
            </w:pPr>
            <w:r w:rsidRPr="00C5494E">
              <w:t>1.4</w:t>
            </w:r>
          </w:p>
        </w:tc>
        <w:tc>
          <w:tcPr>
            <w:tcW w:w="775" w:type="dxa"/>
            <w:tcBorders>
              <w:top w:val="single" w:sz="8" w:space="0" w:color="990033"/>
              <w:left w:val="single" w:sz="8" w:space="0" w:color="990033"/>
              <w:right w:val="single" w:sz="8" w:space="0" w:color="990033"/>
            </w:tcBorders>
          </w:tcPr>
          <w:p w:rsidR="000620A9" w:rsidRPr="00C5494E" w:rsidRDefault="000620A9" w:rsidP="005704BD">
            <w:pPr>
              <w:pStyle w:val="Tabletext"/>
              <w:jc w:val="center"/>
              <w:cnfStyle w:val="000000000000"/>
            </w:pPr>
            <w:r w:rsidRPr="00C5494E">
              <w:t>1.5</w:t>
            </w:r>
          </w:p>
        </w:tc>
        <w:tc>
          <w:tcPr>
            <w:tcW w:w="775" w:type="dxa"/>
            <w:tcBorders>
              <w:top w:val="single" w:sz="8" w:space="0" w:color="990033"/>
              <w:left w:val="single" w:sz="8" w:space="0" w:color="990033"/>
              <w:right w:val="single" w:sz="8" w:space="0" w:color="990033"/>
            </w:tcBorders>
          </w:tcPr>
          <w:p w:rsidR="000620A9" w:rsidRPr="00C5494E" w:rsidRDefault="000620A9" w:rsidP="005704BD">
            <w:pPr>
              <w:pStyle w:val="Tabletext"/>
              <w:jc w:val="center"/>
              <w:cnfStyle w:val="000000000000"/>
            </w:pPr>
            <w:r w:rsidRPr="00C5494E">
              <w:t>1.1</w:t>
            </w:r>
          </w:p>
        </w:tc>
        <w:tc>
          <w:tcPr>
            <w:tcW w:w="775" w:type="dxa"/>
            <w:tcBorders>
              <w:top w:val="single" w:sz="8" w:space="0" w:color="990033"/>
              <w:left w:val="single" w:sz="8" w:space="0" w:color="990033"/>
              <w:right w:val="single" w:sz="8" w:space="0" w:color="990033"/>
            </w:tcBorders>
          </w:tcPr>
          <w:p w:rsidR="000620A9" w:rsidRPr="00C5494E" w:rsidRDefault="000620A9" w:rsidP="005704BD">
            <w:pPr>
              <w:pStyle w:val="Tabletext"/>
              <w:jc w:val="center"/>
              <w:cnfStyle w:val="000000000000"/>
            </w:pPr>
            <w:r w:rsidRPr="00C5494E">
              <w:t>1.3</w:t>
            </w:r>
          </w:p>
        </w:tc>
        <w:tc>
          <w:tcPr>
            <w:tcW w:w="775" w:type="dxa"/>
            <w:tcBorders>
              <w:top w:val="single" w:sz="8" w:space="0" w:color="990033"/>
              <w:left w:val="single" w:sz="8" w:space="0" w:color="990033"/>
              <w:right w:val="single" w:sz="8" w:space="0" w:color="990033"/>
            </w:tcBorders>
          </w:tcPr>
          <w:p w:rsidR="000620A9" w:rsidRPr="00C5494E" w:rsidRDefault="000620A9" w:rsidP="005704BD">
            <w:pPr>
              <w:pStyle w:val="Tabletext"/>
              <w:jc w:val="center"/>
              <w:cnfStyle w:val="000000000000"/>
            </w:pPr>
            <w:r w:rsidRPr="00C5494E">
              <w:t>3.1</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000000"/>
            </w:pPr>
            <w:r w:rsidRPr="00C5494E">
              <w:t>3.5</w:t>
            </w:r>
          </w:p>
        </w:tc>
        <w:tc>
          <w:tcPr>
            <w:tcW w:w="1291" w:type="dxa"/>
            <w:tcBorders>
              <w:left w:val="single" w:sz="8" w:space="0" w:color="990033"/>
              <w:right w:val="single" w:sz="8" w:space="0" w:color="990033"/>
            </w:tcBorders>
          </w:tcPr>
          <w:p w:rsidR="000620A9" w:rsidRPr="00C5494E" w:rsidRDefault="000620A9" w:rsidP="005704BD">
            <w:pPr>
              <w:pStyle w:val="Tabletext"/>
              <w:jc w:val="center"/>
              <w:cnfStyle w:val="000000000000"/>
            </w:pPr>
            <w:r w:rsidRPr="00C5494E">
              <w:t>3.640</w:t>
            </w:r>
          </w:p>
        </w:tc>
      </w:tr>
      <w:tr w:rsidR="000620A9" w:rsidRPr="00C5494E" w:rsidTr="000620A9">
        <w:trPr>
          <w:cnfStyle w:val="000000100000"/>
          <w:jc w:val="center"/>
        </w:trPr>
        <w:tc>
          <w:tcPr>
            <w:cnfStyle w:val="001000000000"/>
            <w:tcW w:w="2235" w:type="dxa"/>
            <w:tcBorders>
              <w:top w:val="nil"/>
              <w:left w:val="single" w:sz="8" w:space="0" w:color="990033"/>
              <w:bottom w:val="nil"/>
              <w:right w:val="single" w:sz="8" w:space="0" w:color="990033"/>
            </w:tcBorders>
          </w:tcPr>
          <w:p w:rsidR="000620A9" w:rsidRPr="00C5494E" w:rsidRDefault="000620A9" w:rsidP="00A71DEE">
            <w:pPr>
              <w:pStyle w:val="Tabletext"/>
            </w:pPr>
            <w:r w:rsidRPr="00C5494E">
              <w:t>Bhutan</w:t>
            </w:r>
          </w:p>
        </w:tc>
        <w:tc>
          <w:tcPr>
            <w:tcW w:w="776"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3.2</w:t>
            </w:r>
          </w:p>
        </w:tc>
        <w:tc>
          <w:tcPr>
            <w:tcW w:w="776"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15.2</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1.9</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2.4</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1.3</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2.1</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6.3</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41.1</w:t>
            </w:r>
          </w:p>
        </w:tc>
        <w:tc>
          <w:tcPr>
            <w:tcW w:w="1291"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1.900</w:t>
            </w:r>
          </w:p>
        </w:tc>
      </w:tr>
      <w:tr w:rsidR="000620A9" w:rsidRPr="00C5494E" w:rsidTr="000620A9">
        <w:trPr>
          <w:jc w:val="center"/>
        </w:trPr>
        <w:tc>
          <w:tcPr>
            <w:cnfStyle w:val="001000000000"/>
            <w:tcW w:w="2235" w:type="dxa"/>
            <w:tcBorders>
              <w:top w:val="nil"/>
              <w:left w:val="single" w:sz="8" w:space="0" w:color="990033"/>
              <w:bottom w:val="nil"/>
              <w:right w:val="single" w:sz="8" w:space="0" w:color="990033"/>
            </w:tcBorders>
          </w:tcPr>
          <w:p w:rsidR="000620A9" w:rsidRPr="00C5494E" w:rsidRDefault="000620A9" w:rsidP="00A71DEE">
            <w:pPr>
              <w:pStyle w:val="Tabletext"/>
            </w:pPr>
            <w:r w:rsidRPr="00C5494E">
              <w:t>Bangladesh</w:t>
            </w:r>
          </w:p>
        </w:tc>
        <w:tc>
          <w:tcPr>
            <w:tcW w:w="776" w:type="dxa"/>
            <w:tcBorders>
              <w:left w:val="single" w:sz="8" w:space="0" w:color="990033"/>
              <w:right w:val="single" w:sz="8" w:space="0" w:color="990033"/>
            </w:tcBorders>
          </w:tcPr>
          <w:p w:rsidR="000620A9" w:rsidRPr="00C5494E" w:rsidRDefault="000620A9" w:rsidP="005704BD">
            <w:pPr>
              <w:pStyle w:val="Tabletext"/>
              <w:jc w:val="center"/>
              <w:cnfStyle w:val="000000000000"/>
            </w:pPr>
            <w:r w:rsidRPr="00C5494E">
              <w:t>35.6</w:t>
            </w:r>
          </w:p>
        </w:tc>
        <w:tc>
          <w:tcPr>
            <w:tcW w:w="776" w:type="dxa"/>
            <w:tcBorders>
              <w:left w:val="single" w:sz="8" w:space="0" w:color="990033"/>
              <w:right w:val="single" w:sz="8" w:space="0" w:color="990033"/>
            </w:tcBorders>
          </w:tcPr>
          <w:p w:rsidR="000620A9" w:rsidRPr="00C5494E" w:rsidRDefault="000620A9" w:rsidP="005704BD">
            <w:pPr>
              <w:pStyle w:val="Tabletext"/>
              <w:jc w:val="center"/>
              <w:cnfStyle w:val="000000000000"/>
            </w:pPr>
            <w:r w:rsidRPr="00C5494E">
              <w:t>35.6</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000000"/>
            </w:pPr>
            <w:r w:rsidRPr="00C5494E">
              <w:t>3.6</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000000"/>
            </w:pPr>
            <w:r w:rsidRPr="00C5494E">
              <w:t>3.4</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000000"/>
            </w:pPr>
            <w:r w:rsidRPr="00C5494E">
              <w:t>3.1</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000000"/>
            </w:pPr>
            <w:r w:rsidRPr="00C5494E">
              <w:t>3.4</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000000"/>
            </w:pPr>
            <w:r w:rsidRPr="00C5494E">
              <w:t>116.3</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000000"/>
            </w:pPr>
            <w:r w:rsidRPr="00C5494E">
              <w:t>137.7</w:t>
            </w:r>
          </w:p>
        </w:tc>
        <w:tc>
          <w:tcPr>
            <w:tcW w:w="1291" w:type="dxa"/>
            <w:tcBorders>
              <w:left w:val="single" w:sz="8" w:space="0" w:color="990033"/>
              <w:right w:val="single" w:sz="8" w:space="0" w:color="990033"/>
            </w:tcBorders>
          </w:tcPr>
          <w:p w:rsidR="000620A9" w:rsidRPr="00C5494E" w:rsidRDefault="000620A9" w:rsidP="005704BD">
            <w:pPr>
              <w:pStyle w:val="Tabletext"/>
              <w:jc w:val="center"/>
              <w:cnfStyle w:val="000000000000"/>
            </w:pPr>
            <w:r w:rsidRPr="00C5494E">
              <w:t>520</w:t>
            </w:r>
          </w:p>
        </w:tc>
      </w:tr>
      <w:tr w:rsidR="000620A9" w:rsidRPr="00C5494E" w:rsidTr="000620A9">
        <w:trPr>
          <w:cnfStyle w:val="000000100000"/>
          <w:jc w:val="center"/>
        </w:trPr>
        <w:tc>
          <w:tcPr>
            <w:cnfStyle w:val="001000000000"/>
            <w:tcW w:w="2235" w:type="dxa"/>
            <w:tcBorders>
              <w:top w:val="nil"/>
              <w:left w:val="single" w:sz="8" w:space="0" w:color="990033"/>
              <w:bottom w:val="nil"/>
              <w:right w:val="single" w:sz="8" w:space="0" w:color="990033"/>
            </w:tcBorders>
          </w:tcPr>
          <w:p w:rsidR="000620A9" w:rsidRPr="00C5494E" w:rsidRDefault="000620A9" w:rsidP="00A71DEE">
            <w:pPr>
              <w:pStyle w:val="Tabletext"/>
            </w:pPr>
            <w:r w:rsidRPr="00C5494E">
              <w:t>Nepal</w:t>
            </w:r>
          </w:p>
        </w:tc>
        <w:tc>
          <w:tcPr>
            <w:tcW w:w="776"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25.7</w:t>
            </w:r>
          </w:p>
        </w:tc>
        <w:tc>
          <w:tcPr>
            <w:tcW w:w="776"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34.3</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8.9</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12.1</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3.7</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10.3</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64.6</w:t>
            </w:r>
          </w:p>
        </w:tc>
        <w:tc>
          <w:tcPr>
            <w:tcW w:w="775" w:type="dxa"/>
            <w:tcBorders>
              <w:left w:val="single" w:sz="8" w:space="0" w:color="990033"/>
              <w:right w:val="single" w:sz="8" w:space="0" w:color="990033"/>
            </w:tcBorders>
          </w:tcPr>
          <w:p w:rsidR="000620A9" w:rsidRPr="00C5494E" w:rsidRDefault="000620A9" w:rsidP="005704BD">
            <w:pPr>
              <w:pStyle w:val="Tabletext"/>
              <w:jc w:val="center"/>
              <w:cnfStyle w:val="000000100000"/>
            </w:pPr>
            <w:r w:rsidRPr="00C5494E">
              <w:t>80.4</w:t>
            </w:r>
          </w:p>
        </w:tc>
        <w:tc>
          <w:tcPr>
            <w:tcW w:w="1291" w:type="dxa"/>
            <w:tcBorders>
              <w:left w:val="single" w:sz="8" w:space="0" w:color="990033"/>
              <w:bottom w:val="nil"/>
              <w:right w:val="single" w:sz="8" w:space="0" w:color="990033"/>
            </w:tcBorders>
          </w:tcPr>
          <w:p w:rsidR="000620A9" w:rsidRPr="00C5494E" w:rsidRDefault="000620A9" w:rsidP="005704BD">
            <w:pPr>
              <w:pStyle w:val="Tabletext"/>
              <w:jc w:val="center"/>
              <w:cnfStyle w:val="000000100000"/>
            </w:pPr>
            <w:r w:rsidRPr="00C5494E">
              <w:t>400</w:t>
            </w:r>
          </w:p>
        </w:tc>
      </w:tr>
      <w:tr w:rsidR="000620A9" w:rsidRPr="00C5494E" w:rsidTr="000620A9">
        <w:trPr>
          <w:jc w:val="center"/>
        </w:trPr>
        <w:tc>
          <w:tcPr>
            <w:cnfStyle w:val="001000000000"/>
            <w:tcW w:w="2235" w:type="dxa"/>
            <w:tcBorders>
              <w:top w:val="nil"/>
              <w:left w:val="single" w:sz="8" w:space="0" w:color="990033"/>
              <w:bottom w:val="single" w:sz="8" w:space="0" w:color="990033"/>
              <w:right w:val="single" w:sz="8" w:space="0" w:color="990033"/>
            </w:tcBorders>
          </w:tcPr>
          <w:p w:rsidR="000620A9" w:rsidRPr="00C5494E" w:rsidRDefault="000620A9" w:rsidP="00A71DEE">
            <w:pPr>
              <w:pStyle w:val="Tabletext"/>
            </w:pPr>
            <w:r w:rsidRPr="00C5494E">
              <w:t>Afghanistan</w:t>
            </w:r>
          </w:p>
        </w:tc>
        <w:tc>
          <w:tcPr>
            <w:tcW w:w="776" w:type="dxa"/>
            <w:tcBorders>
              <w:left w:val="single" w:sz="8" w:space="0" w:color="990033"/>
              <w:bottom w:val="single" w:sz="8" w:space="0" w:color="990033"/>
              <w:right w:val="single" w:sz="8" w:space="0" w:color="990033"/>
            </w:tcBorders>
          </w:tcPr>
          <w:p w:rsidR="000620A9" w:rsidRPr="00C5494E" w:rsidRDefault="000620A9" w:rsidP="005704BD">
            <w:pPr>
              <w:pStyle w:val="Tabletext"/>
              <w:jc w:val="center"/>
              <w:cnfStyle w:val="000000000000"/>
            </w:pPr>
            <w:r w:rsidRPr="00C5494E">
              <w:t>NA</w:t>
            </w:r>
          </w:p>
        </w:tc>
        <w:tc>
          <w:tcPr>
            <w:tcW w:w="776" w:type="dxa"/>
            <w:tcBorders>
              <w:left w:val="single" w:sz="8" w:space="0" w:color="990033"/>
              <w:bottom w:val="single" w:sz="8" w:space="0" w:color="990033"/>
              <w:right w:val="single" w:sz="8" w:space="0" w:color="990033"/>
            </w:tcBorders>
          </w:tcPr>
          <w:p w:rsidR="000620A9" w:rsidRPr="00C5494E" w:rsidRDefault="000620A9" w:rsidP="005704BD">
            <w:pPr>
              <w:pStyle w:val="Tabletext"/>
              <w:jc w:val="center"/>
              <w:cnfStyle w:val="000000000000"/>
            </w:pPr>
            <w:r w:rsidRPr="00C5494E">
              <w:t>NA</w:t>
            </w:r>
          </w:p>
        </w:tc>
        <w:tc>
          <w:tcPr>
            <w:tcW w:w="775" w:type="dxa"/>
            <w:tcBorders>
              <w:left w:val="single" w:sz="8" w:space="0" w:color="990033"/>
              <w:bottom w:val="single" w:sz="8" w:space="0" w:color="990033"/>
              <w:right w:val="single" w:sz="8" w:space="0" w:color="990033"/>
            </w:tcBorders>
          </w:tcPr>
          <w:p w:rsidR="000620A9" w:rsidRPr="00C5494E" w:rsidRDefault="000620A9" w:rsidP="005704BD">
            <w:pPr>
              <w:pStyle w:val="Tabletext"/>
              <w:jc w:val="center"/>
              <w:cnfStyle w:val="000000000000"/>
            </w:pPr>
            <w:r w:rsidRPr="00C5494E">
              <w:t>NA</w:t>
            </w:r>
          </w:p>
        </w:tc>
        <w:tc>
          <w:tcPr>
            <w:tcW w:w="775" w:type="dxa"/>
            <w:tcBorders>
              <w:left w:val="single" w:sz="8" w:space="0" w:color="990033"/>
              <w:bottom w:val="single" w:sz="8" w:space="0" w:color="990033"/>
              <w:right w:val="single" w:sz="8" w:space="0" w:color="990033"/>
            </w:tcBorders>
          </w:tcPr>
          <w:p w:rsidR="000620A9" w:rsidRPr="00C5494E" w:rsidRDefault="000620A9" w:rsidP="005704BD">
            <w:pPr>
              <w:pStyle w:val="Tabletext"/>
              <w:jc w:val="center"/>
              <w:cnfStyle w:val="000000000000"/>
            </w:pPr>
            <w:r w:rsidRPr="00C5494E">
              <w:t>NA</w:t>
            </w:r>
          </w:p>
        </w:tc>
        <w:tc>
          <w:tcPr>
            <w:tcW w:w="775" w:type="dxa"/>
            <w:tcBorders>
              <w:left w:val="single" w:sz="8" w:space="0" w:color="990033"/>
              <w:bottom w:val="single" w:sz="8" w:space="0" w:color="990033"/>
              <w:right w:val="single" w:sz="8" w:space="0" w:color="990033"/>
            </w:tcBorders>
          </w:tcPr>
          <w:p w:rsidR="000620A9" w:rsidRPr="00C5494E" w:rsidRDefault="000620A9" w:rsidP="005704BD">
            <w:pPr>
              <w:pStyle w:val="Tabletext"/>
              <w:jc w:val="center"/>
              <w:cnfStyle w:val="000000000000"/>
            </w:pPr>
            <w:r w:rsidRPr="00C5494E">
              <w:t>NA</w:t>
            </w:r>
          </w:p>
        </w:tc>
        <w:tc>
          <w:tcPr>
            <w:tcW w:w="775" w:type="dxa"/>
            <w:tcBorders>
              <w:left w:val="single" w:sz="8" w:space="0" w:color="990033"/>
              <w:bottom w:val="single" w:sz="8" w:space="0" w:color="990033"/>
              <w:right w:val="single" w:sz="8" w:space="0" w:color="990033"/>
            </w:tcBorders>
          </w:tcPr>
          <w:p w:rsidR="000620A9" w:rsidRPr="00C5494E" w:rsidRDefault="000620A9" w:rsidP="005704BD">
            <w:pPr>
              <w:pStyle w:val="Tabletext"/>
              <w:jc w:val="center"/>
              <w:cnfStyle w:val="000000000000"/>
            </w:pPr>
            <w:r w:rsidRPr="00C5494E">
              <w:t>NA</w:t>
            </w:r>
          </w:p>
        </w:tc>
        <w:tc>
          <w:tcPr>
            <w:tcW w:w="775" w:type="dxa"/>
            <w:tcBorders>
              <w:left w:val="single" w:sz="8" w:space="0" w:color="990033"/>
              <w:bottom w:val="single" w:sz="8" w:space="0" w:color="990033"/>
              <w:right w:val="single" w:sz="8" w:space="0" w:color="990033"/>
            </w:tcBorders>
          </w:tcPr>
          <w:p w:rsidR="000620A9" w:rsidRPr="00C5494E" w:rsidRDefault="000620A9" w:rsidP="005704BD">
            <w:pPr>
              <w:pStyle w:val="Tabletext"/>
              <w:jc w:val="center"/>
              <w:cnfStyle w:val="000000000000"/>
            </w:pPr>
            <w:r w:rsidRPr="00C5494E">
              <w:t>NA</w:t>
            </w:r>
          </w:p>
        </w:tc>
        <w:tc>
          <w:tcPr>
            <w:tcW w:w="775" w:type="dxa"/>
            <w:tcBorders>
              <w:left w:val="single" w:sz="8" w:space="0" w:color="990033"/>
              <w:bottom w:val="single" w:sz="8" w:space="0" w:color="990033"/>
              <w:right w:val="single" w:sz="8" w:space="0" w:color="990033"/>
            </w:tcBorders>
          </w:tcPr>
          <w:p w:rsidR="000620A9" w:rsidRPr="00C5494E" w:rsidRDefault="000620A9" w:rsidP="005704BD">
            <w:pPr>
              <w:pStyle w:val="Tabletext"/>
              <w:jc w:val="center"/>
              <w:cnfStyle w:val="000000000000"/>
            </w:pPr>
            <w:r w:rsidRPr="00C5494E">
              <w:t>NA</w:t>
            </w:r>
          </w:p>
        </w:tc>
        <w:tc>
          <w:tcPr>
            <w:tcW w:w="1291" w:type="dxa"/>
            <w:tcBorders>
              <w:top w:val="nil"/>
              <w:left w:val="single" w:sz="8" w:space="0" w:color="990033"/>
              <w:bottom w:val="single" w:sz="8" w:space="0" w:color="990033"/>
              <w:right w:val="single" w:sz="8" w:space="0" w:color="990033"/>
            </w:tcBorders>
          </w:tcPr>
          <w:p w:rsidR="000620A9" w:rsidRPr="00C5494E" w:rsidRDefault="000620A9" w:rsidP="005704BD">
            <w:pPr>
              <w:pStyle w:val="Tabletext"/>
              <w:jc w:val="center"/>
              <w:cnfStyle w:val="000000000000"/>
            </w:pPr>
            <w:r w:rsidRPr="00C5494E">
              <w:t>370</w:t>
            </w:r>
          </w:p>
        </w:tc>
      </w:tr>
      <w:tr w:rsidR="000620A9" w:rsidRPr="00C5494E" w:rsidTr="001269D0">
        <w:trPr>
          <w:cnfStyle w:val="000000100000"/>
          <w:jc w:val="center"/>
        </w:trPr>
        <w:tc>
          <w:tcPr>
            <w:cnfStyle w:val="001000000000"/>
            <w:tcW w:w="9728" w:type="dxa"/>
            <w:gridSpan w:val="10"/>
            <w:tcBorders>
              <w:top w:val="single" w:sz="8" w:space="0" w:color="990033"/>
              <w:left w:val="single" w:sz="8" w:space="0" w:color="990033"/>
              <w:bottom w:val="single" w:sz="8" w:space="0" w:color="990033"/>
              <w:right w:val="single" w:sz="8" w:space="0" w:color="990033"/>
            </w:tcBorders>
          </w:tcPr>
          <w:p w:rsidR="000620A9" w:rsidRPr="00C5494E" w:rsidRDefault="000620A9" w:rsidP="00A71DEE">
            <w:pPr>
              <w:pStyle w:val="Tablelegend"/>
              <w:rPr>
                <w:b w:val="0"/>
                <w:bCs w:val="0"/>
                <w:lang w:val="en-GB"/>
              </w:rPr>
            </w:pPr>
            <w:r w:rsidRPr="00C5494E">
              <w:rPr>
                <w:b w:val="0"/>
                <w:bCs w:val="0"/>
                <w:lang w:val="en-GB"/>
              </w:rPr>
              <w:t xml:space="preserve">Note: </w:t>
            </w:r>
            <w:r w:rsidRPr="00C5494E">
              <w:rPr>
                <w:b w:val="0"/>
                <w:bCs w:val="0"/>
                <w:i w:val="0"/>
                <w:iCs w:val="0"/>
                <w:lang w:val="en-GB"/>
              </w:rPr>
              <w:t>The ICT Price Basket and sub-basket values of developed economies, the world and South Asia are computed as simple averages. Sub-basket values are presented uncapped.</w:t>
            </w:r>
            <w:r w:rsidRPr="00C5494E">
              <w:rPr>
                <w:b w:val="0"/>
                <w:bCs w:val="0"/>
                <w:lang w:val="en-GB"/>
              </w:rPr>
              <w:br/>
              <w:t xml:space="preserve">Source: </w:t>
            </w:r>
            <w:r w:rsidRPr="00C5494E">
              <w:rPr>
                <w:b w:val="0"/>
                <w:bCs w:val="0"/>
                <w:i w:val="0"/>
                <w:iCs w:val="0"/>
                <w:lang w:val="en-GB"/>
              </w:rPr>
              <w:t>ITU (2010b), the World Bank for the GNI per capita of the World and South Asia.</w:t>
            </w:r>
          </w:p>
        </w:tc>
      </w:tr>
    </w:tbl>
    <w:p w:rsidR="003F3F29" w:rsidRPr="00C5494E" w:rsidRDefault="003F3F29" w:rsidP="003F3F29"/>
    <w:p w:rsidR="000620A9" w:rsidRPr="00C5494E" w:rsidRDefault="005704BD" w:rsidP="005704BD">
      <w:pPr>
        <w:rPr>
          <w:bCs/>
        </w:rPr>
      </w:pPr>
      <w:r w:rsidRPr="00C5494E">
        <w:rPr>
          <w:bCs/>
        </w:rPr>
        <w:t>Chart 3.12 shows the contribution of each sub-basket to the overall cost of the ICT Price Basket in ABBMN countries. In all ABBMN countries, fixed broadband is the most expensive sub-basket.</w:t>
      </w:r>
      <w:r w:rsidR="003F5602" w:rsidRPr="00C5494E">
        <w:rPr>
          <w:bCs/>
        </w:rPr>
        <w:t xml:space="preserve"> </w:t>
      </w:r>
      <w:r w:rsidRPr="00C5494E">
        <w:rPr>
          <w:bCs/>
        </w:rPr>
        <w:t xml:space="preserve">Indeed, as in most regions, high fixed broadband prices are the main reason for high ICT Price Basket values, such as those of </w:t>
      </w:r>
      <w:smartTag w:uri="urn:schemas-microsoft-com:office:smarttags" w:element="country-region">
        <w:r w:rsidRPr="00C5494E">
          <w:rPr>
            <w:bCs/>
          </w:rPr>
          <w:t>Bangladesh</w:t>
        </w:r>
      </w:smartTag>
      <w:r w:rsidRPr="00C5494E">
        <w:rPr>
          <w:bCs/>
        </w:rPr>
        <w:t xml:space="preserve"> and </w:t>
      </w:r>
      <w:smartTag w:uri="urn:schemas-microsoft-com:office:smarttags" w:element="place">
        <w:smartTag w:uri="urn:schemas-microsoft-com:office:smarttags" w:element="country-region">
          <w:r w:rsidRPr="00C5494E">
            <w:rPr>
              <w:bCs/>
            </w:rPr>
            <w:t>Nepal</w:t>
          </w:r>
        </w:smartTag>
      </w:smartTag>
      <w:r w:rsidRPr="00C5494E">
        <w:rPr>
          <w:bCs/>
        </w:rPr>
        <w:t xml:space="preserve">. Moreover, </w:t>
      </w:r>
      <w:smartTag w:uri="urn:schemas-microsoft-com:office:smarttags" w:element="country-region">
        <w:r w:rsidRPr="00C5494E">
          <w:rPr>
            <w:bCs/>
          </w:rPr>
          <w:t>Bangladesh</w:t>
        </w:r>
      </w:smartTag>
      <w:r w:rsidRPr="00C5494E">
        <w:rPr>
          <w:bCs/>
        </w:rPr>
        <w:t xml:space="preserve"> and </w:t>
      </w:r>
      <w:smartTag w:uri="urn:schemas-microsoft-com:office:smarttags" w:element="country-region">
        <w:smartTag w:uri="urn:schemas-microsoft-com:office:smarttags" w:element="place">
          <w:r w:rsidRPr="00C5494E">
            <w:rPr>
              <w:bCs/>
            </w:rPr>
            <w:t>Nepal</w:t>
          </w:r>
        </w:smartTag>
      </w:smartTag>
      <w:r w:rsidRPr="00C5494E">
        <w:rPr>
          <w:bCs/>
        </w:rPr>
        <w:t xml:space="preserve"> have the lowest fixed broadband penetration of all ABBMN countries, which stresses the importance of affordable prices for broadband uptake.</w:t>
      </w:r>
    </w:p>
    <w:p w:rsidR="005053D3" w:rsidRPr="00C5494E" w:rsidRDefault="005053D3" w:rsidP="003F3F29">
      <w:pPr>
        <w:rPr>
          <w:bCs/>
        </w:rPr>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516"/>
      </w:tblGrid>
      <w:tr w:rsidR="005053D3" w:rsidRPr="00C5494E" w:rsidTr="00FB239F">
        <w:trPr>
          <w:jc w:val="center"/>
        </w:trPr>
        <w:tc>
          <w:tcPr>
            <w:tcW w:w="9424" w:type="dxa"/>
            <w:shd w:val="clear" w:color="auto" w:fill="D9D9D9" w:themeFill="background1" w:themeFillShade="D9"/>
          </w:tcPr>
          <w:p w:rsidR="005053D3" w:rsidRPr="00C5494E" w:rsidRDefault="005053D3" w:rsidP="00FB239F">
            <w:pPr>
              <w:pStyle w:val="FigureNoTitle"/>
              <w:keepNext/>
              <w:rPr>
                <w:lang w:val="en-GB"/>
              </w:rPr>
            </w:pPr>
            <w:r w:rsidRPr="00C5494E">
              <w:rPr>
                <w:lang w:val="en-GB"/>
              </w:rPr>
              <w:lastRenderedPageBreak/>
              <w:t>Chart 3.12: ICT Price Basket by sub-basket, ABBMN countries, 2009</w:t>
            </w:r>
          </w:p>
          <w:p w:rsidR="005053D3" w:rsidRPr="00C5494E" w:rsidRDefault="005053D3" w:rsidP="00FB239F">
            <w:pPr>
              <w:pStyle w:val="Figure"/>
              <w:rPr>
                <w:lang w:val="en-GB"/>
              </w:rPr>
            </w:pPr>
            <w:r w:rsidRPr="00C5494E">
              <w:drawing>
                <wp:inline distT="0" distB="0" distL="0" distR="0">
                  <wp:extent cx="5905500" cy="2952750"/>
                  <wp:effectExtent l="0" t="0" r="0" b="0"/>
                  <wp:docPr id="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duotone>
                              <a:schemeClr val="accent2">
                                <a:shade val="45000"/>
                                <a:satMod val="135000"/>
                              </a:schemeClr>
                              <a:prstClr val="white"/>
                            </a:duotone>
                          </a:blip>
                          <a:srcRect/>
                          <a:stretch>
                            <a:fillRect/>
                          </a:stretch>
                        </pic:blipFill>
                        <pic:spPr bwMode="auto">
                          <a:xfrm>
                            <a:off x="0" y="0"/>
                            <a:ext cx="5905500" cy="2952750"/>
                          </a:xfrm>
                          <a:prstGeom prst="rect">
                            <a:avLst/>
                          </a:prstGeom>
                          <a:noFill/>
                          <a:ln w="9525">
                            <a:noFill/>
                            <a:miter lim="800000"/>
                            <a:headEnd/>
                            <a:tailEnd/>
                          </a:ln>
                        </pic:spPr>
                      </pic:pic>
                    </a:graphicData>
                  </a:graphic>
                </wp:inline>
              </w:drawing>
            </w:r>
          </w:p>
          <w:p w:rsidR="005053D3" w:rsidRPr="00C5494E" w:rsidRDefault="005053D3" w:rsidP="005053D3">
            <w:pPr>
              <w:pStyle w:val="Figurelegend"/>
            </w:pPr>
            <w:r w:rsidRPr="00C5494E">
              <w:rPr>
                <w:i/>
                <w:iCs/>
              </w:rPr>
              <w:t>Source</w:t>
            </w:r>
            <w:r w:rsidRPr="00C5494E">
              <w:t>: ITU (2010b).</w:t>
            </w:r>
          </w:p>
        </w:tc>
      </w:tr>
    </w:tbl>
    <w:p w:rsidR="005053D3" w:rsidRPr="00C5494E" w:rsidRDefault="005053D3" w:rsidP="003F3F29"/>
    <w:p w:rsidR="005053D3" w:rsidRPr="00C5494E" w:rsidRDefault="005053D3" w:rsidP="005704BD">
      <w:pPr>
        <w:rPr>
          <w:bCs/>
        </w:rPr>
      </w:pPr>
      <w:smartTag w:uri="urn:schemas-microsoft-com:office:smarttags" w:element="place">
        <w:smartTag w:uri="urn:schemas-microsoft-com:office:smarttags" w:element="country-region">
          <w:r w:rsidRPr="00C5494E">
            <w:rPr>
              <w:b/>
            </w:rPr>
            <w:t>Maldives</w:t>
          </w:r>
        </w:smartTag>
      </w:smartTag>
      <w:r w:rsidRPr="00C5494E">
        <w:rPr>
          <w:bCs/>
        </w:rPr>
        <w:t xml:space="preserve"> </w:t>
      </w:r>
      <w:r w:rsidR="005704BD" w:rsidRPr="00C5494E">
        <w:rPr>
          <w:bCs/>
        </w:rPr>
        <w:t xml:space="preserve">is the South Asian country with the lowest ICT Price Basket value. The country achieved in 2009 the same level of ICT prices as developed countries had, on average, in 2008. Indeed, the country had fixed telephone and mobile cellular prices in line (or even lower) than the average of developed countries. Only fixed broadband prices were significantly higher than the average of developed countries. The fact that </w:t>
      </w:r>
      <w:smartTag w:uri="urn:schemas-microsoft-com:office:smarttags" w:element="country-region">
        <w:r w:rsidR="005704BD" w:rsidRPr="00C5494E">
          <w:rPr>
            <w:bCs/>
          </w:rPr>
          <w:t>Maldives</w:t>
        </w:r>
      </w:smartTag>
      <w:r w:rsidR="005704BD" w:rsidRPr="00C5494E">
        <w:rPr>
          <w:bCs/>
        </w:rPr>
        <w:t xml:space="preserve"> has lower relative ICT prices than the rest of South Asian countries can be partly explained by </w:t>
      </w:r>
      <w:smartTag w:uri="urn:schemas-microsoft-com:office:smarttags" w:element="place">
        <w:smartTag w:uri="urn:schemas-microsoft-com:office:smarttags" w:element="country-region">
          <w:r w:rsidR="005704BD" w:rsidRPr="00C5494E">
            <w:rPr>
              <w:bCs/>
            </w:rPr>
            <w:t>Maldives</w:t>
          </w:r>
        </w:smartTag>
      </w:smartTag>
      <w:r w:rsidR="005704BD" w:rsidRPr="00C5494E">
        <w:rPr>
          <w:bCs/>
        </w:rPr>
        <w:t xml:space="preserve">’ income per capita, which is higher than that of other countries in the region. Thus, ICT prices in </w:t>
      </w:r>
      <w:smartTag w:uri="urn:schemas-microsoft-com:office:smarttags" w:element="place">
        <w:smartTag w:uri="urn:schemas-microsoft-com:office:smarttags" w:element="country-region">
          <w:r w:rsidR="005704BD" w:rsidRPr="00C5494E">
            <w:rPr>
              <w:bCs/>
            </w:rPr>
            <w:t>Maldives</w:t>
          </w:r>
        </w:smartTag>
      </w:smartTag>
      <w:r w:rsidR="005704BD" w:rsidRPr="00C5494E">
        <w:rPr>
          <w:bCs/>
        </w:rPr>
        <w:t xml:space="preserve"> are more affordable; that is, they correspondent to a smaller share of the income per capita. However, as it has been mentioned, Maldives’ ICT Price Basket value is comparable to that of several developed countries, which have much higher income (they are classified either as upper-middle or high-income countries in the World Bank income groups, while Maldives is a lower-middle income country). This puts into perspective and highlights the merit of </w:t>
      </w:r>
      <w:smartTag w:uri="urn:schemas-microsoft-com:office:smarttags" w:element="place">
        <w:smartTag w:uri="urn:schemas-microsoft-com:office:smarttags" w:element="country-region">
          <w:r w:rsidR="005704BD" w:rsidRPr="00C5494E">
            <w:rPr>
              <w:bCs/>
            </w:rPr>
            <w:t>Maldives</w:t>
          </w:r>
        </w:smartTag>
      </w:smartTag>
      <w:r w:rsidR="005704BD" w:rsidRPr="00C5494E">
        <w:rPr>
          <w:bCs/>
        </w:rPr>
        <w:t>’ low ICT Price Basket value.</w:t>
      </w:r>
    </w:p>
    <w:p w:rsidR="005053D3" w:rsidRPr="00C5494E" w:rsidRDefault="005704BD" w:rsidP="005704BD">
      <w:pPr>
        <w:rPr>
          <w:bCs/>
        </w:rPr>
      </w:pPr>
      <w:r w:rsidRPr="00C5494E">
        <w:rPr>
          <w:bCs/>
        </w:rPr>
        <w:t xml:space="preserve">Between 2008 and 2009, </w:t>
      </w:r>
      <w:smartTag w:uri="urn:schemas-microsoft-com:office:smarttags" w:element="place">
        <w:smartTag w:uri="urn:schemas-microsoft-com:office:smarttags" w:element="country-region">
          <w:r w:rsidRPr="00C5494E">
            <w:rPr>
              <w:b/>
              <w:bCs/>
            </w:rPr>
            <w:t>Bhutan</w:t>
          </w:r>
        </w:smartTag>
      </w:smartTag>
      <w:r w:rsidRPr="00C5494E">
        <w:rPr>
          <w:bCs/>
        </w:rPr>
        <w:t xml:space="preserve"> achieved the biggest decrease in the ICT Price Basket (12.1 points or 79 </w:t>
      </w:r>
      <w:r w:rsidR="000F4A58" w:rsidRPr="00C5494E">
        <w:rPr>
          <w:bCs/>
        </w:rPr>
        <w:t>per cent</w:t>
      </w:r>
      <w:r w:rsidRPr="00C5494E">
        <w:rPr>
          <w:bCs/>
        </w:rPr>
        <w:t>) of all South Asian countries, and the fourth biggest reduction among the 161 countries included in the global ICT Price Basket. The country improved especially fixed broadband prices (from 41.1 to 6.3 </w:t>
      </w:r>
      <w:r w:rsidR="000F4A58" w:rsidRPr="00C5494E">
        <w:rPr>
          <w:bCs/>
        </w:rPr>
        <w:t>per cent</w:t>
      </w:r>
      <w:r w:rsidRPr="00C5494E">
        <w:rPr>
          <w:bCs/>
        </w:rPr>
        <w:t xml:space="preserve"> of the monthly GNI per capita), but mobile cellular prices also decreased significantly (from 2.1 to 1.3 </w:t>
      </w:r>
      <w:r w:rsidR="000F4A58" w:rsidRPr="00C5494E">
        <w:rPr>
          <w:bCs/>
        </w:rPr>
        <w:t>per cent</w:t>
      </w:r>
      <w:r w:rsidRPr="00C5494E">
        <w:rPr>
          <w:bCs/>
        </w:rPr>
        <w:t>).</w:t>
      </w:r>
    </w:p>
    <w:p w:rsidR="005053D3" w:rsidRPr="00C5494E" w:rsidRDefault="005704BD" w:rsidP="005704BD">
      <w:smartTag w:uri="urn:schemas-microsoft-com:office:smarttags" w:element="place">
        <w:smartTag w:uri="urn:schemas-microsoft-com:office:smarttags" w:element="country-region">
          <w:r w:rsidRPr="00C5494E">
            <w:rPr>
              <w:b/>
            </w:rPr>
            <w:t>Nepal</w:t>
          </w:r>
        </w:smartTag>
      </w:smartTag>
      <w:r w:rsidRPr="00C5494E">
        <w:rPr>
          <w:b/>
        </w:rPr>
        <w:t xml:space="preserve"> </w:t>
      </w:r>
      <w:r w:rsidRPr="00C5494E">
        <w:t xml:space="preserve">reduced fixed broadband prices from 80.4 to 64.6 </w:t>
      </w:r>
      <w:r w:rsidR="000F4A58" w:rsidRPr="00C5494E">
        <w:t>per cent</w:t>
      </w:r>
      <w:r w:rsidRPr="00C5494E">
        <w:t xml:space="preserve"> of its monthly GNI per capita between 2008 and 2009. Despite the reduction, the country still needs to focus on improving fixed broadband affordability, because 64.6 </w:t>
      </w:r>
      <w:r w:rsidR="000F4A58" w:rsidRPr="00C5494E">
        <w:t>per cent</w:t>
      </w:r>
      <w:r w:rsidRPr="00C5494E">
        <w:t xml:space="preserve"> is too high a share of income to deem fixed broadband services within the reach of a majority of the population. In Section 3.2, the shortage of international connectivity has already been flagged as a potential barrier for Internet, and therefore broadband uptake.</w:t>
      </w:r>
      <w:r w:rsidRPr="00C5494E">
        <w:rPr>
          <w:vertAlign w:val="superscript"/>
        </w:rPr>
        <w:footnoteReference w:id="32"/>
      </w:r>
      <w:r w:rsidRPr="00C5494E">
        <w:t xml:space="preserve"> The subject is further explored in Section 4.4. Regarding Nepal’s ICT Price Basket, it is worth noting the decrease in mobile </w:t>
      </w:r>
      <w:r w:rsidRPr="00C5494E">
        <w:lastRenderedPageBreak/>
        <w:t xml:space="preserve">cellular prices: from 10.3 to 3.7 </w:t>
      </w:r>
      <w:r w:rsidR="000F4A58" w:rsidRPr="00C5494E">
        <w:t>per cent</w:t>
      </w:r>
      <w:r w:rsidRPr="00C5494E">
        <w:t xml:space="preserve"> between 2008 and 2009. On the other hand, the fixed-telephone sub-basket corresponded to 8.9 </w:t>
      </w:r>
      <w:r w:rsidR="000F4A58" w:rsidRPr="00C5494E">
        <w:t>per cent</w:t>
      </w:r>
      <w:r w:rsidRPr="00C5494E">
        <w:t xml:space="preserve"> of the monthly GNI per capita, the highest relative price of all South Asian countries.</w:t>
      </w:r>
      <w:r w:rsidR="005053D3" w:rsidRPr="00C5494E">
        <w:t xml:space="preserve"> </w:t>
      </w:r>
    </w:p>
    <w:p w:rsidR="005053D3" w:rsidRPr="00C5494E" w:rsidRDefault="005053D3" w:rsidP="000F4A58">
      <w:pPr>
        <w:rPr>
          <w:b/>
        </w:rPr>
      </w:pPr>
      <w:r w:rsidRPr="00C5494E">
        <w:rPr>
          <w:b/>
        </w:rPr>
        <w:t xml:space="preserve">Bangladesh </w:t>
      </w:r>
      <w:r w:rsidR="005704BD" w:rsidRPr="00C5494E">
        <w:rPr>
          <w:bCs/>
        </w:rPr>
        <w:t xml:space="preserve">was the South Asian country with the smallest ICT Price Basket decrease between 2008 and 2009, and it was also one of the developing countries that experienced the smallest reduction of prices worldwide. The fixed broadband sub-basket was the only one that underwent a significant decrease of prices, although it did not affect the overall ICT Price Basket value, because the sub-basket was still above 100 </w:t>
      </w:r>
      <w:r w:rsidR="000F4A58" w:rsidRPr="00C5494E">
        <w:rPr>
          <w:bCs/>
        </w:rPr>
        <w:t>per cent</w:t>
      </w:r>
      <w:r w:rsidR="005704BD" w:rsidRPr="00C5494E">
        <w:rPr>
          <w:bCs/>
        </w:rPr>
        <w:t xml:space="preserve"> of the monthly GNI per capita in 2009. Indeed, fixed broadband prices in </w:t>
      </w:r>
      <w:smartTag w:uri="urn:schemas-microsoft-com:office:smarttags" w:element="place">
        <w:smartTag w:uri="urn:schemas-microsoft-com:office:smarttags" w:element="country-region">
          <w:r w:rsidR="005704BD" w:rsidRPr="00C5494E">
            <w:rPr>
              <w:bCs/>
            </w:rPr>
            <w:t>Bangladesh</w:t>
          </w:r>
        </w:smartTag>
      </w:smartTag>
      <w:r w:rsidR="005704BD" w:rsidRPr="00C5494E">
        <w:rPr>
          <w:bCs/>
        </w:rPr>
        <w:t xml:space="preserve"> correspond to more than the average monthly income of a Bangladeshi, which makes it unaffordable</w:t>
      </w:r>
      <w:r w:rsidR="000F4A58" w:rsidRPr="00C5494E">
        <w:rPr>
          <w:bCs/>
        </w:rPr>
        <w:t>,</w:t>
      </w:r>
      <w:r w:rsidR="005704BD" w:rsidRPr="00C5494E">
        <w:rPr>
          <w:bCs/>
        </w:rPr>
        <w:t xml:space="preserve"> except for a small minority of the population. This explains to a great extent why </w:t>
      </w:r>
      <w:smartTag w:uri="urn:schemas-microsoft-com:office:smarttags" w:element="place">
        <w:smartTag w:uri="urn:schemas-microsoft-com:office:smarttags" w:element="country-region">
          <w:r w:rsidR="005704BD" w:rsidRPr="00C5494E">
            <w:rPr>
              <w:bCs/>
            </w:rPr>
            <w:t>Bangladesh</w:t>
          </w:r>
        </w:smartTag>
      </w:smartTag>
      <w:r w:rsidR="005704BD" w:rsidRPr="00C5494E">
        <w:rPr>
          <w:bCs/>
        </w:rPr>
        <w:t xml:space="preserve"> had in 2008 such a low fixed broadband penetration (only 3 subscriptions per 10</w:t>
      </w:r>
      <w:r w:rsidR="000F4A58" w:rsidRPr="00C5494E">
        <w:rPr>
          <w:bCs/>
        </w:rPr>
        <w:t> </w:t>
      </w:r>
      <w:r w:rsidR="005704BD" w:rsidRPr="00C5494E">
        <w:rPr>
          <w:bCs/>
        </w:rPr>
        <w:t>000 inhabitants), and highlights the importance of policy initiatives to improve fixed broadband affordability in order to improve broadband uptake. The subject is further explored in Section 4.4.</w:t>
      </w:r>
    </w:p>
    <w:p w:rsidR="005053D3" w:rsidRPr="00C5494E" w:rsidRDefault="005053D3" w:rsidP="000F4A58">
      <w:r w:rsidRPr="00C5494E">
        <w:t>Chart 3.13 shows the fixed broadband sub-basket in South Asian countries, both in PPP$ and USD. Maldives had the cheapest fixed broadband prices in ABBMN countries, although Bhutan had similar prices in terms of USD. However, when considering PPP factors, fixed broadband prices in Bhutan were more than twice as much as those in Maldives.</w:t>
      </w:r>
      <w:r w:rsidRPr="00C5494E">
        <w:rPr>
          <w:vertAlign w:val="superscript"/>
        </w:rPr>
        <w:footnoteReference w:id="33"/>
      </w:r>
      <w:r w:rsidRPr="00C5494E">
        <w:t xml:space="preserve"> </w:t>
      </w:r>
    </w:p>
    <w:p w:rsidR="005053D3" w:rsidRPr="00C5494E" w:rsidRDefault="005053D3" w:rsidP="005053D3">
      <w:pPr>
        <w:rPr>
          <w:bCs/>
        </w:rPr>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5053D3" w:rsidRPr="00C5494E" w:rsidTr="00FB239F">
        <w:trPr>
          <w:jc w:val="center"/>
        </w:trPr>
        <w:tc>
          <w:tcPr>
            <w:tcW w:w="9424" w:type="dxa"/>
            <w:shd w:val="clear" w:color="auto" w:fill="D9D9D9" w:themeFill="background1" w:themeFillShade="D9"/>
          </w:tcPr>
          <w:p w:rsidR="005053D3" w:rsidRPr="00C5494E" w:rsidRDefault="005053D3" w:rsidP="00FB239F">
            <w:pPr>
              <w:pStyle w:val="FigureNoTitle"/>
              <w:keepNext/>
              <w:rPr>
                <w:lang w:val="en-GB"/>
              </w:rPr>
            </w:pPr>
            <w:r w:rsidRPr="00C5494E">
              <w:rPr>
                <w:lang w:val="en-GB"/>
              </w:rPr>
              <w:t xml:space="preserve">Chart 3.13: Fixed broadband sub-basket in </w:t>
            </w:r>
            <w:smartTag w:uri="urn:schemas-microsoft-com:office:smarttags" w:element="place">
              <w:r w:rsidRPr="00C5494E">
                <w:rPr>
                  <w:lang w:val="en-GB"/>
                </w:rPr>
                <w:t>South Asia</w:t>
              </w:r>
            </w:smartTag>
            <w:r w:rsidRPr="00C5494E">
              <w:rPr>
                <w:lang w:val="en-GB"/>
              </w:rPr>
              <w:t>, 2009</w:t>
            </w:r>
          </w:p>
          <w:p w:rsidR="005053D3" w:rsidRPr="00C5494E" w:rsidRDefault="005053D3" w:rsidP="00FB239F">
            <w:pPr>
              <w:pStyle w:val="Figure"/>
              <w:rPr>
                <w:lang w:val="en-GB"/>
              </w:rPr>
            </w:pPr>
            <w:r w:rsidRPr="00C5494E">
              <w:drawing>
                <wp:inline distT="0" distB="0" distL="0" distR="0">
                  <wp:extent cx="5600700" cy="3086100"/>
                  <wp:effectExtent l="0" t="0" r="0" b="0"/>
                  <wp:docPr id="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duotone>
                              <a:schemeClr val="accent2">
                                <a:shade val="45000"/>
                                <a:satMod val="135000"/>
                              </a:schemeClr>
                              <a:prstClr val="white"/>
                            </a:duotone>
                          </a:blip>
                          <a:srcRect/>
                          <a:stretch>
                            <a:fillRect/>
                          </a:stretch>
                        </pic:blipFill>
                        <pic:spPr bwMode="auto">
                          <a:xfrm>
                            <a:off x="0" y="0"/>
                            <a:ext cx="5600700" cy="3086100"/>
                          </a:xfrm>
                          <a:prstGeom prst="rect">
                            <a:avLst/>
                          </a:prstGeom>
                          <a:noFill/>
                          <a:ln w="9525">
                            <a:noFill/>
                            <a:miter lim="800000"/>
                            <a:headEnd/>
                            <a:tailEnd/>
                          </a:ln>
                        </pic:spPr>
                      </pic:pic>
                    </a:graphicData>
                  </a:graphic>
                </wp:inline>
              </w:drawing>
            </w:r>
          </w:p>
          <w:p w:rsidR="005053D3" w:rsidRPr="00C5494E" w:rsidRDefault="005053D3" w:rsidP="00FB239F">
            <w:pPr>
              <w:pStyle w:val="Figurelegend"/>
            </w:pPr>
            <w:r w:rsidRPr="00C5494E">
              <w:rPr>
                <w:i/>
                <w:iCs/>
              </w:rPr>
              <w:t>Source</w:t>
            </w:r>
            <w:r w:rsidRPr="00C5494E">
              <w:t>: ITU (2010b).</w:t>
            </w:r>
          </w:p>
        </w:tc>
      </w:tr>
    </w:tbl>
    <w:p w:rsidR="005053D3" w:rsidRPr="00C5494E" w:rsidRDefault="005053D3" w:rsidP="005053D3"/>
    <w:p w:rsidR="005053D3" w:rsidRPr="00C5494E" w:rsidRDefault="005704BD" w:rsidP="005704BD">
      <w:r w:rsidRPr="00C5494E">
        <w:rPr>
          <w:bCs/>
        </w:rPr>
        <w:lastRenderedPageBreak/>
        <w:t xml:space="preserve">In 2009, fixed broadband prices in </w:t>
      </w:r>
      <w:r w:rsidR="00F166B1" w:rsidRPr="00C5494E">
        <w:rPr>
          <w:bCs/>
        </w:rPr>
        <w:t>USD</w:t>
      </w:r>
      <w:r w:rsidRPr="00C5494E">
        <w:rPr>
          <w:bCs/>
        </w:rPr>
        <w:t xml:space="preserve"> in Nepal were at a similar level as those in the United States (USD 19.95), but they were much more expensive in PPP terms (PPP$ </w:t>
      </w:r>
      <w:smartTag w:uri="urn:schemas-microsoft-com:office:smarttags" w:element="metricconverter">
        <w:smartTagPr>
          <w:attr w:name="ProductID" w:val="64.1 in"/>
        </w:smartTagPr>
        <w:r w:rsidRPr="00C5494E">
          <w:rPr>
            <w:bCs/>
          </w:rPr>
          <w:t>64.1 in</w:t>
        </w:r>
      </w:smartTag>
      <w:r w:rsidRPr="00C5494E">
        <w:rPr>
          <w:bCs/>
        </w:rPr>
        <w:t xml:space="preserve"> Nepal compared to PPP$ </w:t>
      </w:r>
      <w:smartTag w:uri="urn:schemas-microsoft-com:office:smarttags" w:element="metricconverter">
        <w:smartTagPr>
          <w:attr w:name="ProductID" w:val="19.95 in"/>
        </w:smartTagPr>
        <w:r w:rsidRPr="00C5494E">
          <w:rPr>
            <w:bCs/>
          </w:rPr>
          <w:t>19.95 in</w:t>
        </w:r>
      </w:smartTag>
      <w:r w:rsidRPr="00C5494E">
        <w:rPr>
          <w:bCs/>
        </w:rPr>
        <w:t xml:space="preserve"> the United States), and of course much higher when taking into consideration the GNI per capita in both countries (i.e. the differences in income, which are estimated using GNI per capita as a proxy). Indeed, in </w:t>
      </w:r>
      <w:smartTag w:uri="urn:schemas-microsoft-com:office:smarttags" w:element="country-region">
        <w:r w:rsidRPr="00C5494E">
          <w:rPr>
            <w:bCs/>
          </w:rPr>
          <w:t>Nepal</w:t>
        </w:r>
      </w:smartTag>
      <w:r w:rsidRPr="00C5494E">
        <w:rPr>
          <w:bCs/>
        </w:rPr>
        <w:t xml:space="preserve"> a fixed broadband subscription corresponded to an estimated 64.6 </w:t>
      </w:r>
      <w:r w:rsidR="000F4A58" w:rsidRPr="00C5494E">
        <w:rPr>
          <w:bCs/>
        </w:rPr>
        <w:t>per cent</w:t>
      </w:r>
      <w:r w:rsidRPr="00C5494E">
        <w:rPr>
          <w:bCs/>
        </w:rPr>
        <w:t xml:space="preserve"> of the monthly GNI per capita, while in the </w:t>
      </w:r>
      <w:smartTag w:uri="urn:schemas-microsoft-com:office:smarttags" w:element="place">
        <w:smartTag w:uri="urn:schemas-microsoft-com:office:smarttags" w:element="country-region">
          <w:r w:rsidRPr="00C5494E">
            <w:rPr>
              <w:bCs/>
            </w:rPr>
            <w:t>United States</w:t>
          </w:r>
        </w:smartTag>
      </w:smartTag>
      <w:r w:rsidRPr="00C5494E">
        <w:rPr>
          <w:bCs/>
        </w:rPr>
        <w:t xml:space="preserve"> it represented only an estimated 0.5 </w:t>
      </w:r>
      <w:r w:rsidR="000F4A58" w:rsidRPr="00C5494E">
        <w:rPr>
          <w:bCs/>
        </w:rPr>
        <w:t>per cent</w:t>
      </w:r>
      <w:r w:rsidRPr="00C5494E">
        <w:rPr>
          <w:bCs/>
        </w:rPr>
        <w:t>.</w:t>
      </w:r>
    </w:p>
    <w:p w:rsidR="005053D3" w:rsidRPr="00C5494E" w:rsidRDefault="005053D3" w:rsidP="000F4A58">
      <w:r w:rsidRPr="00C5494E">
        <w:t xml:space="preserve">In Bangladesh, fixed broadband prices in USD were more expensive than in the majority of high-income countries in the world. For instance, in </w:t>
      </w:r>
      <w:smartTag w:uri="urn:schemas-microsoft-com:office:smarttags" w:element="metricconverter">
        <w:smartTagPr>
          <w:attr w:name="ProductID" w:val="2009 a"/>
        </w:smartTagPr>
        <w:r w:rsidRPr="00C5494E">
          <w:t>2009 a</w:t>
        </w:r>
      </w:smartTag>
      <w:r w:rsidRPr="00C5494E">
        <w:t xml:space="preserve"> monthly fixed broadband subscription cost USD </w:t>
      </w:r>
      <w:smartTag w:uri="urn:schemas-microsoft-com:office:smarttags" w:element="metricconverter">
        <w:smartTagPr>
          <w:attr w:name="ProductID" w:val="42.03 in"/>
        </w:smartTagPr>
        <w:r w:rsidRPr="00C5494E">
          <w:t>42.03 in</w:t>
        </w:r>
      </w:smartTag>
      <w:r w:rsidRPr="00C5494E">
        <w:t xml:space="preserve"> Luxembourg, and USD </w:t>
      </w:r>
      <w:smartTag w:uri="urn:schemas-microsoft-com:office:smarttags" w:element="metricconverter">
        <w:smartTagPr>
          <w:attr w:name="ProductID" w:val="50.40 in"/>
        </w:smartTagPr>
        <w:r w:rsidRPr="00C5494E">
          <w:t>50.40 in</w:t>
        </w:r>
      </w:smartTag>
      <w:r w:rsidRPr="00C5494E">
        <w:t xml:space="preserve"> Bangladesh. However, the monthly GNI per capita in Luxembourg was USD</w:t>
      </w:r>
      <w:r w:rsidR="000F4A58" w:rsidRPr="00C5494E">
        <w:t> </w:t>
      </w:r>
      <w:r w:rsidRPr="00C5494E">
        <w:t>7</w:t>
      </w:r>
      <w:r w:rsidR="000F4A58" w:rsidRPr="00C5494E">
        <w:t> </w:t>
      </w:r>
      <w:r w:rsidRPr="00C5494E">
        <w:t>074, while in Bangladesh it was only USD 43.3. This makes fixed broadband prices relatively cheap in Luxembourg, and very expensive in Bangladesh, thus affecting broadband uptake in the country.</w:t>
      </w:r>
    </w:p>
    <w:p w:rsidR="005053D3" w:rsidRPr="00C5494E" w:rsidRDefault="005053D3" w:rsidP="005053D3"/>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5053D3" w:rsidRPr="00C5494E" w:rsidTr="00FB239F">
        <w:trPr>
          <w:jc w:val="center"/>
        </w:trPr>
        <w:tc>
          <w:tcPr>
            <w:tcW w:w="9424" w:type="dxa"/>
            <w:shd w:val="clear" w:color="auto" w:fill="D9D9D9" w:themeFill="background1" w:themeFillShade="D9"/>
          </w:tcPr>
          <w:p w:rsidR="005053D3" w:rsidRPr="00C5494E" w:rsidRDefault="005053D3" w:rsidP="005053D3">
            <w:pPr>
              <w:pStyle w:val="BoxTitle"/>
            </w:pPr>
            <w:bookmarkStart w:id="32" w:name="_Toc273610085"/>
            <w:bookmarkStart w:id="33" w:name="_Toc273623621"/>
            <w:smartTag w:uri="urn:schemas-microsoft-com:office:smarttags" w:element="Street">
              <w:r w:rsidRPr="00C5494E">
                <w:t>Box</w:t>
              </w:r>
            </w:smartTag>
            <w:r w:rsidRPr="00C5494E">
              <w:t xml:space="preserve"> 3.2: </w:t>
            </w:r>
            <w:r w:rsidRPr="00C5494E">
              <w:rPr>
                <w:bCs/>
              </w:rPr>
              <w:t>Technological Options for Connectivity: Maldives</w:t>
            </w:r>
            <w:bookmarkEnd w:id="32"/>
            <w:bookmarkEnd w:id="33"/>
          </w:p>
          <w:p w:rsidR="005053D3" w:rsidRPr="00C5494E" w:rsidRDefault="005053D3" w:rsidP="000F4A58">
            <w:pPr>
              <w:pStyle w:val="BoxText"/>
            </w:pPr>
            <w:r w:rsidRPr="00C5494E">
              <w:rPr>
                <w:bCs/>
              </w:rPr>
              <w:t>ITU carried out a connectivity study in Maldives where the challenge is to provide inter</w:t>
            </w:r>
            <w:r w:rsidR="000F4A58" w:rsidRPr="00C5494E">
              <w:rPr>
                <w:bCs/>
              </w:rPr>
              <w:t>-</w:t>
            </w:r>
            <w:r w:rsidRPr="00C5494E">
              <w:rPr>
                <w:bCs/>
              </w:rPr>
              <w:t>island connectivity to affordable backbone infrastructure</w:t>
            </w:r>
            <w:r w:rsidR="000F4A58" w:rsidRPr="00C5494E">
              <w:rPr>
                <w:bCs/>
              </w:rPr>
              <w:t>,</w:t>
            </w:r>
            <w:r w:rsidRPr="00C5494E">
              <w:rPr>
                <w:bCs/>
              </w:rPr>
              <w:t xml:space="preserve"> as well as to design a techno-economical model for providing broadband services to nearly 200 inhabited islands. Basic voice services have already been provided to all the islands by the incumbent </w:t>
            </w:r>
            <w:proofErr w:type="spellStart"/>
            <w:r w:rsidRPr="00C5494E">
              <w:rPr>
                <w:bCs/>
              </w:rPr>
              <w:t>Dhiraagu</w:t>
            </w:r>
            <w:proofErr w:type="spellEnd"/>
            <w:r w:rsidRPr="00C5494E">
              <w:rPr>
                <w:bCs/>
              </w:rPr>
              <w:t xml:space="preserve"> and the new entrant </w:t>
            </w:r>
            <w:proofErr w:type="spellStart"/>
            <w:r w:rsidRPr="00C5494E">
              <w:rPr>
                <w:bCs/>
              </w:rPr>
              <w:t>Wataniya</w:t>
            </w:r>
            <w:proofErr w:type="spellEnd"/>
            <w:r w:rsidRPr="00C5494E">
              <w:rPr>
                <w:bCs/>
              </w:rPr>
              <w:t>. Another important contributor to network infrastructure and last</w:t>
            </w:r>
            <w:r w:rsidR="000F4A58" w:rsidRPr="00C5494E">
              <w:rPr>
                <w:bCs/>
              </w:rPr>
              <w:t>-</w:t>
            </w:r>
            <w:r w:rsidRPr="00C5494E">
              <w:rPr>
                <w:bCs/>
              </w:rPr>
              <w:t>mile connectivity is cable TV services</w:t>
            </w:r>
            <w:r w:rsidR="000F4A58" w:rsidRPr="00C5494E">
              <w:rPr>
                <w:bCs/>
              </w:rPr>
              <w:t>,</w:t>
            </w:r>
            <w:r w:rsidRPr="00C5494E">
              <w:rPr>
                <w:bCs/>
              </w:rPr>
              <w:t xml:space="preserve"> which are provided using MMDS technology</w:t>
            </w:r>
            <w:r w:rsidR="000F4A58" w:rsidRPr="00C5494E">
              <w:rPr>
                <w:bCs/>
              </w:rPr>
              <w:t>,</w:t>
            </w:r>
            <w:r w:rsidRPr="00C5494E">
              <w:rPr>
                <w:bCs/>
              </w:rPr>
              <w:t xml:space="preserve"> from one island to another, including VSAT as well as microwave links. This project was undertaken by ITU to </w:t>
            </w:r>
            <w:r w:rsidRPr="00C5494E">
              <w:t>make the assessment of the existing infrastructure (both telecom as well as cable TV networks) for their suitability to carry multimedia services</w:t>
            </w:r>
            <w:r w:rsidR="000F4A58" w:rsidRPr="00C5494E">
              <w:t>,</w:t>
            </w:r>
            <w:r w:rsidRPr="00C5494E">
              <w:t xml:space="preserve"> including IPTV services</w:t>
            </w:r>
            <w:r w:rsidR="000F4A58" w:rsidRPr="00C5494E">
              <w:t>,</w:t>
            </w:r>
            <w:r w:rsidRPr="00C5494E">
              <w:t xml:space="preserve"> to promote the utilization of Internet among the youth and other sectors of the communities</w:t>
            </w:r>
            <w:r w:rsidRPr="00C5494E">
              <w:rPr>
                <w:b/>
                <w:bCs/>
              </w:rPr>
              <w:t>.</w:t>
            </w:r>
            <w:r w:rsidR="00A71DEE" w:rsidRPr="00C5494E">
              <w:t xml:space="preserve"> </w:t>
            </w:r>
            <w:r w:rsidRPr="00C5494E">
              <w:t>As a result of this study</w:t>
            </w:r>
            <w:r w:rsidR="000F4A58" w:rsidRPr="00C5494E">
              <w:t>,</w:t>
            </w:r>
            <w:r w:rsidRPr="00C5494E">
              <w:t xml:space="preserve"> a project for providing broadband connectivity solutions to the island communities has been designed and proposed by the ITU.</w:t>
            </w:r>
          </w:p>
          <w:p w:rsidR="005053D3" w:rsidRPr="00C5494E" w:rsidRDefault="005B624A" w:rsidP="00FB239F">
            <w:pPr>
              <w:pStyle w:val="BoxText"/>
              <w:jc w:val="center"/>
              <w:rPr>
                <w:bCs/>
              </w:rPr>
            </w:pPr>
            <w:r w:rsidRPr="00C5494E">
              <w:rPr>
                <w:bCs/>
                <w:noProof/>
                <w:lang w:val="en-US" w:eastAsia="zh-CN"/>
              </w:rPr>
              <w:drawing>
                <wp:inline distT="0" distB="0" distL="0" distR="0">
                  <wp:extent cx="5734050" cy="2795342"/>
                  <wp:effectExtent l="19050" t="0" r="0" b="0"/>
                  <wp:docPr id="3" name="Picture 2" descr="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8.jpg"/>
                          <pic:cNvPicPr/>
                        </pic:nvPicPr>
                        <pic:blipFill>
                          <a:blip r:embed="rId37" cstate="print"/>
                          <a:stretch>
                            <a:fillRect/>
                          </a:stretch>
                        </pic:blipFill>
                        <pic:spPr>
                          <a:xfrm>
                            <a:off x="0" y="0"/>
                            <a:ext cx="5738935" cy="2797724"/>
                          </a:xfrm>
                          <a:prstGeom prst="rect">
                            <a:avLst/>
                          </a:prstGeom>
                        </pic:spPr>
                      </pic:pic>
                    </a:graphicData>
                  </a:graphic>
                </wp:inline>
              </w:drawing>
            </w:r>
          </w:p>
          <w:p w:rsidR="005053D3" w:rsidRPr="00C5494E" w:rsidRDefault="005053D3" w:rsidP="000F4A58">
            <w:pPr>
              <w:pStyle w:val="BoxText"/>
              <w:jc w:val="center"/>
              <w:rPr>
                <w:i/>
                <w:iCs/>
              </w:rPr>
            </w:pPr>
            <w:r w:rsidRPr="00C5494E">
              <w:rPr>
                <w:i/>
                <w:iCs/>
              </w:rPr>
              <w:t>Figure: A generalized configuration for fixed</w:t>
            </w:r>
            <w:r w:rsidR="000F4A58" w:rsidRPr="00C5494E">
              <w:rPr>
                <w:i/>
                <w:iCs/>
              </w:rPr>
              <w:t>-</w:t>
            </w:r>
            <w:r w:rsidRPr="00C5494E">
              <w:rPr>
                <w:i/>
                <w:iCs/>
              </w:rPr>
              <w:t>wire expansion to provide broadband access</w:t>
            </w:r>
            <w:r w:rsidR="000F4A58" w:rsidRPr="00C5494E">
              <w:rPr>
                <w:i/>
                <w:iCs/>
              </w:rPr>
              <w:t>.</w:t>
            </w:r>
          </w:p>
          <w:p w:rsidR="005053D3" w:rsidRPr="00C5494E" w:rsidRDefault="005704BD" w:rsidP="005704BD">
            <w:pPr>
              <w:pStyle w:val="BoxText"/>
              <w:rPr>
                <w:bCs/>
              </w:rPr>
            </w:pPr>
            <w:r w:rsidRPr="00C5494E">
              <w:rPr>
                <w:color w:val="000000"/>
                <w:lang w:bidi="th-TH"/>
              </w:rPr>
              <w:t>A pilot project for a small island community with the main emphasis on provision of broadband services to the island residents for promoting universal access in a common place accessible by all community residents was also proposed. This model would give access to e-government, e-health and e-education applications</w:t>
            </w:r>
            <w:r w:rsidR="000F4A58" w:rsidRPr="00C5494E">
              <w:rPr>
                <w:color w:val="000000"/>
                <w:lang w:bidi="th-TH"/>
              </w:rPr>
              <w:t>,</w:t>
            </w:r>
            <w:r w:rsidRPr="00C5494E">
              <w:rPr>
                <w:color w:val="000000"/>
                <w:lang w:bidi="th-TH"/>
              </w:rPr>
              <w:t xml:space="preserve"> with minimum expenditure. </w:t>
            </w:r>
            <w:r w:rsidRPr="00C5494E">
              <w:rPr>
                <w:bCs/>
                <w:color w:val="000000"/>
                <w:lang w:bidi="th-TH"/>
              </w:rPr>
              <w:t xml:space="preserve">A pilot site was proposed to observe </w:t>
            </w:r>
            <w:r w:rsidR="000F4A58" w:rsidRPr="00C5494E">
              <w:rPr>
                <w:bCs/>
                <w:color w:val="000000"/>
                <w:lang w:bidi="th-TH"/>
              </w:rPr>
              <w:t xml:space="preserve">information and communications technology </w:t>
            </w:r>
            <w:r w:rsidRPr="00C5494E">
              <w:rPr>
                <w:bCs/>
                <w:color w:val="000000"/>
                <w:lang w:bidi="th-TH"/>
              </w:rPr>
              <w:t xml:space="preserve">(ICT) progress and service availability on </w:t>
            </w:r>
            <w:proofErr w:type="spellStart"/>
            <w:r w:rsidRPr="00C5494E">
              <w:rPr>
                <w:bCs/>
                <w:color w:val="000000"/>
                <w:lang w:bidi="th-TH"/>
              </w:rPr>
              <w:t>Gulhi</w:t>
            </w:r>
            <w:proofErr w:type="spellEnd"/>
            <w:r w:rsidRPr="00C5494E">
              <w:rPr>
                <w:bCs/>
                <w:color w:val="000000"/>
                <w:lang w:bidi="th-TH"/>
              </w:rPr>
              <w:t xml:space="preserve"> Island</w:t>
            </w:r>
            <w:r w:rsidR="000F4A58" w:rsidRPr="00C5494E">
              <w:rPr>
                <w:bCs/>
                <w:color w:val="000000"/>
                <w:lang w:bidi="th-TH"/>
              </w:rPr>
              <w:t>,</w:t>
            </w:r>
            <w:r w:rsidRPr="00C5494E">
              <w:rPr>
                <w:bCs/>
                <w:color w:val="000000"/>
                <w:lang w:bidi="th-TH"/>
              </w:rPr>
              <w:t xml:space="preserve"> which has a population of about 800 inhabitants.</w:t>
            </w:r>
          </w:p>
          <w:p w:rsidR="005053D3" w:rsidRPr="00C5494E" w:rsidRDefault="005053D3" w:rsidP="005053D3">
            <w:pPr>
              <w:pStyle w:val="Figurelegend"/>
            </w:pPr>
            <w:r w:rsidRPr="00C5494E">
              <w:rPr>
                <w:i/>
                <w:iCs/>
              </w:rPr>
              <w:t>Source</w:t>
            </w:r>
            <w:r w:rsidRPr="00C5494E">
              <w:t xml:space="preserve">: ITU Regional Office for </w:t>
            </w:r>
            <w:smartTag w:uri="urn:schemas-microsoft-com:office:smarttags" w:element="place">
              <w:r w:rsidRPr="00C5494E">
                <w:t>Asia</w:t>
              </w:r>
            </w:smartTag>
            <w:r w:rsidRPr="00C5494E">
              <w:t xml:space="preserve"> and the Pacific.</w:t>
            </w:r>
          </w:p>
        </w:tc>
      </w:tr>
    </w:tbl>
    <w:p w:rsidR="00A71DEE" w:rsidRPr="00C5494E" w:rsidRDefault="00A71DEE">
      <w:pPr>
        <w:tabs>
          <w:tab w:val="clear" w:pos="794"/>
          <w:tab w:val="clear" w:pos="1191"/>
          <w:tab w:val="clear" w:pos="1588"/>
          <w:tab w:val="clear" w:pos="1985"/>
        </w:tabs>
        <w:overflowPunct/>
        <w:autoSpaceDE/>
        <w:autoSpaceDN/>
        <w:adjustRightInd/>
        <w:spacing w:before="0"/>
        <w:jc w:val="left"/>
        <w:textAlignment w:val="auto"/>
      </w:pPr>
      <w:r w:rsidRPr="00C5494E">
        <w:br w:type="page"/>
      </w:r>
    </w:p>
    <w:p w:rsidR="00A71DEE" w:rsidRPr="00C5494E" w:rsidRDefault="00A71DEE" w:rsidP="008573F2">
      <w:pPr>
        <w:pStyle w:val="Heading1"/>
        <w:rPr>
          <w:szCs w:val="36"/>
        </w:rPr>
      </w:pPr>
      <w:bookmarkStart w:id="34" w:name="_Toc273517398"/>
      <w:bookmarkStart w:id="35" w:name="_Toc273623622"/>
      <w:r w:rsidRPr="00C5494E">
        <w:rPr>
          <w:szCs w:val="36"/>
        </w:rPr>
        <w:lastRenderedPageBreak/>
        <w:t>4</w:t>
      </w:r>
      <w:r w:rsidRPr="00C5494E">
        <w:rPr>
          <w:szCs w:val="36"/>
        </w:rPr>
        <w:tab/>
        <w:t>CURRENT STATUS OF BROADBAND</w:t>
      </w:r>
      <w:r w:rsidRPr="00C5494E">
        <w:rPr>
          <w:rStyle w:val="FootnoteReference"/>
          <w:position w:val="0"/>
          <w:sz w:val="28"/>
          <w:szCs w:val="36"/>
          <w:vertAlign w:val="superscript"/>
        </w:rPr>
        <w:footnoteReference w:id="34"/>
      </w:r>
      <w:r w:rsidRPr="00C5494E">
        <w:rPr>
          <w:szCs w:val="36"/>
        </w:rPr>
        <w:t xml:space="preserve"> DEVELOPMENT</w:t>
      </w:r>
      <w:bookmarkEnd w:id="34"/>
      <w:bookmarkEnd w:id="35"/>
    </w:p>
    <w:p w:rsidR="00A71DEE" w:rsidRPr="00C5494E" w:rsidRDefault="003F5602" w:rsidP="003F5602">
      <w:r w:rsidRPr="00C5494E">
        <w:rPr>
          <w:bCs/>
        </w:rPr>
        <w:t xml:space="preserve">Chart 4.1 compares fixed broadband penetration in ABBMN countries with other South Asian economies in different income groups. As analyzed in Chapter 3, only </w:t>
      </w:r>
      <w:smartTag w:uri="urn:schemas-microsoft-com:office:smarttags" w:element="place">
        <w:smartTag w:uri="urn:schemas-microsoft-com:office:smarttags" w:element="country-region">
          <w:r w:rsidRPr="00C5494E">
            <w:rPr>
              <w:bCs/>
            </w:rPr>
            <w:t>Maldives</w:t>
          </w:r>
        </w:smartTag>
      </w:smartTag>
      <w:r w:rsidRPr="00C5494E">
        <w:rPr>
          <w:bCs/>
        </w:rPr>
        <w:t xml:space="preserve"> has achieved a fixed broadband penetration above that of lower-middle-income countries (3.2 </w:t>
      </w:r>
      <w:r w:rsidR="000F4A58" w:rsidRPr="00C5494E">
        <w:rPr>
          <w:bCs/>
        </w:rPr>
        <w:t>per cent</w:t>
      </w:r>
      <w:r w:rsidRPr="00C5494E">
        <w:rPr>
          <w:bCs/>
        </w:rPr>
        <w:t xml:space="preserve">). </w:t>
      </w:r>
      <w:smartTag w:uri="urn:schemas-microsoft-com:office:smarttags" w:element="place">
        <w:smartTag w:uri="urn:schemas-microsoft-com:office:smarttags" w:element="country-region">
          <w:r w:rsidRPr="00C5494E">
            <w:rPr>
              <w:bCs/>
            </w:rPr>
            <w:t>Bhutan</w:t>
          </w:r>
        </w:smartTag>
      </w:smartTag>
      <w:r w:rsidRPr="00C5494E">
        <w:rPr>
          <w:bCs/>
        </w:rPr>
        <w:t xml:space="preserve"> lies below that threshold, with barely 0.4 fixed broadband subscriptions per 100 inhabitants.</w:t>
      </w:r>
    </w:p>
    <w:p w:rsidR="005053D3" w:rsidRPr="00C5494E" w:rsidRDefault="003F5602" w:rsidP="003F5602">
      <w:r w:rsidRPr="00C5494E">
        <w:rPr>
          <w:bCs/>
        </w:rPr>
        <w:t xml:space="preserve">In </w:t>
      </w:r>
      <w:smartTag w:uri="urn:schemas-microsoft-com:office:smarttags" w:element="country-region">
        <w:r w:rsidRPr="00C5494E">
          <w:rPr>
            <w:bCs/>
          </w:rPr>
          <w:t>Afghanistan</w:t>
        </w:r>
      </w:smartTag>
      <w:r w:rsidRPr="00C5494E">
        <w:rPr>
          <w:bCs/>
        </w:rPr>
        <w:t xml:space="preserve"> and Bangladesh fixed broadband penetration is nearly zero, a low value even when compared to that of low-income countries worldwide (0.3 </w:t>
      </w:r>
      <w:r w:rsidR="000F4A58" w:rsidRPr="00C5494E">
        <w:rPr>
          <w:bCs/>
        </w:rPr>
        <w:t>per cent</w:t>
      </w:r>
      <w:r w:rsidRPr="00C5494E">
        <w:rPr>
          <w:bCs/>
        </w:rPr>
        <w:t xml:space="preserve">). </w:t>
      </w:r>
      <w:smartTag w:uri="urn:schemas-microsoft-com:office:smarttags" w:element="country-region">
        <w:smartTag w:uri="urn:schemas-microsoft-com:office:smarttags" w:element="place">
          <w:r w:rsidRPr="00C5494E">
            <w:rPr>
              <w:bCs/>
            </w:rPr>
            <w:t>Nepal</w:t>
          </w:r>
        </w:smartTag>
      </w:smartTag>
      <w:r w:rsidRPr="00C5494E">
        <w:rPr>
          <w:bCs/>
        </w:rPr>
        <w:t xml:space="preserve"> has made some improvement in the last year, reaching 0.26 </w:t>
      </w:r>
      <w:r w:rsidR="000F4A58" w:rsidRPr="00C5494E">
        <w:rPr>
          <w:bCs/>
        </w:rPr>
        <w:t>per cent</w:t>
      </w:r>
      <w:r w:rsidRPr="00C5494E">
        <w:rPr>
          <w:bCs/>
        </w:rPr>
        <w:t xml:space="preserve"> fixed broadband penetration by the end of 2009.</w:t>
      </w:r>
    </w:p>
    <w:p w:rsidR="00A71DEE" w:rsidRPr="00C5494E" w:rsidRDefault="00A71DEE" w:rsidP="00A71DEE">
      <w:pPr>
        <w:rPr>
          <w:bCs/>
        </w:rPr>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A71DEE" w:rsidRPr="00C5494E" w:rsidTr="00FB239F">
        <w:trPr>
          <w:jc w:val="center"/>
        </w:trPr>
        <w:tc>
          <w:tcPr>
            <w:tcW w:w="9424" w:type="dxa"/>
            <w:shd w:val="clear" w:color="auto" w:fill="D9D9D9" w:themeFill="background1" w:themeFillShade="D9"/>
          </w:tcPr>
          <w:p w:rsidR="00A71DEE" w:rsidRPr="00C5494E" w:rsidRDefault="00A71DEE" w:rsidP="00FB239F">
            <w:pPr>
              <w:pStyle w:val="FigureNoTitle"/>
              <w:keepNext/>
              <w:rPr>
                <w:lang w:val="en-GB"/>
              </w:rPr>
            </w:pPr>
            <w:r w:rsidRPr="00C5494E">
              <w:rPr>
                <w:lang w:val="en-GB"/>
              </w:rPr>
              <w:t>Chart 4.1: Fixed broadband penetration in South Asian countries, 2009</w:t>
            </w:r>
          </w:p>
          <w:p w:rsidR="00A71DEE" w:rsidRPr="00C5494E" w:rsidRDefault="00A71DEE" w:rsidP="00FB239F">
            <w:pPr>
              <w:pStyle w:val="Figure"/>
              <w:rPr>
                <w:lang w:val="en-GB"/>
              </w:rPr>
            </w:pPr>
            <w:r w:rsidRPr="00C5494E">
              <w:drawing>
                <wp:inline distT="0" distB="0" distL="0" distR="0">
                  <wp:extent cx="5600700" cy="3457575"/>
                  <wp:effectExtent l="0" t="0" r="0" b="0"/>
                  <wp:docPr id="9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duotone>
                              <a:schemeClr val="accent2">
                                <a:shade val="45000"/>
                                <a:satMod val="135000"/>
                              </a:schemeClr>
                              <a:prstClr val="white"/>
                            </a:duotone>
                          </a:blip>
                          <a:srcRect/>
                          <a:stretch>
                            <a:fillRect/>
                          </a:stretch>
                        </pic:blipFill>
                        <pic:spPr bwMode="auto">
                          <a:xfrm>
                            <a:off x="0" y="0"/>
                            <a:ext cx="5600700" cy="3457575"/>
                          </a:xfrm>
                          <a:prstGeom prst="rect">
                            <a:avLst/>
                          </a:prstGeom>
                          <a:noFill/>
                          <a:ln w="9525">
                            <a:noFill/>
                            <a:miter lim="800000"/>
                            <a:headEnd/>
                            <a:tailEnd/>
                          </a:ln>
                        </pic:spPr>
                      </pic:pic>
                    </a:graphicData>
                  </a:graphic>
                </wp:inline>
              </w:drawing>
            </w:r>
          </w:p>
          <w:p w:rsidR="00A71DEE" w:rsidRPr="00C5494E" w:rsidRDefault="00A71DEE" w:rsidP="00FB239F">
            <w:pPr>
              <w:pStyle w:val="Figurelegend"/>
            </w:pPr>
            <w:r w:rsidRPr="00C5494E">
              <w:rPr>
                <w:i/>
                <w:iCs/>
              </w:rPr>
              <w:t>Source</w:t>
            </w:r>
            <w:r w:rsidRPr="00C5494E">
              <w:t xml:space="preserve">: ITU, income groups taken </w:t>
            </w:r>
            <w:r w:rsidR="00834B63" w:rsidRPr="00C5494E">
              <w:t>from</w:t>
            </w:r>
            <w:r w:rsidRPr="00C5494E">
              <w:t xml:space="preserve"> the World Bank.</w:t>
            </w:r>
          </w:p>
        </w:tc>
      </w:tr>
    </w:tbl>
    <w:p w:rsidR="00A71DEE" w:rsidRPr="00C5494E" w:rsidRDefault="00A71DEE" w:rsidP="00A71DEE"/>
    <w:p w:rsidR="00A71DEE" w:rsidRPr="00C5494E" w:rsidRDefault="003F5602" w:rsidP="003F5602">
      <w:r w:rsidRPr="00C5494E">
        <w:rPr>
          <w:bCs/>
        </w:rPr>
        <w:t xml:space="preserve">In terms of mobile broadband penetration, the situation is similar to that of fixed broadband uptake for low-income ABBMN countries (Chart 4.2). In </w:t>
      </w:r>
      <w:smartTag w:uri="urn:schemas-microsoft-com:office:smarttags" w:element="country-region">
        <w:smartTag w:uri="urn:schemas-microsoft-com:office:smarttags" w:element="place">
          <w:r w:rsidRPr="00C5494E">
            <w:rPr>
              <w:bCs/>
            </w:rPr>
            <w:t>Nepal</w:t>
          </w:r>
        </w:smartTag>
      </w:smartTag>
      <w:r w:rsidRPr="00C5494E">
        <w:rPr>
          <w:bCs/>
        </w:rPr>
        <w:t>, although 3G services were launched in 2007, the penetration is still negligible.</w:t>
      </w:r>
      <w:r w:rsidRPr="00C5494E">
        <w:rPr>
          <w:bCs/>
          <w:vertAlign w:val="superscript"/>
        </w:rPr>
        <w:footnoteReference w:id="35"/>
      </w:r>
      <w:r w:rsidRPr="00C5494E">
        <w:rPr>
          <w:bCs/>
        </w:rPr>
        <w:t xml:space="preserve"> </w:t>
      </w:r>
      <w:smartTag w:uri="urn:schemas-microsoft-com:office:smarttags" w:element="country-region">
        <w:r w:rsidRPr="00C5494E">
          <w:rPr>
            <w:bCs/>
          </w:rPr>
          <w:t>Bangladesh</w:t>
        </w:r>
      </w:smartTag>
      <w:r w:rsidRPr="00C5494E">
        <w:rPr>
          <w:bCs/>
        </w:rPr>
        <w:t xml:space="preserve"> and </w:t>
      </w:r>
      <w:smartTag w:uri="urn:schemas-microsoft-com:office:smarttags" w:element="country-region">
        <w:smartTag w:uri="urn:schemas-microsoft-com:office:smarttags" w:element="place">
          <w:r w:rsidRPr="00C5494E">
            <w:rPr>
              <w:bCs/>
            </w:rPr>
            <w:t>Afghanistan</w:t>
          </w:r>
        </w:smartTag>
      </w:smartTag>
      <w:r w:rsidRPr="00C5494E">
        <w:rPr>
          <w:bCs/>
        </w:rPr>
        <w:t xml:space="preserve"> have no mobile broadband services commercially available in the country. On the other hand, </w:t>
      </w:r>
      <w:smartTag w:uri="urn:schemas-microsoft-com:office:smarttags" w:element="country-region">
        <w:r w:rsidRPr="00C5494E">
          <w:rPr>
            <w:bCs/>
          </w:rPr>
          <w:t>Maldives</w:t>
        </w:r>
      </w:smartTag>
      <w:r w:rsidRPr="00C5494E">
        <w:rPr>
          <w:bCs/>
        </w:rPr>
        <w:t xml:space="preserve"> and </w:t>
      </w:r>
      <w:smartTag w:uri="urn:schemas-microsoft-com:office:smarttags" w:element="country-region">
        <w:smartTag w:uri="urn:schemas-microsoft-com:office:smarttags" w:element="place">
          <w:r w:rsidRPr="00C5494E">
            <w:rPr>
              <w:bCs/>
            </w:rPr>
            <w:t>Bhutan</w:t>
          </w:r>
        </w:smartTag>
      </w:smartTag>
      <w:r w:rsidRPr="00C5494E">
        <w:rPr>
          <w:bCs/>
        </w:rPr>
        <w:t xml:space="preserve"> have a mobile broadband penetration above that of lower-middle-income countries (1.4 </w:t>
      </w:r>
      <w:r w:rsidR="000F4A58" w:rsidRPr="00C5494E">
        <w:rPr>
          <w:bCs/>
        </w:rPr>
        <w:t>per cent</w:t>
      </w:r>
      <w:r w:rsidRPr="00C5494E">
        <w:rPr>
          <w:bCs/>
        </w:rPr>
        <w:t xml:space="preserve">). As it has been previously highlighted, </w:t>
      </w:r>
      <w:smartTag w:uri="urn:schemas-microsoft-com:office:smarttags" w:element="country-region">
        <w:smartTag w:uri="urn:schemas-microsoft-com:office:smarttags" w:element="place">
          <w:r w:rsidRPr="00C5494E">
            <w:rPr>
              <w:bCs/>
            </w:rPr>
            <w:t>Maldives</w:t>
          </w:r>
        </w:smartTag>
      </w:smartTag>
      <w:r w:rsidRPr="00C5494E">
        <w:rPr>
          <w:bCs/>
        </w:rPr>
        <w:t xml:space="preserve"> has a mobile broadband penetration even higher than countries with higher income levels (32.5 </w:t>
      </w:r>
      <w:r w:rsidR="000F4A58" w:rsidRPr="00C5494E">
        <w:rPr>
          <w:bCs/>
        </w:rPr>
        <w:t>per cent</w:t>
      </w:r>
      <w:r w:rsidRPr="00C5494E">
        <w:rPr>
          <w:bCs/>
        </w:rPr>
        <w:t xml:space="preserve"> compared to an average 11.3 </w:t>
      </w:r>
      <w:r w:rsidR="000F4A58" w:rsidRPr="00C5494E">
        <w:rPr>
          <w:bCs/>
        </w:rPr>
        <w:t>per cent</w:t>
      </w:r>
      <w:r w:rsidRPr="00C5494E">
        <w:rPr>
          <w:bCs/>
        </w:rPr>
        <w:t xml:space="preserve"> in upper-middle-income countries worldwide).</w:t>
      </w:r>
    </w:p>
    <w:p w:rsidR="00A71DEE" w:rsidRPr="00011BA4" w:rsidRDefault="00A71DEE" w:rsidP="00011BA4">
      <w:pPr>
        <w:spacing w:before="0"/>
        <w:rPr>
          <w:sz w:val="16"/>
          <w:szCs w:val="14"/>
        </w:rPr>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A71DEE" w:rsidRPr="00C5494E" w:rsidTr="00FB239F">
        <w:trPr>
          <w:jc w:val="center"/>
        </w:trPr>
        <w:tc>
          <w:tcPr>
            <w:tcW w:w="9424" w:type="dxa"/>
            <w:shd w:val="clear" w:color="auto" w:fill="D9D9D9" w:themeFill="background1" w:themeFillShade="D9"/>
          </w:tcPr>
          <w:p w:rsidR="00A71DEE" w:rsidRPr="00C5494E" w:rsidRDefault="00A71DEE" w:rsidP="00FB239F">
            <w:pPr>
              <w:pStyle w:val="FigureNoTitle"/>
              <w:keepNext/>
              <w:rPr>
                <w:lang w:val="en-GB"/>
              </w:rPr>
            </w:pPr>
            <w:r w:rsidRPr="00C5494E">
              <w:rPr>
                <w:lang w:val="en-GB"/>
              </w:rPr>
              <w:lastRenderedPageBreak/>
              <w:t xml:space="preserve">Chart 4.2: </w:t>
            </w:r>
            <w:smartTag w:uri="urn:schemas-microsoft-com:office:smarttags" w:element="place">
              <w:r w:rsidRPr="00C5494E">
                <w:rPr>
                  <w:lang w:val="en-GB"/>
                </w:rPr>
                <w:t>Mobile</w:t>
              </w:r>
            </w:smartTag>
            <w:r w:rsidRPr="00C5494E">
              <w:rPr>
                <w:lang w:val="en-GB"/>
              </w:rPr>
              <w:t xml:space="preserve"> broadband penetration in South Asian countries, 2009</w:t>
            </w:r>
          </w:p>
          <w:p w:rsidR="00A71DEE" w:rsidRPr="00C5494E" w:rsidRDefault="00A71DEE" w:rsidP="00FB239F">
            <w:pPr>
              <w:pStyle w:val="Figure"/>
              <w:rPr>
                <w:lang w:val="en-GB"/>
              </w:rPr>
            </w:pPr>
            <w:r w:rsidRPr="00C5494E">
              <w:drawing>
                <wp:inline distT="0" distB="0" distL="0" distR="0">
                  <wp:extent cx="5600700" cy="3086100"/>
                  <wp:effectExtent l="0" t="0" r="0" b="0"/>
                  <wp:docPr id="9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duotone>
                              <a:schemeClr val="accent2">
                                <a:shade val="45000"/>
                                <a:satMod val="135000"/>
                              </a:schemeClr>
                              <a:prstClr val="white"/>
                            </a:duotone>
                          </a:blip>
                          <a:srcRect/>
                          <a:stretch>
                            <a:fillRect/>
                          </a:stretch>
                        </pic:blipFill>
                        <pic:spPr bwMode="auto">
                          <a:xfrm>
                            <a:off x="0" y="0"/>
                            <a:ext cx="5600700" cy="3086100"/>
                          </a:xfrm>
                          <a:prstGeom prst="rect">
                            <a:avLst/>
                          </a:prstGeom>
                          <a:noFill/>
                          <a:ln w="9525">
                            <a:noFill/>
                            <a:miter lim="800000"/>
                            <a:headEnd/>
                            <a:tailEnd/>
                          </a:ln>
                        </pic:spPr>
                      </pic:pic>
                    </a:graphicData>
                  </a:graphic>
                </wp:inline>
              </w:drawing>
            </w:r>
          </w:p>
          <w:p w:rsidR="00A71DEE" w:rsidRPr="00C5494E" w:rsidRDefault="00A71DEE" w:rsidP="00FB239F">
            <w:pPr>
              <w:pStyle w:val="Figurelegend"/>
            </w:pPr>
            <w:r w:rsidRPr="00C5494E">
              <w:rPr>
                <w:i/>
                <w:iCs/>
              </w:rPr>
              <w:t>Source</w:t>
            </w:r>
            <w:r w:rsidRPr="00C5494E">
              <w:t xml:space="preserve">: ITU, income groups taken </w:t>
            </w:r>
            <w:r w:rsidR="00834B63" w:rsidRPr="00C5494E">
              <w:t>from</w:t>
            </w:r>
            <w:r w:rsidRPr="00C5494E">
              <w:t xml:space="preserve"> the World Bank.</w:t>
            </w:r>
          </w:p>
        </w:tc>
      </w:tr>
    </w:tbl>
    <w:p w:rsidR="00A71DEE" w:rsidRPr="00C5494E" w:rsidRDefault="00A71DEE" w:rsidP="00A71DEE"/>
    <w:p w:rsidR="00A71DEE" w:rsidRPr="00C5494E" w:rsidRDefault="00A71DEE" w:rsidP="00A71DEE">
      <w:pPr>
        <w:rPr>
          <w:bCs/>
        </w:rPr>
      </w:pPr>
      <w:r w:rsidRPr="00C5494E">
        <w:rPr>
          <w:bCs/>
        </w:rPr>
        <w:t xml:space="preserve">The following sections take a closer look at specific issues concerning broadband development in ABBMN countries, both in terms of current infrastructure, policy initiatives and regulation, and draw attention on the challenges that remain ahead. </w:t>
      </w:r>
    </w:p>
    <w:p w:rsidR="00A71DEE" w:rsidRPr="00C5494E" w:rsidRDefault="00A71DEE" w:rsidP="00A71DEE">
      <w:pPr>
        <w:pStyle w:val="Heading2"/>
      </w:pPr>
      <w:bookmarkStart w:id="36" w:name="_Toc273517399"/>
      <w:bookmarkStart w:id="37" w:name="_Toc273623623"/>
      <w:r w:rsidRPr="00C5494E">
        <w:t>4.1</w:t>
      </w:r>
      <w:r w:rsidRPr="00C5494E">
        <w:tab/>
        <w:t>NATIONAL REGULATORY AUTHORITIES</w:t>
      </w:r>
      <w:bookmarkEnd w:id="36"/>
      <w:bookmarkEnd w:id="37"/>
    </w:p>
    <w:p w:rsidR="00A71DEE" w:rsidRPr="00C5494E" w:rsidRDefault="00F166B1" w:rsidP="00527AA9">
      <w:r w:rsidRPr="00C5494E">
        <w:rPr>
          <w:bCs/>
        </w:rPr>
        <w:t xml:space="preserve">NRAs play a key role in setting the regulatory framework that applies to broadband markets, and in providing legal certainty to investment. The importance of independent regulatory authorities to stimulate investors’ confidence has been stressed in several international </w:t>
      </w:r>
      <w:proofErr w:type="spellStart"/>
      <w:r w:rsidRPr="00C5494E">
        <w:rPr>
          <w:bCs/>
        </w:rPr>
        <w:t>fora</w:t>
      </w:r>
      <w:proofErr w:type="spellEnd"/>
      <w:r w:rsidRPr="00C5494E">
        <w:rPr>
          <w:bCs/>
        </w:rPr>
        <w:t>, including WSIS</w:t>
      </w:r>
      <w:r w:rsidRPr="00C5494E" w:rsidDel="007E4919">
        <w:rPr>
          <w:bCs/>
        </w:rPr>
        <w:t xml:space="preserve"> </w:t>
      </w:r>
      <w:r w:rsidRPr="00C5494E">
        <w:rPr>
          <w:bCs/>
        </w:rPr>
        <w:t>(see UNDP, 2004). Moreover, ITU has advocated the importance of establishing transparent, neutral and effective regulatory authorities, and it has highlighted the trend of creating such regulatory authorities for the ICT sector (from 12 separate regulatory authorities in 1990 to 153 at the end of 2009, see ITU, 2007, 2009g).</w:t>
      </w:r>
    </w:p>
    <w:p w:rsidR="00A71DEE" w:rsidRPr="00C5494E" w:rsidRDefault="00F166B1" w:rsidP="00F166B1">
      <w:r w:rsidRPr="00C5494E">
        <w:rPr>
          <w:bCs/>
        </w:rPr>
        <w:t>In the case of broadband stimulus, the existence of independent, transparent, predictable and efficient regulation is crucial to attract private investment. Thus regulators play a major role in broadband stimulus, if the right enabling environment is to be created to concretize the necessary investment for the deployment of broadband networks, which today still are not fully in place.</w:t>
      </w:r>
    </w:p>
    <w:p w:rsidR="00527AA9" w:rsidRPr="00C5494E" w:rsidRDefault="00A71DEE" w:rsidP="00A71DEE">
      <w:r w:rsidRPr="00C5494E">
        <w:t xml:space="preserve">All ABBMN countries have established their own regulatory authorities, which means that the first milestone has been achieved. </w:t>
      </w:r>
    </w:p>
    <w:p w:rsidR="00A71DEE" w:rsidRPr="00C5494E" w:rsidRDefault="00A71DEE" w:rsidP="00527AA9">
      <w:pPr>
        <w:keepNext/>
      </w:pPr>
      <w:r w:rsidRPr="00C5494E">
        <w:lastRenderedPageBreak/>
        <w:t xml:space="preserve">The next stage is to have the legal provisions </w:t>
      </w:r>
      <w:r w:rsidR="00527AA9" w:rsidRPr="00C5494E">
        <w:t>that</w:t>
      </w:r>
      <w:r w:rsidRPr="00C5494E">
        <w:t xml:space="preserve"> ensure that these regulators:</w:t>
      </w:r>
      <w:r w:rsidRPr="00C5494E">
        <w:rPr>
          <w:vertAlign w:val="superscript"/>
        </w:rPr>
        <w:footnoteReference w:id="36"/>
      </w:r>
    </w:p>
    <w:p w:rsidR="00A71DEE" w:rsidRPr="00C5494E" w:rsidRDefault="00A71DEE" w:rsidP="00527AA9">
      <w:pPr>
        <w:pStyle w:val="enumlev1"/>
      </w:pPr>
      <w:r w:rsidRPr="00C5494E">
        <w:rPr>
          <w:color w:val="990033"/>
        </w:rPr>
        <w:t>•</w:t>
      </w:r>
      <w:r w:rsidRPr="00C5494E">
        <w:rPr>
          <w:b/>
          <w:bCs/>
        </w:rPr>
        <w:tab/>
      </w:r>
      <w:r w:rsidR="00527AA9" w:rsidRPr="00C5494E">
        <w:t xml:space="preserve">Are </w:t>
      </w:r>
      <w:r w:rsidRPr="00C5494E">
        <w:rPr>
          <w:b/>
          <w:bCs/>
        </w:rPr>
        <w:t>Independent</w:t>
      </w:r>
      <w:r w:rsidRPr="00C5494E">
        <w:t xml:space="preserve"> from the policy</w:t>
      </w:r>
      <w:r w:rsidR="00527AA9" w:rsidRPr="00C5494E">
        <w:t>-</w:t>
      </w:r>
      <w:r w:rsidRPr="00C5494E">
        <w:t xml:space="preserve">maker, so that there is a separation between the </w:t>
      </w:r>
      <w:r w:rsidR="00F166B1" w:rsidRPr="00C5494E">
        <w:t xml:space="preserve">government </w:t>
      </w:r>
      <w:r w:rsidRPr="00C5494E">
        <w:t>that determines ICT policies and the regulator that impartially oversees their enforcement.</w:t>
      </w:r>
    </w:p>
    <w:p w:rsidR="00A71DEE" w:rsidRPr="00C5494E" w:rsidRDefault="00A71DEE" w:rsidP="00A71DEE">
      <w:pPr>
        <w:pStyle w:val="enumlev1"/>
      </w:pPr>
      <w:r w:rsidRPr="00C5494E">
        <w:rPr>
          <w:color w:val="990033"/>
        </w:rPr>
        <w:t>•</w:t>
      </w:r>
      <w:r w:rsidRPr="00C5494E">
        <w:rPr>
          <w:b/>
          <w:bCs/>
        </w:rPr>
        <w:tab/>
      </w:r>
      <w:r w:rsidR="00527AA9" w:rsidRPr="00C5494E">
        <w:t>Are</w:t>
      </w:r>
      <w:r w:rsidR="00527AA9" w:rsidRPr="00C5494E">
        <w:rPr>
          <w:b/>
          <w:bCs/>
        </w:rPr>
        <w:t xml:space="preserve"> transparent </w:t>
      </w:r>
      <w:r w:rsidRPr="00C5494E">
        <w:rPr>
          <w:b/>
          <w:bCs/>
        </w:rPr>
        <w:t>and predictable</w:t>
      </w:r>
      <w:r w:rsidRPr="00C5494E">
        <w:t xml:space="preserve"> in their decisions, in order to strengthen its legitimacy.</w:t>
      </w:r>
    </w:p>
    <w:p w:rsidR="00A71DEE" w:rsidRPr="00C5494E" w:rsidRDefault="00A71DEE" w:rsidP="00A71DEE">
      <w:pPr>
        <w:pStyle w:val="enumlev1"/>
      </w:pPr>
      <w:r w:rsidRPr="00C5494E">
        <w:rPr>
          <w:color w:val="990033"/>
        </w:rPr>
        <w:t>•</w:t>
      </w:r>
      <w:r w:rsidRPr="00C5494E">
        <w:rPr>
          <w:b/>
          <w:bCs/>
        </w:rPr>
        <w:tab/>
      </w:r>
      <w:r w:rsidR="00527AA9" w:rsidRPr="00C5494E">
        <w:t xml:space="preserve">Create </w:t>
      </w:r>
      <w:r w:rsidRPr="00C5494E">
        <w:rPr>
          <w:b/>
          <w:bCs/>
        </w:rPr>
        <w:t>legal certainty</w:t>
      </w:r>
      <w:r w:rsidRPr="00C5494E">
        <w:t xml:space="preserve"> with their decisions.</w:t>
      </w:r>
    </w:p>
    <w:p w:rsidR="00A71DEE" w:rsidRPr="00C5494E" w:rsidRDefault="00A71DEE" w:rsidP="00A71DEE">
      <w:r w:rsidRPr="00C5494E">
        <w:t xml:space="preserve">Table 4.1 shows the characteristics of ABBMN regulators, together with those of other selected regulators worldwide. In general, the right regulatory structure in ABBMN countries is in place. However, based on the </w:t>
      </w:r>
      <w:r w:rsidR="00527AA9" w:rsidRPr="00C5494E">
        <w:t>analyzis</w:t>
      </w:r>
      <w:r w:rsidRPr="00C5494E">
        <w:t xml:space="preserve"> of the responses to the questionnaire sent by ITU, the specific areas for regulatory strengthening are further discussed in the following section.</w:t>
      </w:r>
    </w:p>
    <w:p w:rsidR="00A71DEE" w:rsidRPr="00C5494E" w:rsidRDefault="00A71DEE" w:rsidP="00F166B1">
      <w:r w:rsidRPr="00C5494E">
        <w:rPr>
          <w:b/>
        </w:rPr>
        <w:t>Public consultations</w:t>
      </w:r>
      <w:r w:rsidRPr="00C5494E">
        <w:t xml:space="preserve"> </w:t>
      </w:r>
      <w:r w:rsidR="00F166B1" w:rsidRPr="00C5494E">
        <w:rPr>
          <w:bCs/>
        </w:rPr>
        <w:t>are a basic tool to involve stakeholders in the decision-making process, and also to foster transparency by means of providing a clearly established procedure for all interested parties to submit their contributions in equal terms.</w:t>
      </w:r>
      <w:r w:rsidR="00F166B1" w:rsidRPr="00C5494E">
        <w:rPr>
          <w:bCs/>
          <w:vertAlign w:val="superscript"/>
        </w:rPr>
        <w:footnoteReference w:id="37"/>
      </w:r>
      <w:r w:rsidR="00F166B1" w:rsidRPr="00C5494E">
        <w:rPr>
          <w:bCs/>
        </w:rPr>
        <w:t xml:space="preserve"> It is therefore important that prior to taking any decision that has a relevant impact on a telecommunication market (in the case of this report, the fixed or mobile broadband markets) the opportunity is given to stakeholders to present their opinions in an appropriate time frame and in a transparent manner. Thus the comments of all relevant stakeholders need to be taken into account, and the results of the public consultation made publicly available on the regulator’s website. In the case of </w:t>
      </w:r>
      <w:smartTag w:uri="urn:schemas-microsoft-com:office:smarttags" w:element="country-region">
        <w:r w:rsidR="00F166B1" w:rsidRPr="00C5494E">
          <w:rPr>
            <w:bCs/>
          </w:rPr>
          <w:t>Maldives</w:t>
        </w:r>
      </w:smartTag>
      <w:r w:rsidR="00F166B1" w:rsidRPr="00C5494E">
        <w:rPr>
          <w:bCs/>
        </w:rPr>
        <w:t xml:space="preserve">, </w:t>
      </w:r>
      <w:smartTag w:uri="urn:schemas-microsoft-com:office:smarttags" w:element="country-region">
        <w:r w:rsidR="00F166B1" w:rsidRPr="00C5494E">
          <w:rPr>
            <w:bCs/>
          </w:rPr>
          <w:t>Nepal</w:t>
        </w:r>
      </w:smartTag>
      <w:r w:rsidR="00F166B1" w:rsidRPr="00C5494E">
        <w:rPr>
          <w:bCs/>
        </w:rPr>
        <w:t xml:space="preserve"> and </w:t>
      </w:r>
      <w:smartTag w:uri="urn:schemas-microsoft-com:office:smarttags" w:element="country-region">
        <w:smartTag w:uri="urn:schemas-microsoft-com:office:smarttags" w:element="place">
          <w:r w:rsidR="00F166B1" w:rsidRPr="00C5494E">
            <w:rPr>
              <w:bCs/>
            </w:rPr>
            <w:t>Afghanistan</w:t>
          </w:r>
        </w:smartTag>
      </w:smartTag>
      <w:r w:rsidR="00F166B1" w:rsidRPr="00C5494E">
        <w:rPr>
          <w:bCs/>
        </w:rPr>
        <w:t>, this is not always mandatory.</w:t>
      </w:r>
    </w:p>
    <w:p w:rsidR="00A71DEE" w:rsidRPr="00C5494E" w:rsidRDefault="00A71DEE" w:rsidP="00A71DEE">
      <w:r w:rsidRPr="00C5494E">
        <w:t xml:space="preserve">An important function of regulatory authorities (if not the main one in several countries in terms of files/inquiries treated in day-to-day work) is to resolve disputes between stakeholders. In order to do so effectively, </w:t>
      </w:r>
      <w:r w:rsidRPr="00C5494E">
        <w:rPr>
          <w:b/>
        </w:rPr>
        <w:t>dispute-resolution mechanisms</w:t>
      </w:r>
      <w:r w:rsidRPr="00C5494E">
        <w:t xml:space="preserve"> need to be clearly defined, especially concerning the competence of enforcing binding decisions to operators. This is important, for example, in the case of fixed or mobile broadband infrastructure sharing, where disputes are likely to arise (especially against the dominant operator), and require a rapid solution to avoid discouraging alternative operators. In ABBMN countries, Maldives has not defined clear mechanisms for its regulatory authority, and Bhutan only alternative dispute-resolution mechanisms. </w:t>
      </w:r>
    </w:p>
    <w:p w:rsidR="00A71DEE" w:rsidRPr="00C5494E" w:rsidRDefault="00F166B1" w:rsidP="00F166B1">
      <w:r w:rsidRPr="00C5494E">
        <w:rPr>
          <w:bCs/>
        </w:rPr>
        <w:t xml:space="preserve">Finally, </w:t>
      </w:r>
      <w:r w:rsidRPr="00C5494E">
        <w:rPr>
          <w:b/>
        </w:rPr>
        <w:t>legal certainty</w:t>
      </w:r>
      <w:r w:rsidRPr="00C5494E">
        <w:rPr>
          <w:bCs/>
        </w:rPr>
        <w:t xml:space="preserve"> is one of the main concerns of investors. In the case of fixed and mobile broadband networks, it is crucial because the deployment of new networks requires long-term commitment – they are capital intensive and entail long-term amortization of assets – and therefore it is important that there is legal certainty about the regulation that will be applied to them. The right to appeal to a judicial body should be ensured in order to guarantee that the regulatory authorities’ decisions do not contravene the rule of law. However, it would strengthen the regulators’ legitimacy if their decisions were considered as the last administrative instance, only to be challenged by the courts (including, in some cases, administrative appeals tribunals). This is indeed the case in most developed countries. In ABBMN countries, only in </w:t>
      </w:r>
      <w:smartTag w:uri="urn:schemas-microsoft-com:office:smarttags" w:element="country-region">
        <w:r w:rsidRPr="00C5494E">
          <w:rPr>
            <w:bCs/>
          </w:rPr>
          <w:t>Bangladesh</w:t>
        </w:r>
      </w:smartTag>
      <w:r w:rsidRPr="00C5494E">
        <w:rPr>
          <w:bCs/>
        </w:rPr>
        <w:t xml:space="preserve"> and </w:t>
      </w:r>
      <w:smartTag w:uri="urn:schemas-microsoft-com:office:smarttags" w:element="place">
        <w:smartTag w:uri="urn:schemas-microsoft-com:office:smarttags" w:element="country-region">
          <w:r w:rsidRPr="00C5494E">
            <w:rPr>
              <w:bCs/>
            </w:rPr>
            <w:t>Nepal</w:t>
          </w:r>
        </w:smartTag>
      </w:smartTag>
      <w:r w:rsidRPr="00C5494E">
        <w:rPr>
          <w:bCs/>
        </w:rPr>
        <w:t xml:space="preserve"> do the regulatory authority’s decisions stand as the last administrative instance, where they are only liable to be overturned by the judiciary. In the remaining ABBMN countries, this legal certainty in the regulator’s decisions may not be assured.</w:t>
      </w:r>
    </w:p>
    <w:p w:rsidR="00A71DEE" w:rsidRPr="00C5494E" w:rsidRDefault="00A71DEE" w:rsidP="00A71DEE"/>
    <w:tbl>
      <w:tblPr>
        <w:tblStyle w:val="LightShading-Accent2"/>
        <w:tblW w:w="9546" w:type="dxa"/>
        <w:jc w:val="center"/>
        <w:tblLook w:val="04A0"/>
      </w:tblPr>
      <w:tblGrid>
        <w:gridCol w:w="2387"/>
        <w:gridCol w:w="1050"/>
        <w:gridCol w:w="1140"/>
        <w:gridCol w:w="1396"/>
        <w:gridCol w:w="985"/>
        <w:gridCol w:w="1125"/>
        <w:gridCol w:w="1463"/>
      </w:tblGrid>
      <w:tr w:rsidR="00A71DEE" w:rsidRPr="00C5494E" w:rsidTr="00A71DEE">
        <w:trPr>
          <w:cnfStyle w:val="100000000000"/>
          <w:jc w:val="center"/>
        </w:trPr>
        <w:tc>
          <w:tcPr>
            <w:cnfStyle w:val="001000000000"/>
            <w:tcW w:w="9546" w:type="dxa"/>
            <w:gridSpan w:val="7"/>
            <w:tcBorders>
              <w:top w:val="single" w:sz="8" w:space="0" w:color="990033"/>
              <w:left w:val="single" w:sz="8" w:space="0" w:color="990033"/>
              <w:bottom w:val="single" w:sz="8" w:space="0" w:color="990033"/>
              <w:right w:val="single" w:sz="8" w:space="0" w:color="990033"/>
            </w:tcBorders>
            <w:shd w:val="clear" w:color="auto" w:fill="990033"/>
          </w:tcPr>
          <w:p w:rsidR="00A71DEE" w:rsidRPr="00C5494E" w:rsidRDefault="00A71DEE" w:rsidP="00527AA9">
            <w:pPr>
              <w:pStyle w:val="TableNoTitle"/>
              <w:ind w:left="1191" w:hanging="1191"/>
              <w:rPr>
                <w:lang w:val="en-GB"/>
              </w:rPr>
            </w:pPr>
            <w:r w:rsidRPr="00C5494E">
              <w:rPr>
                <w:lang w:val="en-GB"/>
              </w:rPr>
              <w:lastRenderedPageBreak/>
              <w:t xml:space="preserve">Table 4.1: </w:t>
            </w:r>
            <w:r w:rsidR="00527AA9" w:rsidRPr="00C5494E">
              <w:rPr>
                <w:lang w:val="en-GB"/>
              </w:rPr>
              <w:tab/>
            </w:r>
            <w:r w:rsidRPr="00C5494E">
              <w:rPr>
                <w:lang w:val="en-GB"/>
              </w:rPr>
              <w:t xml:space="preserve">Characteristics of regulatory authorities in ABBMN countries and other selected economies. </w:t>
            </w:r>
          </w:p>
        </w:tc>
      </w:tr>
      <w:tr w:rsidR="00A71DEE" w:rsidRPr="00C5494E" w:rsidTr="00527AA9">
        <w:trPr>
          <w:cnfStyle w:val="000000100000"/>
          <w:cantSplit/>
          <w:trHeight w:val="2190"/>
          <w:jc w:val="center"/>
        </w:trPr>
        <w:tc>
          <w:tcPr>
            <w:cnfStyle w:val="001000000000"/>
            <w:tcW w:w="2387" w:type="dxa"/>
            <w:tcBorders>
              <w:top w:val="single" w:sz="8" w:space="0" w:color="990033"/>
              <w:left w:val="single" w:sz="8" w:space="0" w:color="990033"/>
              <w:bottom w:val="single" w:sz="8" w:space="0" w:color="990033"/>
              <w:right w:val="single" w:sz="8" w:space="0" w:color="990033"/>
            </w:tcBorders>
          </w:tcPr>
          <w:p w:rsidR="00A71DEE" w:rsidRPr="00C5494E" w:rsidRDefault="00A71DEE" w:rsidP="00A71DEE">
            <w:pPr>
              <w:pStyle w:val="Tablehead"/>
              <w:rPr>
                <w:lang w:val="en-GB"/>
              </w:rPr>
            </w:pPr>
          </w:p>
        </w:tc>
        <w:tc>
          <w:tcPr>
            <w:tcW w:w="1050" w:type="dxa"/>
            <w:tcBorders>
              <w:top w:val="single" w:sz="8" w:space="0" w:color="990033"/>
              <w:left w:val="single" w:sz="8" w:space="0" w:color="990033"/>
              <w:bottom w:val="single" w:sz="8" w:space="0" w:color="990033"/>
              <w:right w:val="single" w:sz="8" w:space="0" w:color="990033"/>
            </w:tcBorders>
            <w:textDirection w:val="btLr"/>
            <w:vAlign w:val="center"/>
          </w:tcPr>
          <w:p w:rsidR="00A71DEE" w:rsidRPr="00C5494E" w:rsidRDefault="00A71DEE" w:rsidP="00527AA9">
            <w:pPr>
              <w:pStyle w:val="Tablehead"/>
              <w:ind w:left="118" w:right="113"/>
              <w:jc w:val="left"/>
              <w:cnfStyle w:val="000000100000"/>
              <w:rPr>
                <w:lang w:val="en-GB"/>
              </w:rPr>
            </w:pPr>
            <w:r w:rsidRPr="00C5494E">
              <w:rPr>
                <w:lang w:val="en-GB"/>
              </w:rPr>
              <w:t>Year created</w:t>
            </w:r>
          </w:p>
        </w:tc>
        <w:tc>
          <w:tcPr>
            <w:tcW w:w="1140" w:type="dxa"/>
            <w:tcBorders>
              <w:top w:val="single" w:sz="8" w:space="0" w:color="990033"/>
              <w:left w:val="single" w:sz="8" w:space="0" w:color="990033"/>
              <w:bottom w:val="single" w:sz="8" w:space="0" w:color="990033"/>
              <w:right w:val="single" w:sz="8" w:space="0" w:color="990033"/>
            </w:tcBorders>
            <w:textDirection w:val="btLr"/>
            <w:vAlign w:val="center"/>
          </w:tcPr>
          <w:p w:rsidR="00A71DEE" w:rsidRPr="00C5494E" w:rsidRDefault="00A71DEE" w:rsidP="00527AA9">
            <w:pPr>
              <w:pStyle w:val="Tablehead"/>
              <w:ind w:left="118" w:right="113"/>
              <w:jc w:val="left"/>
              <w:cnfStyle w:val="000000100000"/>
              <w:rPr>
                <w:lang w:val="en-GB"/>
              </w:rPr>
            </w:pPr>
            <w:r w:rsidRPr="00C5494E">
              <w:rPr>
                <w:lang w:val="en-GB"/>
              </w:rPr>
              <w:t>Is it autonomous in its decision-making?</w:t>
            </w:r>
          </w:p>
        </w:tc>
        <w:tc>
          <w:tcPr>
            <w:tcW w:w="1396" w:type="dxa"/>
            <w:tcBorders>
              <w:top w:val="single" w:sz="8" w:space="0" w:color="990033"/>
              <w:left w:val="single" w:sz="8" w:space="0" w:color="990033"/>
              <w:bottom w:val="single" w:sz="8" w:space="0" w:color="990033"/>
              <w:right w:val="single" w:sz="8" w:space="0" w:color="990033"/>
            </w:tcBorders>
            <w:textDirection w:val="btLr"/>
            <w:vAlign w:val="center"/>
          </w:tcPr>
          <w:p w:rsidR="00A71DEE" w:rsidRPr="00C5494E" w:rsidRDefault="00A71DEE" w:rsidP="00527AA9">
            <w:pPr>
              <w:pStyle w:val="Tablehead"/>
              <w:ind w:left="118" w:right="113"/>
              <w:jc w:val="left"/>
              <w:cnfStyle w:val="000000100000"/>
              <w:rPr>
                <w:lang w:val="en-GB"/>
              </w:rPr>
            </w:pPr>
            <w:r w:rsidRPr="00C5494E">
              <w:rPr>
                <w:lang w:val="en-GB"/>
              </w:rPr>
              <w:t>Are public consultations mandatory before adopting regulations?</w:t>
            </w:r>
          </w:p>
        </w:tc>
        <w:tc>
          <w:tcPr>
            <w:tcW w:w="985" w:type="dxa"/>
            <w:tcBorders>
              <w:top w:val="single" w:sz="8" w:space="0" w:color="990033"/>
              <w:left w:val="single" w:sz="8" w:space="0" w:color="990033"/>
              <w:bottom w:val="single" w:sz="8" w:space="0" w:color="990033"/>
              <w:right w:val="single" w:sz="8" w:space="0" w:color="990033"/>
            </w:tcBorders>
            <w:textDirection w:val="btLr"/>
            <w:vAlign w:val="center"/>
          </w:tcPr>
          <w:p w:rsidR="00A71DEE" w:rsidRPr="00C5494E" w:rsidRDefault="00A71DEE" w:rsidP="00527AA9">
            <w:pPr>
              <w:pStyle w:val="Tablehead"/>
              <w:ind w:left="118" w:right="113"/>
              <w:jc w:val="left"/>
              <w:cnfStyle w:val="000000100000"/>
              <w:rPr>
                <w:lang w:val="en-GB"/>
              </w:rPr>
            </w:pPr>
            <w:r w:rsidRPr="00C5494E">
              <w:rPr>
                <w:lang w:val="en-GB"/>
              </w:rPr>
              <w:t>Can the regulator impose sanctions?</w:t>
            </w:r>
          </w:p>
        </w:tc>
        <w:tc>
          <w:tcPr>
            <w:tcW w:w="1125" w:type="dxa"/>
            <w:tcBorders>
              <w:top w:val="single" w:sz="8" w:space="0" w:color="990033"/>
              <w:left w:val="single" w:sz="8" w:space="0" w:color="990033"/>
              <w:bottom w:val="single" w:sz="8" w:space="0" w:color="990033"/>
              <w:right w:val="single" w:sz="8" w:space="0" w:color="990033"/>
            </w:tcBorders>
            <w:textDirection w:val="btLr"/>
            <w:vAlign w:val="center"/>
          </w:tcPr>
          <w:p w:rsidR="00A71DEE" w:rsidRPr="00C5494E" w:rsidRDefault="00A71DEE" w:rsidP="00527AA9">
            <w:pPr>
              <w:pStyle w:val="Tablehead"/>
              <w:ind w:left="118" w:right="113"/>
              <w:jc w:val="left"/>
              <w:cnfStyle w:val="000000100000"/>
              <w:rPr>
                <w:lang w:val="en-GB"/>
              </w:rPr>
            </w:pPr>
            <w:r w:rsidRPr="00C5494E">
              <w:rPr>
                <w:lang w:val="en-GB"/>
              </w:rPr>
              <w:t>Are there clear dispute-resolution mechanisms?</w:t>
            </w:r>
          </w:p>
        </w:tc>
        <w:tc>
          <w:tcPr>
            <w:tcW w:w="1463" w:type="dxa"/>
            <w:tcBorders>
              <w:top w:val="single" w:sz="8" w:space="0" w:color="990033"/>
              <w:left w:val="single" w:sz="8" w:space="0" w:color="990033"/>
              <w:bottom w:val="single" w:sz="8" w:space="0" w:color="990033"/>
              <w:right w:val="single" w:sz="8" w:space="0" w:color="990033"/>
            </w:tcBorders>
            <w:textDirection w:val="btLr"/>
            <w:vAlign w:val="center"/>
          </w:tcPr>
          <w:p w:rsidR="00A71DEE" w:rsidRPr="00C5494E" w:rsidRDefault="00A71DEE" w:rsidP="00527AA9">
            <w:pPr>
              <w:pStyle w:val="Tablehead"/>
              <w:ind w:left="118" w:right="113"/>
              <w:jc w:val="left"/>
              <w:cnfStyle w:val="000000100000"/>
              <w:rPr>
                <w:lang w:val="en-GB"/>
              </w:rPr>
            </w:pPr>
            <w:r w:rsidRPr="00C5494E">
              <w:rPr>
                <w:lang w:val="en-GB"/>
              </w:rPr>
              <w:t>Who has the ultimate authority to overturn a decision of the regulator?</w:t>
            </w:r>
          </w:p>
        </w:tc>
      </w:tr>
      <w:tr w:rsidR="00A71DEE" w:rsidRPr="00C5494E" w:rsidTr="00A71DEE">
        <w:trPr>
          <w:jc w:val="center"/>
        </w:trPr>
        <w:tc>
          <w:tcPr>
            <w:cnfStyle w:val="001000000000"/>
            <w:tcW w:w="2387" w:type="dxa"/>
            <w:tcBorders>
              <w:top w:val="single" w:sz="8" w:space="0" w:color="990033"/>
              <w:left w:val="single" w:sz="8" w:space="0" w:color="990033"/>
              <w:bottom w:val="nil"/>
              <w:right w:val="single" w:sz="8" w:space="0" w:color="990033"/>
            </w:tcBorders>
            <w:vAlign w:val="center"/>
          </w:tcPr>
          <w:p w:rsidR="00A71DEE" w:rsidRPr="00C5494E" w:rsidRDefault="00A71DEE" w:rsidP="00A71DEE">
            <w:pPr>
              <w:spacing w:before="40" w:after="40"/>
              <w:jc w:val="left"/>
              <w:rPr>
                <w:bCs w:val="0"/>
                <w:color w:val="990033"/>
                <w:sz w:val="20"/>
              </w:rPr>
            </w:pPr>
            <w:r w:rsidRPr="00C5494E">
              <w:rPr>
                <w:bCs w:val="0"/>
                <w:color w:val="990033"/>
                <w:sz w:val="20"/>
              </w:rPr>
              <w:t>Nepal Telecommunications Authority</w:t>
            </w:r>
          </w:p>
        </w:tc>
        <w:tc>
          <w:tcPr>
            <w:tcW w:w="1050" w:type="dxa"/>
            <w:tcBorders>
              <w:top w:val="single" w:sz="8" w:space="0" w:color="990033"/>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1997</w:t>
            </w:r>
          </w:p>
        </w:tc>
        <w:tc>
          <w:tcPr>
            <w:tcW w:w="1140" w:type="dxa"/>
            <w:tcBorders>
              <w:top w:val="single" w:sz="8" w:space="0" w:color="990033"/>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Yes</w:t>
            </w:r>
          </w:p>
        </w:tc>
        <w:tc>
          <w:tcPr>
            <w:tcW w:w="1396" w:type="dxa"/>
            <w:tcBorders>
              <w:top w:val="single" w:sz="8" w:space="0" w:color="990033"/>
              <w:left w:val="single" w:sz="8" w:space="0" w:color="990033"/>
              <w:bottom w:val="nil"/>
              <w:right w:val="single" w:sz="8" w:space="0" w:color="990033"/>
            </w:tcBorders>
            <w:shd w:val="clear" w:color="auto" w:fill="990033"/>
            <w:vAlign w:val="center"/>
          </w:tcPr>
          <w:p w:rsidR="00A71DEE" w:rsidRPr="00C5494E" w:rsidRDefault="00A71DEE" w:rsidP="00A71DEE">
            <w:pPr>
              <w:pStyle w:val="Tabletext"/>
              <w:spacing w:before="0" w:after="0"/>
              <w:cnfStyle w:val="000000000000"/>
              <w:rPr>
                <w:b/>
                <w:bCs/>
                <w:color w:val="FFFFFF" w:themeColor="background1"/>
                <w:sz w:val="18"/>
                <w:szCs w:val="18"/>
              </w:rPr>
            </w:pPr>
            <w:r w:rsidRPr="00C5494E">
              <w:rPr>
                <w:b/>
                <w:bCs/>
                <w:color w:val="FFFFFF" w:themeColor="background1"/>
                <w:sz w:val="18"/>
                <w:szCs w:val="18"/>
              </w:rPr>
              <w:t>Only in some issues requiring input</w:t>
            </w:r>
          </w:p>
        </w:tc>
        <w:tc>
          <w:tcPr>
            <w:tcW w:w="985" w:type="dxa"/>
            <w:tcBorders>
              <w:top w:val="single" w:sz="8" w:space="0" w:color="990033"/>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Yes</w:t>
            </w:r>
          </w:p>
        </w:tc>
        <w:tc>
          <w:tcPr>
            <w:tcW w:w="1125" w:type="dxa"/>
            <w:tcBorders>
              <w:top w:val="single" w:sz="8" w:space="0" w:color="990033"/>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Yes</w:t>
            </w:r>
          </w:p>
        </w:tc>
        <w:tc>
          <w:tcPr>
            <w:tcW w:w="1463" w:type="dxa"/>
            <w:tcBorders>
              <w:top w:val="single" w:sz="8" w:space="0" w:color="990033"/>
              <w:left w:val="single" w:sz="8" w:space="0" w:color="990033"/>
              <w:bottom w:val="nil"/>
              <w:right w:val="single" w:sz="8" w:space="0" w:color="990033"/>
            </w:tcBorders>
            <w:vAlign w:val="center"/>
          </w:tcPr>
          <w:p w:rsidR="00A71DEE" w:rsidRPr="00C5494E" w:rsidRDefault="00A71DEE" w:rsidP="00A71DEE">
            <w:pPr>
              <w:pStyle w:val="Tabletext"/>
              <w:spacing w:before="0" w:after="0"/>
              <w:cnfStyle w:val="000000000000"/>
              <w:rPr>
                <w:sz w:val="18"/>
                <w:szCs w:val="18"/>
              </w:rPr>
            </w:pPr>
            <w:r w:rsidRPr="00C5494E">
              <w:rPr>
                <w:sz w:val="18"/>
                <w:szCs w:val="18"/>
              </w:rPr>
              <w:t>The judiciary</w:t>
            </w:r>
          </w:p>
        </w:tc>
      </w:tr>
      <w:tr w:rsidR="00A71DEE" w:rsidRPr="00C5494E" w:rsidTr="00A71DEE">
        <w:trPr>
          <w:cnfStyle w:val="000000100000"/>
          <w:jc w:val="center"/>
        </w:trPr>
        <w:tc>
          <w:tcPr>
            <w:cnfStyle w:val="001000000000"/>
            <w:tcW w:w="2387" w:type="dxa"/>
            <w:tcBorders>
              <w:top w:val="nil"/>
              <w:left w:val="single" w:sz="8" w:space="0" w:color="990033"/>
              <w:bottom w:val="nil"/>
              <w:right w:val="single" w:sz="8" w:space="0" w:color="990033"/>
            </w:tcBorders>
            <w:vAlign w:val="center"/>
          </w:tcPr>
          <w:p w:rsidR="00A71DEE" w:rsidRPr="00C5494E" w:rsidRDefault="00A71DEE" w:rsidP="00A71DEE">
            <w:pPr>
              <w:spacing w:before="40" w:after="40"/>
              <w:jc w:val="left"/>
              <w:rPr>
                <w:bCs w:val="0"/>
                <w:color w:val="990033"/>
                <w:sz w:val="20"/>
              </w:rPr>
            </w:pPr>
            <w:r w:rsidRPr="00C5494E">
              <w:rPr>
                <w:bCs w:val="0"/>
                <w:color w:val="990033"/>
                <w:sz w:val="20"/>
              </w:rPr>
              <w:t xml:space="preserve">Bhutan </w:t>
            </w:r>
            <w:proofErr w:type="spellStart"/>
            <w:r w:rsidRPr="00C5494E">
              <w:rPr>
                <w:bCs w:val="0"/>
                <w:color w:val="990033"/>
                <w:sz w:val="20"/>
              </w:rPr>
              <w:t>InfoComm</w:t>
            </w:r>
            <w:proofErr w:type="spellEnd"/>
            <w:r w:rsidRPr="00C5494E">
              <w:rPr>
                <w:bCs w:val="0"/>
                <w:color w:val="990033"/>
                <w:sz w:val="20"/>
              </w:rPr>
              <w:t xml:space="preserve"> &amp; Media Authority</w:t>
            </w:r>
          </w:p>
        </w:tc>
        <w:tc>
          <w:tcPr>
            <w:tcW w:w="1050"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100000"/>
              <w:rPr>
                <w:sz w:val="18"/>
                <w:szCs w:val="18"/>
              </w:rPr>
            </w:pPr>
            <w:r w:rsidRPr="00C5494E">
              <w:rPr>
                <w:sz w:val="18"/>
                <w:szCs w:val="18"/>
              </w:rPr>
              <w:t>2000</w:t>
            </w:r>
          </w:p>
          <w:p w:rsidR="00A71DEE" w:rsidRPr="00C5494E" w:rsidRDefault="00A71DEE" w:rsidP="00A71DEE">
            <w:pPr>
              <w:pStyle w:val="Tabletext"/>
              <w:spacing w:before="0" w:after="0"/>
              <w:jc w:val="center"/>
              <w:cnfStyle w:val="000000100000"/>
              <w:rPr>
                <w:sz w:val="18"/>
                <w:szCs w:val="18"/>
              </w:rPr>
            </w:pPr>
          </w:p>
        </w:tc>
        <w:tc>
          <w:tcPr>
            <w:tcW w:w="1140"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100000"/>
              <w:rPr>
                <w:sz w:val="18"/>
                <w:szCs w:val="18"/>
              </w:rPr>
            </w:pPr>
            <w:r w:rsidRPr="00C5494E">
              <w:rPr>
                <w:sz w:val="18"/>
                <w:szCs w:val="18"/>
              </w:rPr>
              <w:t>Yes</w:t>
            </w:r>
          </w:p>
          <w:p w:rsidR="00A71DEE" w:rsidRPr="00C5494E" w:rsidRDefault="00A71DEE" w:rsidP="00A71DEE">
            <w:pPr>
              <w:pStyle w:val="Tabletext"/>
              <w:spacing w:before="0" w:after="0"/>
              <w:jc w:val="center"/>
              <w:cnfStyle w:val="000000100000"/>
              <w:rPr>
                <w:sz w:val="18"/>
                <w:szCs w:val="18"/>
              </w:rPr>
            </w:pPr>
            <w:r w:rsidRPr="00C5494E">
              <w:rPr>
                <w:sz w:val="18"/>
                <w:szCs w:val="18"/>
              </w:rPr>
              <w:t>(after 2006)</w:t>
            </w:r>
          </w:p>
        </w:tc>
        <w:tc>
          <w:tcPr>
            <w:tcW w:w="1396"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cnfStyle w:val="000000100000"/>
              <w:rPr>
                <w:sz w:val="18"/>
                <w:szCs w:val="18"/>
              </w:rPr>
            </w:pPr>
            <w:r w:rsidRPr="00C5494E">
              <w:rPr>
                <w:sz w:val="18"/>
                <w:szCs w:val="18"/>
              </w:rPr>
              <w:t>Yes, before adopting rules</w:t>
            </w:r>
          </w:p>
        </w:tc>
        <w:tc>
          <w:tcPr>
            <w:tcW w:w="985"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100000"/>
              <w:rPr>
                <w:sz w:val="18"/>
                <w:szCs w:val="18"/>
              </w:rPr>
            </w:pPr>
            <w:r w:rsidRPr="00C5494E">
              <w:rPr>
                <w:sz w:val="18"/>
                <w:szCs w:val="18"/>
              </w:rPr>
              <w:t>Yes</w:t>
            </w:r>
          </w:p>
        </w:tc>
        <w:tc>
          <w:tcPr>
            <w:tcW w:w="1125" w:type="dxa"/>
            <w:tcBorders>
              <w:top w:val="nil"/>
              <w:left w:val="single" w:sz="8" w:space="0" w:color="990033"/>
              <w:bottom w:val="nil"/>
              <w:right w:val="single" w:sz="8" w:space="0" w:color="990033"/>
            </w:tcBorders>
            <w:shd w:val="clear" w:color="auto" w:fill="990033"/>
            <w:vAlign w:val="center"/>
          </w:tcPr>
          <w:p w:rsidR="00A71DEE" w:rsidRPr="00C5494E" w:rsidRDefault="00A71DEE" w:rsidP="00A71DEE">
            <w:pPr>
              <w:pStyle w:val="Tabletext"/>
              <w:spacing w:before="0" w:after="0"/>
              <w:jc w:val="center"/>
              <w:cnfStyle w:val="000000100000"/>
              <w:rPr>
                <w:b/>
                <w:bCs/>
                <w:color w:val="FFFFFF" w:themeColor="background1"/>
                <w:sz w:val="18"/>
                <w:szCs w:val="18"/>
              </w:rPr>
            </w:pPr>
            <w:r w:rsidRPr="00C5494E">
              <w:rPr>
                <w:b/>
                <w:bCs/>
                <w:color w:val="FFFFFF" w:themeColor="background1"/>
                <w:sz w:val="18"/>
                <w:szCs w:val="18"/>
              </w:rPr>
              <w:t>Only alternative dispute resolution</w:t>
            </w:r>
          </w:p>
        </w:tc>
        <w:tc>
          <w:tcPr>
            <w:tcW w:w="1463" w:type="dxa"/>
            <w:tcBorders>
              <w:top w:val="nil"/>
              <w:left w:val="single" w:sz="8" w:space="0" w:color="990033"/>
              <w:bottom w:val="nil"/>
              <w:right w:val="single" w:sz="8" w:space="0" w:color="990033"/>
            </w:tcBorders>
            <w:shd w:val="clear" w:color="auto" w:fill="990033"/>
            <w:vAlign w:val="center"/>
          </w:tcPr>
          <w:p w:rsidR="00A71DEE" w:rsidRPr="00C5494E" w:rsidRDefault="00A71DEE" w:rsidP="00A71DEE">
            <w:pPr>
              <w:pStyle w:val="Tabletext"/>
              <w:spacing w:before="0" w:after="0"/>
              <w:cnfStyle w:val="000000100000"/>
              <w:rPr>
                <w:b/>
                <w:bCs/>
                <w:color w:val="FFFFFF" w:themeColor="background1"/>
                <w:sz w:val="18"/>
                <w:szCs w:val="18"/>
              </w:rPr>
            </w:pPr>
            <w:r w:rsidRPr="00C5494E">
              <w:rPr>
                <w:b/>
                <w:bCs/>
                <w:color w:val="FFFFFF" w:themeColor="background1"/>
                <w:sz w:val="18"/>
                <w:szCs w:val="18"/>
              </w:rPr>
              <w:t>The Appellate Tribunal</w:t>
            </w:r>
          </w:p>
        </w:tc>
      </w:tr>
      <w:tr w:rsidR="00A71DEE" w:rsidRPr="00C5494E" w:rsidTr="00A71DEE">
        <w:trPr>
          <w:jc w:val="center"/>
        </w:trPr>
        <w:tc>
          <w:tcPr>
            <w:cnfStyle w:val="001000000000"/>
            <w:tcW w:w="2387" w:type="dxa"/>
            <w:tcBorders>
              <w:top w:val="nil"/>
              <w:left w:val="single" w:sz="8" w:space="0" w:color="990033"/>
              <w:bottom w:val="nil"/>
              <w:right w:val="single" w:sz="8" w:space="0" w:color="990033"/>
            </w:tcBorders>
            <w:vAlign w:val="center"/>
          </w:tcPr>
          <w:p w:rsidR="00A71DEE" w:rsidRPr="00C5494E" w:rsidRDefault="00A71DEE" w:rsidP="00A71DEE">
            <w:pPr>
              <w:spacing w:before="40" w:after="40"/>
              <w:jc w:val="left"/>
              <w:rPr>
                <w:bCs w:val="0"/>
                <w:color w:val="990033"/>
                <w:sz w:val="20"/>
              </w:rPr>
            </w:pPr>
            <w:r w:rsidRPr="00C5494E">
              <w:rPr>
                <w:bCs w:val="0"/>
                <w:color w:val="990033"/>
                <w:sz w:val="20"/>
              </w:rPr>
              <w:t>Bangladesh Telecommunication Regulatory Commission</w:t>
            </w:r>
          </w:p>
        </w:tc>
        <w:tc>
          <w:tcPr>
            <w:tcW w:w="1050"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2001</w:t>
            </w:r>
          </w:p>
        </w:tc>
        <w:tc>
          <w:tcPr>
            <w:tcW w:w="1140"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Yes</w:t>
            </w:r>
          </w:p>
        </w:tc>
        <w:tc>
          <w:tcPr>
            <w:tcW w:w="1396"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Yes</w:t>
            </w:r>
          </w:p>
        </w:tc>
        <w:tc>
          <w:tcPr>
            <w:tcW w:w="985"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Yes</w:t>
            </w:r>
          </w:p>
        </w:tc>
        <w:tc>
          <w:tcPr>
            <w:tcW w:w="1125"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Yes</w:t>
            </w:r>
          </w:p>
        </w:tc>
        <w:tc>
          <w:tcPr>
            <w:tcW w:w="1463"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cnfStyle w:val="000000000000"/>
              <w:rPr>
                <w:sz w:val="18"/>
                <w:szCs w:val="18"/>
              </w:rPr>
            </w:pPr>
            <w:r w:rsidRPr="00C5494E">
              <w:rPr>
                <w:sz w:val="18"/>
                <w:szCs w:val="18"/>
              </w:rPr>
              <w:t>The judiciary</w:t>
            </w:r>
          </w:p>
        </w:tc>
      </w:tr>
      <w:tr w:rsidR="00A71DEE" w:rsidRPr="00C5494E" w:rsidTr="00A71DEE">
        <w:trPr>
          <w:cnfStyle w:val="000000100000"/>
          <w:jc w:val="center"/>
        </w:trPr>
        <w:tc>
          <w:tcPr>
            <w:cnfStyle w:val="001000000000"/>
            <w:tcW w:w="2387" w:type="dxa"/>
            <w:tcBorders>
              <w:top w:val="nil"/>
              <w:left w:val="single" w:sz="8" w:space="0" w:color="990033"/>
              <w:bottom w:val="nil"/>
              <w:right w:val="single" w:sz="8" w:space="0" w:color="990033"/>
            </w:tcBorders>
            <w:vAlign w:val="center"/>
          </w:tcPr>
          <w:p w:rsidR="00A71DEE" w:rsidRPr="00C5494E" w:rsidRDefault="00A71DEE" w:rsidP="00A71DEE">
            <w:pPr>
              <w:spacing w:before="40" w:after="40"/>
              <w:jc w:val="left"/>
              <w:rPr>
                <w:bCs w:val="0"/>
                <w:color w:val="990033"/>
                <w:sz w:val="20"/>
              </w:rPr>
            </w:pPr>
            <w:r w:rsidRPr="00C5494E">
              <w:rPr>
                <w:bCs w:val="0"/>
                <w:color w:val="990033"/>
                <w:sz w:val="20"/>
              </w:rPr>
              <w:t>Communications Authority of Maldives</w:t>
            </w:r>
          </w:p>
        </w:tc>
        <w:tc>
          <w:tcPr>
            <w:tcW w:w="1050"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100000"/>
              <w:rPr>
                <w:sz w:val="18"/>
                <w:szCs w:val="18"/>
              </w:rPr>
            </w:pPr>
            <w:r w:rsidRPr="00C5494E">
              <w:rPr>
                <w:sz w:val="18"/>
                <w:szCs w:val="18"/>
              </w:rPr>
              <w:t>2003</w:t>
            </w:r>
          </w:p>
        </w:tc>
        <w:tc>
          <w:tcPr>
            <w:tcW w:w="1140"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100000"/>
              <w:rPr>
                <w:sz w:val="18"/>
                <w:szCs w:val="18"/>
              </w:rPr>
            </w:pPr>
            <w:r w:rsidRPr="00C5494E">
              <w:rPr>
                <w:sz w:val="18"/>
                <w:szCs w:val="18"/>
              </w:rPr>
              <w:t>Yes</w:t>
            </w:r>
          </w:p>
        </w:tc>
        <w:tc>
          <w:tcPr>
            <w:tcW w:w="1396" w:type="dxa"/>
            <w:tcBorders>
              <w:top w:val="nil"/>
              <w:left w:val="single" w:sz="8" w:space="0" w:color="990033"/>
              <w:bottom w:val="nil"/>
              <w:right w:val="single" w:sz="8" w:space="0" w:color="990033"/>
            </w:tcBorders>
            <w:shd w:val="clear" w:color="auto" w:fill="990033"/>
            <w:vAlign w:val="center"/>
          </w:tcPr>
          <w:p w:rsidR="00A71DEE" w:rsidRPr="00C5494E" w:rsidRDefault="00A71DEE" w:rsidP="00A71DEE">
            <w:pPr>
              <w:pStyle w:val="Tabletext"/>
              <w:spacing w:before="0" w:after="0"/>
              <w:jc w:val="center"/>
              <w:cnfStyle w:val="000000100000"/>
              <w:rPr>
                <w:b/>
                <w:bCs/>
                <w:color w:val="FFFFFF" w:themeColor="background1"/>
                <w:sz w:val="18"/>
                <w:szCs w:val="18"/>
              </w:rPr>
            </w:pPr>
            <w:r w:rsidRPr="00C5494E">
              <w:rPr>
                <w:b/>
                <w:bCs/>
                <w:color w:val="FFFFFF" w:themeColor="background1"/>
                <w:sz w:val="18"/>
                <w:szCs w:val="18"/>
              </w:rPr>
              <w:t>No</w:t>
            </w:r>
          </w:p>
        </w:tc>
        <w:tc>
          <w:tcPr>
            <w:tcW w:w="985" w:type="dxa"/>
            <w:tcBorders>
              <w:top w:val="nil"/>
              <w:left w:val="single" w:sz="8" w:space="0" w:color="990033"/>
              <w:bottom w:val="nil"/>
              <w:right w:val="single" w:sz="8" w:space="0" w:color="990033"/>
            </w:tcBorders>
            <w:vAlign w:val="center"/>
          </w:tcPr>
          <w:p w:rsidR="00A71DEE" w:rsidRPr="00C5494E" w:rsidRDefault="00A71DEE" w:rsidP="00A71DEE">
            <w:pPr>
              <w:pStyle w:val="Tabletext"/>
              <w:spacing w:before="0" w:after="0"/>
              <w:jc w:val="center"/>
              <w:cnfStyle w:val="000000100000"/>
              <w:rPr>
                <w:sz w:val="18"/>
                <w:szCs w:val="18"/>
              </w:rPr>
            </w:pPr>
            <w:r w:rsidRPr="00C5494E">
              <w:rPr>
                <w:sz w:val="18"/>
                <w:szCs w:val="18"/>
              </w:rPr>
              <w:t>Yes</w:t>
            </w:r>
          </w:p>
        </w:tc>
        <w:tc>
          <w:tcPr>
            <w:tcW w:w="1125" w:type="dxa"/>
            <w:tcBorders>
              <w:top w:val="nil"/>
              <w:left w:val="single" w:sz="8" w:space="0" w:color="990033"/>
              <w:bottom w:val="nil"/>
              <w:right w:val="single" w:sz="8" w:space="0" w:color="990033"/>
            </w:tcBorders>
            <w:shd w:val="clear" w:color="auto" w:fill="990033"/>
            <w:vAlign w:val="center"/>
          </w:tcPr>
          <w:p w:rsidR="00A71DEE" w:rsidRPr="00C5494E" w:rsidRDefault="00A71DEE" w:rsidP="00A71DEE">
            <w:pPr>
              <w:pStyle w:val="Tabletext"/>
              <w:spacing w:before="0" w:after="0"/>
              <w:jc w:val="center"/>
              <w:cnfStyle w:val="000000100000"/>
              <w:rPr>
                <w:b/>
                <w:bCs/>
                <w:color w:val="FFFFFF" w:themeColor="background1"/>
                <w:sz w:val="18"/>
                <w:szCs w:val="18"/>
              </w:rPr>
            </w:pPr>
            <w:r w:rsidRPr="00C5494E">
              <w:rPr>
                <w:b/>
                <w:bCs/>
                <w:color w:val="FFFFFF" w:themeColor="background1"/>
                <w:sz w:val="18"/>
                <w:szCs w:val="18"/>
              </w:rPr>
              <w:t>No</w:t>
            </w:r>
          </w:p>
        </w:tc>
        <w:tc>
          <w:tcPr>
            <w:tcW w:w="1463" w:type="dxa"/>
            <w:tcBorders>
              <w:top w:val="nil"/>
              <w:left w:val="single" w:sz="8" w:space="0" w:color="990033"/>
              <w:bottom w:val="nil"/>
              <w:right w:val="single" w:sz="8" w:space="0" w:color="990033"/>
            </w:tcBorders>
            <w:shd w:val="clear" w:color="auto" w:fill="990033"/>
            <w:vAlign w:val="center"/>
          </w:tcPr>
          <w:p w:rsidR="00A71DEE" w:rsidRPr="00C5494E" w:rsidRDefault="00A71DEE" w:rsidP="00A71DEE">
            <w:pPr>
              <w:pStyle w:val="Tabletext"/>
              <w:spacing w:before="0" w:after="0"/>
              <w:cnfStyle w:val="000000100000"/>
              <w:rPr>
                <w:b/>
                <w:bCs/>
                <w:color w:val="FFFFFF" w:themeColor="background1"/>
                <w:sz w:val="18"/>
                <w:szCs w:val="18"/>
              </w:rPr>
            </w:pPr>
            <w:r w:rsidRPr="00C5494E">
              <w:rPr>
                <w:b/>
                <w:bCs/>
                <w:color w:val="FFFFFF" w:themeColor="background1"/>
                <w:sz w:val="18"/>
                <w:szCs w:val="18"/>
              </w:rPr>
              <w:t>The President</w:t>
            </w:r>
          </w:p>
        </w:tc>
      </w:tr>
      <w:tr w:rsidR="00A71DEE" w:rsidRPr="00C5494E" w:rsidTr="00A71DEE">
        <w:trPr>
          <w:jc w:val="center"/>
        </w:trPr>
        <w:tc>
          <w:tcPr>
            <w:cnfStyle w:val="001000000000"/>
            <w:tcW w:w="2387" w:type="dxa"/>
            <w:tcBorders>
              <w:top w:val="nil"/>
              <w:left w:val="single" w:sz="8" w:space="0" w:color="990033"/>
              <w:bottom w:val="double" w:sz="4" w:space="0" w:color="990033"/>
              <w:right w:val="single" w:sz="8" w:space="0" w:color="990033"/>
            </w:tcBorders>
            <w:vAlign w:val="center"/>
          </w:tcPr>
          <w:p w:rsidR="00A71DEE" w:rsidRPr="00C5494E" w:rsidRDefault="00A71DEE" w:rsidP="00A71DEE">
            <w:pPr>
              <w:spacing w:before="40" w:after="40"/>
              <w:jc w:val="left"/>
              <w:rPr>
                <w:bCs w:val="0"/>
                <w:color w:val="990033"/>
                <w:sz w:val="20"/>
              </w:rPr>
            </w:pPr>
            <w:r w:rsidRPr="00C5494E">
              <w:rPr>
                <w:bCs w:val="0"/>
                <w:color w:val="990033"/>
                <w:sz w:val="20"/>
              </w:rPr>
              <w:t>Telecommunication Regulatory Board (Afghanistan)</w:t>
            </w:r>
          </w:p>
        </w:tc>
        <w:tc>
          <w:tcPr>
            <w:tcW w:w="1050" w:type="dxa"/>
            <w:tcBorders>
              <w:top w:val="nil"/>
              <w:left w:val="single" w:sz="8" w:space="0" w:color="990033"/>
              <w:bottom w:val="double" w:sz="4" w:space="0" w:color="990033"/>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2003</w:t>
            </w:r>
          </w:p>
        </w:tc>
        <w:tc>
          <w:tcPr>
            <w:tcW w:w="1140" w:type="dxa"/>
            <w:tcBorders>
              <w:top w:val="nil"/>
              <w:left w:val="single" w:sz="8" w:space="0" w:color="990033"/>
              <w:bottom w:val="double" w:sz="4" w:space="0" w:color="990033"/>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Yes</w:t>
            </w:r>
          </w:p>
        </w:tc>
        <w:tc>
          <w:tcPr>
            <w:tcW w:w="1396" w:type="dxa"/>
            <w:tcBorders>
              <w:top w:val="nil"/>
              <w:left w:val="single" w:sz="8" w:space="0" w:color="990033"/>
              <w:bottom w:val="double" w:sz="4" w:space="0" w:color="990033"/>
              <w:right w:val="single" w:sz="8" w:space="0" w:color="990033"/>
            </w:tcBorders>
            <w:shd w:val="clear" w:color="auto" w:fill="990033"/>
            <w:vAlign w:val="center"/>
          </w:tcPr>
          <w:p w:rsidR="00A71DEE" w:rsidRPr="00C5494E" w:rsidRDefault="00A71DEE" w:rsidP="00A71DEE">
            <w:pPr>
              <w:pStyle w:val="Tabletext"/>
              <w:spacing w:before="0" w:after="0"/>
              <w:cnfStyle w:val="000000000000"/>
              <w:rPr>
                <w:b/>
                <w:bCs/>
                <w:color w:val="FFFFFF" w:themeColor="background1"/>
                <w:sz w:val="18"/>
                <w:szCs w:val="18"/>
              </w:rPr>
            </w:pPr>
            <w:r w:rsidRPr="00C5494E">
              <w:rPr>
                <w:b/>
                <w:bCs/>
                <w:color w:val="FFFFFF" w:themeColor="background1"/>
                <w:sz w:val="18"/>
                <w:szCs w:val="18"/>
              </w:rPr>
              <w:t>Just in certain cases</w:t>
            </w:r>
          </w:p>
        </w:tc>
        <w:tc>
          <w:tcPr>
            <w:tcW w:w="985" w:type="dxa"/>
            <w:tcBorders>
              <w:top w:val="nil"/>
              <w:left w:val="single" w:sz="8" w:space="0" w:color="990033"/>
              <w:bottom w:val="double" w:sz="4" w:space="0" w:color="990033"/>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Yes</w:t>
            </w:r>
          </w:p>
        </w:tc>
        <w:tc>
          <w:tcPr>
            <w:tcW w:w="1125" w:type="dxa"/>
            <w:tcBorders>
              <w:top w:val="nil"/>
              <w:left w:val="single" w:sz="8" w:space="0" w:color="990033"/>
              <w:bottom w:val="double" w:sz="4" w:space="0" w:color="990033"/>
              <w:right w:val="single" w:sz="8" w:space="0" w:color="990033"/>
            </w:tcBorders>
            <w:vAlign w:val="center"/>
          </w:tcPr>
          <w:p w:rsidR="00A71DEE" w:rsidRPr="00C5494E" w:rsidRDefault="00A71DEE" w:rsidP="00A71DEE">
            <w:pPr>
              <w:pStyle w:val="Tabletext"/>
              <w:spacing w:before="0" w:after="0"/>
              <w:jc w:val="center"/>
              <w:cnfStyle w:val="000000000000"/>
              <w:rPr>
                <w:sz w:val="18"/>
                <w:szCs w:val="18"/>
              </w:rPr>
            </w:pPr>
            <w:r w:rsidRPr="00C5494E">
              <w:rPr>
                <w:sz w:val="18"/>
                <w:szCs w:val="18"/>
              </w:rPr>
              <w:t>Yes</w:t>
            </w:r>
          </w:p>
        </w:tc>
        <w:tc>
          <w:tcPr>
            <w:tcW w:w="1463" w:type="dxa"/>
            <w:tcBorders>
              <w:top w:val="nil"/>
              <w:left w:val="single" w:sz="8" w:space="0" w:color="990033"/>
              <w:bottom w:val="double" w:sz="4" w:space="0" w:color="990033"/>
              <w:right w:val="single" w:sz="8" w:space="0" w:color="990033"/>
            </w:tcBorders>
            <w:shd w:val="clear" w:color="auto" w:fill="990033"/>
            <w:vAlign w:val="center"/>
          </w:tcPr>
          <w:p w:rsidR="00A71DEE" w:rsidRPr="00C5494E" w:rsidRDefault="00A71DEE" w:rsidP="00A71DEE">
            <w:pPr>
              <w:pStyle w:val="Tabletext"/>
              <w:spacing w:before="0" w:after="0"/>
              <w:cnfStyle w:val="000000000000"/>
              <w:rPr>
                <w:b/>
                <w:bCs/>
                <w:color w:val="FFFFFF" w:themeColor="background1"/>
                <w:sz w:val="18"/>
                <w:szCs w:val="18"/>
              </w:rPr>
            </w:pPr>
            <w:r w:rsidRPr="00C5494E">
              <w:rPr>
                <w:b/>
                <w:bCs/>
                <w:color w:val="FFFFFF" w:themeColor="background1"/>
                <w:sz w:val="18"/>
                <w:szCs w:val="18"/>
              </w:rPr>
              <w:t>The sector Ministry</w:t>
            </w:r>
          </w:p>
        </w:tc>
      </w:tr>
      <w:tr w:rsidR="00A71DEE" w:rsidRPr="00C5494E" w:rsidTr="00A71DEE">
        <w:trPr>
          <w:cnfStyle w:val="000000100000"/>
          <w:jc w:val="center"/>
        </w:trPr>
        <w:tc>
          <w:tcPr>
            <w:cnfStyle w:val="001000000000"/>
            <w:tcW w:w="2387" w:type="dxa"/>
            <w:tcBorders>
              <w:top w:val="double" w:sz="4" w:space="0" w:color="990033"/>
              <w:left w:val="single" w:sz="8" w:space="0" w:color="990033"/>
              <w:bottom w:val="nil"/>
              <w:right w:val="single" w:sz="8" w:space="0" w:color="990033"/>
            </w:tcBorders>
            <w:vAlign w:val="center"/>
          </w:tcPr>
          <w:p w:rsidR="00A71DEE" w:rsidRPr="00C5494E" w:rsidRDefault="00A71DEE" w:rsidP="00A71DEE">
            <w:pPr>
              <w:spacing w:before="40" w:after="40"/>
              <w:jc w:val="left"/>
              <w:rPr>
                <w:bCs w:val="0"/>
                <w:color w:val="990033"/>
                <w:sz w:val="20"/>
              </w:rPr>
            </w:pPr>
            <w:r w:rsidRPr="00C5494E">
              <w:rPr>
                <w:bCs w:val="0"/>
                <w:color w:val="990033"/>
                <w:sz w:val="20"/>
              </w:rPr>
              <w:t>United States (FCC)</w:t>
            </w:r>
          </w:p>
        </w:tc>
        <w:tc>
          <w:tcPr>
            <w:tcW w:w="1050" w:type="dxa"/>
            <w:tcBorders>
              <w:top w:val="double" w:sz="4" w:space="0" w:color="990033"/>
              <w:left w:val="single" w:sz="8" w:space="0" w:color="990033"/>
              <w:bottom w:val="nil"/>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1934</w:t>
            </w:r>
          </w:p>
        </w:tc>
        <w:tc>
          <w:tcPr>
            <w:tcW w:w="1140" w:type="dxa"/>
            <w:tcBorders>
              <w:top w:val="double" w:sz="4" w:space="0" w:color="990033"/>
              <w:left w:val="single" w:sz="8" w:space="0" w:color="990033"/>
              <w:bottom w:val="nil"/>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Yes</w:t>
            </w:r>
          </w:p>
        </w:tc>
        <w:tc>
          <w:tcPr>
            <w:tcW w:w="1396" w:type="dxa"/>
            <w:tcBorders>
              <w:top w:val="double" w:sz="4" w:space="0" w:color="990033"/>
              <w:left w:val="single" w:sz="8" w:space="0" w:color="990033"/>
              <w:bottom w:val="nil"/>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Yes</w:t>
            </w:r>
          </w:p>
        </w:tc>
        <w:tc>
          <w:tcPr>
            <w:tcW w:w="985" w:type="dxa"/>
            <w:tcBorders>
              <w:top w:val="double" w:sz="4" w:space="0" w:color="990033"/>
              <w:left w:val="single" w:sz="8" w:space="0" w:color="990033"/>
              <w:bottom w:val="nil"/>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Yes</w:t>
            </w:r>
          </w:p>
        </w:tc>
        <w:tc>
          <w:tcPr>
            <w:tcW w:w="1125" w:type="dxa"/>
            <w:tcBorders>
              <w:top w:val="double" w:sz="4" w:space="0" w:color="990033"/>
              <w:left w:val="single" w:sz="8" w:space="0" w:color="990033"/>
              <w:bottom w:val="nil"/>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Yes</w:t>
            </w:r>
          </w:p>
        </w:tc>
        <w:tc>
          <w:tcPr>
            <w:tcW w:w="1463" w:type="dxa"/>
            <w:tcBorders>
              <w:top w:val="double" w:sz="4" w:space="0" w:color="990033"/>
              <w:left w:val="single" w:sz="8" w:space="0" w:color="990033"/>
              <w:bottom w:val="nil"/>
              <w:right w:val="single" w:sz="8" w:space="0" w:color="990033"/>
            </w:tcBorders>
            <w:vAlign w:val="center"/>
          </w:tcPr>
          <w:p w:rsidR="00A71DEE" w:rsidRPr="00C5494E" w:rsidRDefault="00A71DEE" w:rsidP="00A71DEE">
            <w:pPr>
              <w:spacing w:before="0"/>
              <w:cnfStyle w:val="000000100000"/>
              <w:rPr>
                <w:bCs/>
                <w:color w:val="990033"/>
                <w:sz w:val="18"/>
                <w:szCs w:val="18"/>
              </w:rPr>
            </w:pPr>
            <w:r w:rsidRPr="00C5494E">
              <w:rPr>
                <w:bCs/>
                <w:color w:val="990033"/>
                <w:sz w:val="18"/>
                <w:szCs w:val="18"/>
              </w:rPr>
              <w:t>The judiciary</w:t>
            </w:r>
          </w:p>
        </w:tc>
      </w:tr>
      <w:tr w:rsidR="00A71DEE" w:rsidRPr="00C5494E" w:rsidTr="00A71DEE">
        <w:trPr>
          <w:jc w:val="center"/>
        </w:trPr>
        <w:tc>
          <w:tcPr>
            <w:cnfStyle w:val="001000000000"/>
            <w:tcW w:w="2387" w:type="dxa"/>
            <w:tcBorders>
              <w:top w:val="nil"/>
              <w:left w:val="single" w:sz="8" w:space="0" w:color="990033"/>
              <w:bottom w:val="nil"/>
              <w:right w:val="single" w:sz="8" w:space="0" w:color="990033"/>
            </w:tcBorders>
            <w:vAlign w:val="center"/>
          </w:tcPr>
          <w:p w:rsidR="00A71DEE" w:rsidRPr="00C5494E" w:rsidRDefault="00A71DEE" w:rsidP="00A71DEE">
            <w:pPr>
              <w:spacing w:before="40" w:after="40"/>
              <w:jc w:val="left"/>
              <w:rPr>
                <w:bCs w:val="0"/>
                <w:color w:val="990033"/>
                <w:sz w:val="20"/>
              </w:rPr>
            </w:pPr>
            <w:r w:rsidRPr="00C5494E">
              <w:rPr>
                <w:bCs w:val="0"/>
                <w:color w:val="990033"/>
                <w:sz w:val="20"/>
              </w:rPr>
              <w:t>Sweden (NPTA)</w:t>
            </w:r>
          </w:p>
        </w:tc>
        <w:tc>
          <w:tcPr>
            <w:tcW w:w="1050" w:type="dxa"/>
            <w:tcBorders>
              <w:top w:val="nil"/>
              <w:left w:val="single" w:sz="8" w:space="0" w:color="990033"/>
              <w:right w:val="single" w:sz="8" w:space="0" w:color="990033"/>
            </w:tcBorders>
            <w:vAlign w:val="center"/>
          </w:tcPr>
          <w:p w:rsidR="00A71DEE" w:rsidRPr="00C5494E" w:rsidRDefault="00A71DEE" w:rsidP="00A71DEE">
            <w:pPr>
              <w:spacing w:before="0"/>
              <w:jc w:val="center"/>
              <w:cnfStyle w:val="000000000000"/>
              <w:rPr>
                <w:bCs/>
                <w:color w:val="990033"/>
                <w:sz w:val="18"/>
                <w:szCs w:val="18"/>
              </w:rPr>
            </w:pPr>
            <w:r w:rsidRPr="00C5494E">
              <w:rPr>
                <w:bCs/>
                <w:color w:val="990033"/>
                <w:sz w:val="18"/>
                <w:szCs w:val="18"/>
              </w:rPr>
              <w:t>1992</w:t>
            </w:r>
          </w:p>
        </w:tc>
        <w:tc>
          <w:tcPr>
            <w:tcW w:w="1140" w:type="dxa"/>
            <w:tcBorders>
              <w:top w:val="nil"/>
              <w:left w:val="single" w:sz="8" w:space="0" w:color="990033"/>
              <w:right w:val="single" w:sz="8" w:space="0" w:color="990033"/>
            </w:tcBorders>
            <w:vAlign w:val="center"/>
          </w:tcPr>
          <w:p w:rsidR="00A71DEE" w:rsidRPr="00C5494E" w:rsidRDefault="00A71DEE" w:rsidP="00A71DEE">
            <w:pPr>
              <w:spacing w:before="0"/>
              <w:jc w:val="center"/>
              <w:cnfStyle w:val="000000000000"/>
              <w:rPr>
                <w:bCs/>
                <w:color w:val="990033"/>
                <w:sz w:val="18"/>
                <w:szCs w:val="18"/>
              </w:rPr>
            </w:pPr>
            <w:r w:rsidRPr="00C5494E">
              <w:rPr>
                <w:bCs/>
                <w:color w:val="990033"/>
                <w:sz w:val="18"/>
                <w:szCs w:val="18"/>
              </w:rPr>
              <w:t>Yes</w:t>
            </w:r>
          </w:p>
        </w:tc>
        <w:tc>
          <w:tcPr>
            <w:tcW w:w="1396" w:type="dxa"/>
            <w:tcBorders>
              <w:top w:val="nil"/>
              <w:left w:val="single" w:sz="8" w:space="0" w:color="990033"/>
              <w:right w:val="single" w:sz="8" w:space="0" w:color="990033"/>
            </w:tcBorders>
            <w:vAlign w:val="center"/>
          </w:tcPr>
          <w:p w:rsidR="00A71DEE" w:rsidRPr="00C5494E" w:rsidRDefault="00A71DEE" w:rsidP="00A71DEE">
            <w:pPr>
              <w:spacing w:before="0"/>
              <w:jc w:val="center"/>
              <w:cnfStyle w:val="000000000000"/>
              <w:rPr>
                <w:bCs/>
                <w:color w:val="990033"/>
                <w:sz w:val="18"/>
                <w:szCs w:val="18"/>
              </w:rPr>
            </w:pPr>
            <w:r w:rsidRPr="00C5494E">
              <w:rPr>
                <w:bCs/>
                <w:color w:val="990033"/>
                <w:sz w:val="18"/>
                <w:szCs w:val="18"/>
              </w:rPr>
              <w:t>Yes</w:t>
            </w:r>
          </w:p>
        </w:tc>
        <w:tc>
          <w:tcPr>
            <w:tcW w:w="985" w:type="dxa"/>
            <w:tcBorders>
              <w:top w:val="nil"/>
              <w:left w:val="single" w:sz="8" w:space="0" w:color="990033"/>
              <w:right w:val="single" w:sz="8" w:space="0" w:color="990033"/>
            </w:tcBorders>
            <w:vAlign w:val="center"/>
          </w:tcPr>
          <w:p w:rsidR="00A71DEE" w:rsidRPr="00C5494E" w:rsidRDefault="00A71DEE" w:rsidP="00A71DEE">
            <w:pPr>
              <w:spacing w:before="0"/>
              <w:jc w:val="center"/>
              <w:cnfStyle w:val="000000000000"/>
              <w:rPr>
                <w:bCs/>
                <w:color w:val="990033"/>
                <w:sz w:val="18"/>
                <w:szCs w:val="18"/>
              </w:rPr>
            </w:pPr>
            <w:r w:rsidRPr="00C5494E">
              <w:rPr>
                <w:bCs/>
                <w:color w:val="990033"/>
                <w:sz w:val="18"/>
                <w:szCs w:val="18"/>
              </w:rPr>
              <w:t>Yes</w:t>
            </w:r>
          </w:p>
        </w:tc>
        <w:tc>
          <w:tcPr>
            <w:tcW w:w="1125" w:type="dxa"/>
            <w:tcBorders>
              <w:top w:val="nil"/>
              <w:left w:val="single" w:sz="8" w:space="0" w:color="990033"/>
              <w:right w:val="single" w:sz="8" w:space="0" w:color="990033"/>
            </w:tcBorders>
            <w:vAlign w:val="center"/>
          </w:tcPr>
          <w:p w:rsidR="00A71DEE" w:rsidRPr="00C5494E" w:rsidRDefault="00A71DEE" w:rsidP="00A71DEE">
            <w:pPr>
              <w:spacing w:before="0"/>
              <w:jc w:val="center"/>
              <w:cnfStyle w:val="000000000000"/>
              <w:rPr>
                <w:bCs/>
                <w:color w:val="990033"/>
                <w:sz w:val="18"/>
                <w:szCs w:val="18"/>
              </w:rPr>
            </w:pPr>
            <w:r w:rsidRPr="00C5494E">
              <w:rPr>
                <w:bCs/>
                <w:color w:val="990033"/>
                <w:sz w:val="18"/>
                <w:szCs w:val="18"/>
              </w:rPr>
              <w:t>Binding decisions</w:t>
            </w:r>
          </w:p>
        </w:tc>
        <w:tc>
          <w:tcPr>
            <w:tcW w:w="1463" w:type="dxa"/>
            <w:tcBorders>
              <w:top w:val="nil"/>
              <w:left w:val="single" w:sz="8" w:space="0" w:color="990033"/>
              <w:right w:val="single" w:sz="8" w:space="0" w:color="990033"/>
            </w:tcBorders>
            <w:vAlign w:val="center"/>
          </w:tcPr>
          <w:p w:rsidR="00A71DEE" w:rsidRPr="00C5494E" w:rsidRDefault="00A71DEE" w:rsidP="00A71DEE">
            <w:pPr>
              <w:spacing w:before="0"/>
              <w:cnfStyle w:val="000000000000"/>
              <w:rPr>
                <w:bCs/>
                <w:color w:val="990033"/>
                <w:sz w:val="18"/>
                <w:szCs w:val="18"/>
              </w:rPr>
            </w:pPr>
            <w:r w:rsidRPr="00C5494E">
              <w:rPr>
                <w:bCs/>
                <w:color w:val="990033"/>
                <w:sz w:val="18"/>
                <w:szCs w:val="18"/>
              </w:rPr>
              <w:t>The judiciary</w:t>
            </w:r>
          </w:p>
        </w:tc>
      </w:tr>
      <w:tr w:rsidR="00A71DEE" w:rsidRPr="00C5494E" w:rsidTr="00A71DEE">
        <w:trPr>
          <w:cnfStyle w:val="000000100000"/>
          <w:jc w:val="center"/>
        </w:trPr>
        <w:tc>
          <w:tcPr>
            <w:cnfStyle w:val="001000000000"/>
            <w:tcW w:w="2387" w:type="dxa"/>
            <w:tcBorders>
              <w:top w:val="nil"/>
              <w:left w:val="single" w:sz="8" w:space="0" w:color="990033"/>
              <w:bottom w:val="nil"/>
              <w:right w:val="single" w:sz="8" w:space="0" w:color="990033"/>
            </w:tcBorders>
            <w:vAlign w:val="center"/>
          </w:tcPr>
          <w:p w:rsidR="00A71DEE" w:rsidRPr="00C5494E" w:rsidRDefault="00A71DEE" w:rsidP="00A71DEE">
            <w:pPr>
              <w:spacing w:before="40" w:after="40"/>
              <w:jc w:val="left"/>
              <w:rPr>
                <w:bCs w:val="0"/>
                <w:color w:val="990033"/>
                <w:sz w:val="20"/>
              </w:rPr>
            </w:pPr>
            <w:r w:rsidRPr="00C5494E">
              <w:rPr>
                <w:bCs w:val="0"/>
                <w:color w:val="990033"/>
                <w:sz w:val="20"/>
              </w:rPr>
              <w:t xml:space="preserve">Korea </w:t>
            </w:r>
            <w:r w:rsidR="00527AA9" w:rsidRPr="00C5494E">
              <w:rPr>
                <w:bCs w:val="0"/>
                <w:color w:val="990033"/>
                <w:sz w:val="20"/>
              </w:rPr>
              <w:t>(</w:t>
            </w:r>
            <w:r w:rsidRPr="00C5494E">
              <w:rPr>
                <w:bCs w:val="0"/>
                <w:color w:val="990033"/>
                <w:sz w:val="20"/>
              </w:rPr>
              <w:t>Rep.</w:t>
            </w:r>
            <w:r w:rsidR="00527AA9" w:rsidRPr="00C5494E">
              <w:rPr>
                <w:bCs w:val="0"/>
                <w:color w:val="990033"/>
                <w:sz w:val="20"/>
              </w:rPr>
              <w:t>)</w:t>
            </w:r>
            <w:r w:rsidRPr="00C5494E">
              <w:rPr>
                <w:bCs w:val="0"/>
                <w:color w:val="990033"/>
                <w:sz w:val="20"/>
              </w:rPr>
              <w:t xml:space="preserve"> (KCC)</w:t>
            </w:r>
          </w:p>
        </w:tc>
        <w:tc>
          <w:tcPr>
            <w:tcW w:w="1050" w:type="dxa"/>
            <w:tcBorders>
              <w:left w:val="single" w:sz="8" w:space="0" w:color="990033"/>
              <w:bottom w:val="nil"/>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1997</w:t>
            </w:r>
          </w:p>
        </w:tc>
        <w:tc>
          <w:tcPr>
            <w:tcW w:w="1140" w:type="dxa"/>
            <w:tcBorders>
              <w:left w:val="single" w:sz="8" w:space="0" w:color="990033"/>
              <w:bottom w:val="nil"/>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Yes</w:t>
            </w:r>
          </w:p>
        </w:tc>
        <w:tc>
          <w:tcPr>
            <w:tcW w:w="1396" w:type="dxa"/>
            <w:tcBorders>
              <w:left w:val="single" w:sz="8" w:space="0" w:color="990033"/>
              <w:bottom w:val="nil"/>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NA</w:t>
            </w:r>
          </w:p>
        </w:tc>
        <w:tc>
          <w:tcPr>
            <w:tcW w:w="985" w:type="dxa"/>
            <w:tcBorders>
              <w:left w:val="single" w:sz="8" w:space="0" w:color="990033"/>
              <w:bottom w:val="nil"/>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Yes</w:t>
            </w:r>
          </w:p>
        </w:tc>
        <w:tc>
          <w:tcPr>
            <w:tcW w:w="1125" w:type="dxa"/>
            <w:tcBorders>
              <w:left w:val="single" w:sz="8" w:space="0" w:color="990033"/>
              <w:bottom w:val="nil"/>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Courts/ litigation</w:t>
            </w:r>
          </w:p>
        </w:tc>
        <w:tc>
          <w:tcPr>
            <w:tcW w:w="1463" w:type="dxa"/>
            <w:tcBorders>
              <w:left w:val="single" w:sz="8" w:space="0" w:color="990033"/>
              <w:bottom w:val="nil"/>
              <w:right w:val="single" w:sz="8" w:space="0" w:color="990033"/>
            </w:tcBorders>
            <w:vAlign w:val="center"/>
          </w:tcPr>
          <w:p w:rsidR="00A71DEE" w:rsidRPr="00C5494E" w:rsidRDefault="00A71DEE" w:rsidP="00A71DEE">
            <w:pPr>
              <w:spacing w:before="0"/>
              <w:cnfStyle w:val="000000100000"/>
              <w:rPr>
                <w:bCs/>
                <w:color w:val="990033"/>
                <w:sz w:val="18"/>
                <w:szCs w:val="18"/>
              </w:rPr>
            </w:pPr>
            <w:r w:rsidRPr="00C5494E">
              <w:rPr>
                <w:bCs/>
                <w:color w:val="990033"/>
                <w:sz w:val="18"/>
                <w:szCs w:val="18"/>
              </w:rPr>
              <w:t>The judiciary</w:t>
            </w:r>
          </w:p>
        </w:tc>
      </w:tr>
      <w:tr w:rsidR="00A71DEE" w:rsidRPr="00C5494E" w:rsidTr="00527AA9">
        <w:trPr>
          <w:jc w:val="center"/>
        </w:trPr>
        <w:tc>
          <w:tcPr>
            <w:cnfStyle w:val="001000000000"/>
            <w:tcW w:w="2387" w:type="dxa"/>
            <w:tcBorders>
              <w:top w:val="nil"/>
              <w:left w:val="single" w:sz="8" w:space="0" w:color="990033"/>
              <w:bottom w:val="nil"/>
              <w:right w:val="single" w:sz="8" w:space="0" w:color="990033"/>
            </w:tcBorders>
            <w:vAlign w:val="center"/>
          </w:tcPr>
          <w:p w:rsidR="00A71DEE" w:rsidRPr="00C5494E" w:rsidRDefault="00A71DEE" w:rsidP="00A71DEE">
            <w:pPr>
              <w:spacing w:before="40" w:after="40"/>
              <w:jc w:val="left"/>
              <w:rPr>
                <w:bCs w:val="0"/>
                <w:color w:val="990033"/>
                <w:sz w:val="20"/>
              </w:rPr>
            </w:pPr>
            <w:r w:rsidRPr="00C5494E">
              <w:rPr>
                <w:bCs w:val="0"/>
                <w:color w:val="990033"/>
                <w:sz w:val="20"/>
              </w:rPr>
              <w:t>United Kingdom (</w:t>
            </w:r>
            <w:proofErr w:type="spellStart"/>
            <w:r w:rsidRPr="00C5494E">
              <w:rPr>
                <w:bCs w:val="0"/>
                <w:color w:val="990033"/>
                <w:sz w:val="20"/>
              </w:rPr>
              <w:t>Ofcom</w:t>
            </w:r>
            <w:proofErr w:type="spellEnd"/>
            <w:r w:rsidRPr="00C5494E">
              <w:rPr>
                <w:bCs w:val="0"/>
                <w:color w:val="990033"/>
                <w:sz w:val="20"/>
              </w:rPr>
              <w:t>)</w:t>
            </w:r>
          </w:p>
        </w:tc>
        <w:tc>
          <w:tcPr>
            <w:tcW w:w="1050" w:type="dxa"/>
            <w:tcBorders>
              <w:top w:val="nil"/>
              <w:left w:val="single" w:sz="8" w:space="0" w:color="990033"/>
              <w:bottom w:val="nil"/>
              <w:right w:val="single" w:sz="8" w:space="0" w:color="990033"/>
            </w:tcBorders>
            <w:vAlign w:val="center"/>
          </w:tcPr>
          <w:p w:rsidR="00A71DEE" w:rsidRPr="00C5494E" w:rsidRDefault="00A71DEE" w:rsidP="00A71DEE">
            <w:pPr>
              <w:spacing w:before="0"/>
              <w:jc w:val="center"/>
              <w:cnfStyle w:val="000000000000"/>
              <w:rPr>
                <w:bCs/>
                <w:color w:val="990033"/>
                <w:sz w:val="18"/>
                <w:szCs w:val="18"/>
              </w:rPr>
            </w:pPr>
            <w:r w:rsidRPr="00C5494E">
              <w:rPr>
                <w:bCs/>
                <w:color w:val="990033"/>
                <w:sz w:val="18"/>
                <w:szCs w:val="18"/>
              </w:rPr>
              <w:t>2002</w:t>
            </w:r>
          </w:p>
        </w:tc>
        <w:tc>
          <w:tcPr>
            <w:tcW w:w="1140" w:type="dxa"/>
            <w:tcBorders>
              <w:top w:val="nil"/>
              <w:left w:val="single" w:sz="8" w:space="0" w:color="990033"/>
              <w:bottom w:val="nil"/>
              <w:right w:val="single" w:sz="8" w:space="0" w:color="990033"/>
            </w:tcBorders>
            <w:vAlign w:val="center"/>
          </w:tcPr>
          <w:p w:rsidR="00A71DEE" w:rsidRPr="00C5494E" w:rsidRDefault="00A71DEE" w:rsidP="00A71DEE">
            <w:pPr>
              <w:spacing w:before="0"/>
              <w:jc w:val="center"/>
              <w:cnfStyle w:val="000000000000"/>
              <w:rPr>
                <w:bCs/>
                <w:color w:val="990033"/>
                <w:sz w:val="18"/>
                <w:szCs w:val="18"/>
              </w:rPr>
            </w:pPr>
            <w:r w:rsidRPr="00C5494E">
              <w:rPr>
                <w:bCs/>
                <w:color w:val="990033"/>
                <w:sz w:val="18"/>
                <w:szCs w:val="18"/>
              </w:rPr>
              <w:t>Yes</w:t>
            </w:r>
          </w:p>
        </w:tc>
        <w:tc>
          <w:tcPr>
            <w:tcW w:w="1396" w:type="dxa"/>
            <w:tcBorders>
              <w:top w:val="nil"/>
              <w:left w:val="single" w:sz="8" w:space="0" w:color="990033"/>
              <w:bottom w:val="nil"/>
              <w:right w:val="single" w:sz="8" w:space="0" w:color="990033"/>
            </w:tcBorders>
            <w:vAlign w:val="center"/>
          </w:tcPr>
          <w:p w:rsidR="00A71DEE" w:rsidRPr="00C5494E" w:rsidRDefault="00A71DEE" w:rsidP="00A71DEE">
            <w:pPr>
              <w:spacing w:before="0"/>
              <w:jc w:val="center"/>
              <w:cnfStyle w:val="000000000000"/>
              <w:rPr>
                <w:bCs/>
                <w:color w:val="990033"/>
                <w:sz w:val="18"/>
                <w:szCs w:val="18"/>
              </w:rPr>
            </w:pPr>
            <w:r w:rsidRPr="00C5494E">
              <w:rPr>
                <w:bCs/>
                <w:color w:val="990033"/>
                <w:sz w:val="18"/>
                <w:szCs w:val="18"/>
              </w:rPr>
              <w:t>Yes</w:t>
            </w:r>
          </w:p>
        </w:tc>
        <w:tc>
          <w:tcPr>
            <w:tcW w:w="985" w:type="dxa"/>
            <w:tcBorders>
              <w:top w:val="nil"/>
              <w:left w:val="single" w:sz="8" w:space="0" w:color="990033"/>
              <w:bottom w:val="nil"/>
              <w:right w:val="single" w:sz="8" w:space="0" w:color="990033"/>
            </w:tcBorders>
            <w:vAlign w:val="center"/>
          </w:tcPr>
          <w:p w:rsidR="00A71DEE" w:rsidRPr="00C5494E" w:rsidRDefault="00A71DEE" w:rsidP="00A71DEE">
            <w:pPr>
              <w:spacing w:before="0"/>
              <w:jc w:val="center"/>
              <w:cnfStyle w:val="000000000000"/>
              <w:rPr>
                <w:bCs/>
                <w:color w:val="990033"/>
                <w:sz w:val="18"/>
                <w:szCs w:val="18"/>
              </w:rPr>
            </w:pPr>
            <w:r w:rsidRPr="00C5494E">
              <w:rPr>
                <w:bCs/>
                <w:color w:val="990033"/>
                <w:sz w:val="18"/>
                <w:szCs w:val="18"/>
              </w:rPr>
              <w:t>Yes</w:t>
            </w:r>
          </w:p>
        </w:tc>
        <w:tc>
          <w:tcPr>
            <w:tcW w:w="1125" w:type="dxa"/>
            <w:tcBorders>
              <w:top w:val="nil"/>
              <w:left w:val="single" w:sz="8" w:space="0" w:color="990033"/>
              <w:bottom w:val="nil"/>
              <w:right w:val="single" w:sz="8" w:space="0" w:color="990033"/>
            </w:tcBorders>
            <w:vAlign w:val="center"/>
          </w:tcPr>
          <w:p w:rsidR="00A71DEE" w:rsidRPr="00C5494E" w:rsidRDefault="00A71DEE" w:rsidP="00A71DEE">
            <w:pPr>
              <w:spacing w:before="0"/>
              <w:jc w:val="center"/>
              <w:cnfStyle w:val="000000000000"/>
              <w:rPr>
                <w:bCs/>
                <w:color w:val="990033"/>
                <w:sz w:val="18"/>
                <w:szCs w:val="18"/>
              </w:rPr>
            </w:pPr>
            <w:r w:rsidRPr="00C5494E">
              <w:rPr>
                <w:bCs/>
                <w:color w:val="990033"/>
                <w:sz w:val="18"/>
                <w:szCs w:val="18"/>
              </w:rPr>
              <w:t>Yes</w:t>
            </w:r>
          </w:p>
        </w:tc>
        <w:tc>
          <w:tcPr>
            <w:tcW w:w="1463" w:type="dxa"/>
            <w:tcBorders>
              <w:top w:val="nil"/>
              <w:left w:val="single" w:sz="8" w:space="0" w:color="990033"/>
              <w:bottom w:val="nil"/>
              <w:right w:val="single" w:sz="8" w:space="0" w:color="990033"/>
            </w:tcBorders>
            <w:vAlign w:val="center"/>
          </w:tcPr>
          <w:p w:rsidR="00A71DEE" w:rsidRPr="00C5494E" w:rsidRDefault="00A71DEE" w:rsidP="00A71DEE">
            <w:pPr>
              <w:spacing w:before="0"/>
              <w:cnfStyle w:val="000000000000"/>
              <w:rPr>
                <w:bCs/>
                <w:color w:val="990033"/>
                <w:sz w:val="18"/>
                <w:szCs w:val="18"/>
              </w:rPr>
            </w:pPr>
            <w:r w:rsidRPr="00C5494E">
              <w:rPr>
                <w:bCs/>
                <w:color w:val="990033"/>
                <w:sz w:val="18"/>
                <w:szCs w:val="18"/>
              </w:rPr>
              <w:t>The judiciary</w:t>
            </w:r>
          </w:p>
        </w:tc>
      </w:tr>
      <w:tr w:rsidR="00A71DEE" w:rsidRPr="00C5494E" w:rsidTr="00527AA9">
        <w:trPr>
          <w:cnfStyle w:val="000000100000"/>
          <w:jc w:val="center"/>
        </w:trPr>
        <w:tc>
          <w:tcPr>
            <w:cnfStyle w:val="001000000000"/>
            <w:tcW w:w="2387" w:type="dxa"/>
            <w:tcBorders>
              <w:top w:val="nil"/>
              <w:left w:val="single" w:sz="8" w:space="0" w:color="990033"/>
              <w:bottom w:val="single" w:sz="8" w:space="0" w:color="990033"/>
              <w:right w:val="single" w:sz="8" w:space="0" w:color="990033"/>
            </w:tcBorders>
            <w:vAlign w:val="center"/>
          </w:tcPr>
          <w:p w:rsidR="00A71DEE" w:rsidRPr="00C5494E" w:rsidRDefault="00A71DEE" w:rsidP="00A71DEE">
            <w:pPr>
              <w:spacing w:before="40" w:after="40"/>
              <w:jc w:val="left"/>
              <w:rPr>
                <w:bCs w:val="0"/>
                <w:color w:val="990033"/>
                <w:sz w:val="20"/>
              </w:rPr>
            </w:pPr>
            <w:r w:rsidRPr="00C5494E">
              <w:rPr>
                <w:bCs w:val="0"/>
                <w:color w:val="990033"/>
                <w:sz w:val="20"/>
              </w:rPr>
              <w:t>Australia (ACMA)</w:t>
            </w:r>
          </w:p>
        </w:tc>
        <w:tc>
          <w:tcPr>
            <w:tcW w:w="1050" w:type="dxa"/>
            <w:tcBorders>
              <w:top w:val="nil"/>
              <w:left w:val="single" w:sz="8" w:space="0" w:color="990033"/>
              <w:bottom w:val="single" w:sz="8" w:space="0" w:color="990033"/>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2005</w:t>
            </w:r>
          </w:p>
        </w:tc>
        <w:tc>
          <w:tcPr>
            <w:tcW w:w="1140" w:type="dxa"/>
            <w:tcBorders>
              <w:top w:val="nil"/>
              <w:left w:val="single" w:sz="8" w:space="0" w:color="990033"/>
              <w:bottom w:val="single" w:sz="8" w:space="0" w:color="990033"/>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Yes</w:t>
            </w:r>
          </w:p>
        </w:tc>
        <w:tc>
          <w:tcPr>
            <w:tcW w:w="1396" w:type="dxa"/>
            <w:tcBorders>
              <w:top w:val="nil"/>
              <w:left w:val="single" w:sz="8" w:space="0" w:color="990033"/>
              <w:bottom w:val="single" w:sz="8" w:space="0" w:color="990033"/>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Yes</w:t>
            </w:r>
          </w:p>
        </w:tc>
        <w:tc>
          <w:tcPr>
            <w:tcW w:w="985" w:type="dxa"/>
            <w:tcBorders>
              <w:top w:val="nil"/>
              <w:left w:val="single" w:sz="8" w:space="0" w:color="990033"/>
              <w:bottom w:val="single" w:sz="8" w:space="0" w:color="990033"/>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Yes</w:t>
            </w:r>
          </w:p>
        </w:tc>
        <w:tc>
          <w:tcPr>
            <w:tcW w:w="1125" w:type="dxa"/>
            <w:tcBorders>
              <w:top w:val="nil"/>
              <w:left w:val="single" w:sz="8" w:space="0" w:color="990033"/>
              <w:bottom w:val="single" w:sz="8" w:space="0" w:color="990033"/>
              <w:right w:val="single" w:sz="8" w:space="0" w:color="990033"/>
            </w:tcBorders>
            <w:vAlign w:val="center"/>
          </w:tcPr>
          <w:p w:rsidR="00A71DEE" w:rsidRPr="00C5494E" w:rsidRDefault="00A71DEE" w:rsidP="00A71DEE">
            <w:pPr>
              <w:spacing w:before="0"/>
              <w:jc w:val="center"/>
              <w:cnfStyle w:val="000000100000"/>
              <w:rPr>
                <w:bCs/>
                <w:color w:val="990033"/>
                <w:sz w:val="18"/>
                <w:szCs w:val="18"/>
              </w:rPr>
            </w:pPr>
            <w:r w:rsidRPr="00C5494E">
              <w:rPr>
                <w:bCs/>
                <w:color w:val="990033"/>
                <w:sz w:val="18"/>
                <w:szCs w:val="18"/>
              </w:rPr>
              <w:t>Yes</w:t>
            </w:r>
          </w:p>
        </w:tc>
        <w:tc>
          <w:tcPr>
            <w:tcW w:w="1463" w:type="dxa"/>
            <w:tcBorders>
              <w:top w:val="nil"/>
              <w:left w:val="single" w:sz="8" w:space="0" w:color="990033"/>
              <w:bottom w:val="single" w:sz="8" w:space="0" w:color="990033"/>
              <w:right w:val="single" w:sz="8" w:space="0" w:color="990033"/>
            </w:tcBorders>
            <w:vAlign w:val="center"/>
          </w:tcPr>
          <w:p w:rsidR="00A71DEE" w:rsidRPr="00C5494E" w:rsidRDefault="00A71DEE" w:rsidP="00F166B1">
            <w:pPr>
              <w:spacing w:before="0"/>
              <w:jc w:val="left"/>
              <w:cnfStyle w:val="000000100000"/>
              <w:rPr>
                <w:bCs/>
                <w:color w:val="990033"/>
                <w:sz w:val="18"/>
                <w:szCs w:val="18"/>
              </w:rPr>
            </w:pPr>
            <w:r w:rsidRPr="00C5494E">
              <w:rPr>
                <w:bCs/>
                <w:color w:val="990033"/>
                <w:sz w:val="18"/>
                <w:szCs w:val="18"/>
              </w:rPr>
              <w:t>The judiciary, Administrative Appeals Tribunal</w:t>
            </w:r>
          </w:p>
        </w:tc>
      </w:tr>
      <w:tr w:rsidR="00527AA9" w:rsidRPr="00C5494E" w:rsidTr="00527AA9">
        <w:trPr>
          <w:jc w:val="center"/>
        </w:trPr>
        <w:tc>
          <w:tcPr>
            <w:cnfStyle w:val="001000000000"/>
            <w:tcW w:w="9546" w:type="dxa"/>
            <w:gridSpan w:val="7"/>
            <w:tcBorders>
              <w:top w:val="single" w:sz="8" w:space="0" w:color="990033"/>
              <w:left w:val="single" w:sz="8" w:space="0" w:color="990033"/>
              <w:bottom w:val="single" w:sz="8" w:space="0" w:color="990033"/>
              <w:right w:val="single" w:sz="8" w:space="0" w:color="990033"/>
            </w:tcBorders>
            <w:vAlign w:val="center"/>
          </w:tcPr>
          <w:p w:rsidR="00527AA9" w:rsidRPr="00C5494E" w:rsidRDefault="00527AA9" w:rsidP="00527AA9">
            <w:pPr>
              <w:pStyle w:val="Tabletext"/>
              <w:rPr>
                <w:b w:val="0"/>
                <w:bCs w:val="0"/>
                <w:sz w:val="18"/>
                <w:szCs w:val="18"/>
              </w:rPr>
            </w:pPr>
            <w:r w:rsidRPr="00C5494E">
              <w:rPr>
                <w:b w:val="0"/>
                <w:bCs w:val="0"/>
                <w:i/>
                <w:iCs/>
              </w:rPr>
              <w:t>Source</w:t>
            </w:r>
            <w:r w:rsidRPr="00C5494E">
              <w:rPr>
                <w:b w:val="0"/>
                <w:bCs w:val="0"/>
              </w:rPr>
              <w:t>: ITU Telecommunication Regulatory Survey.</w:t>
            </w:r>
          </w:p>
        </w:tc>
      </w:tr>
    </w:tbl>
    <w:p w:rsidR="00A71DEE" w:rsidRPr="00C5494E" w:rsidRDefault="00A71DEE" w:rsidP="00A71DEE">
      <w:pPr>
        <w:pStyle w:val="Heading2"/>
      </w:pPr>
      <w:bookmarkStart w:id="38" w:name="_Toc273517400"/>
      <w:bookmarkStart w:id="39" w:name="_Toc273623625"/>
      <w:r w:rsidRPr="00C5494E">
        <w:t>4.2</w:t>
      </w:r>
      <w:r w:rsidRPr="00C5494E">
        <w:tab/>
        <w:t>FIXED NETWORK INFRASTRUCTURE</w:t>
      </w:r>
      <w:bookmarkEnd w:id="38"/>
      <w:bookmarkEnd w:id="39"/>
      <w:r w:rsidRPr="00C5494E">
        <w:t xml:space="preserve"> </w:t>
      </w:r>
    </w:p>
    <w:p w:rsidR="00A71DEE" w:rsidRPr="00C5494E" w:rsidRDefault="00F166B1" w:rsidP="00F166B1">
      <w:r w:rsidRPr="00C5494E">
        <w:rPr>
          <w:bCs/>
        </w:rPr>
        <w:t xml:space="preserve">Historically, the </w:t>
      </w:r>
      <w:r w:rsidR="00527AA9" w:rsidRPr="00C5494E">
        <w:rPr>
          <w:bCs/>
        </w:rPr>
        <w:t>Public Switched Telephone Network (</w:t>
      </w:r>
      <w:r w:rsidRPr="00C5494E">
        <w:rPr>
          <w:bCs/>
        </w:rPr>
        <w:t>PSTN</w:t>
      </w:r>
      <w:r w:rsidR="00527AA9" w:rsidRPr="00C5494E">
        <w:rPr>
          <w:bCs/>
        </w:rPr>
        <w:t>)</w:t>
      </w:r>
      <w:r w:rsidRPr="00C5494E">
        <w:rPr>
          <w:bCs/>
          <w:vertAlign w:val="superscript"/>
        </w:rPr>
        <w:footnoteReference w:id="38"/>
      </w:r>
      <w:r w:rsidRPr="00C5494E">
        <w:rPr>
          <w:bCs/>
        </w:rPr>
        <w:t xml:space="preserve"> has played the role of being the main telecommunications network, providing fixed telephony services through a copper-based network. These fixed telephony services have been in many cases included in universal service obligations. Thus the PSTN has benefited in many countries from universal service regulation, and used universal service funds to expand the network. This is especially relevant in the case of the access network (local loop), which is the most difficult part to replicate in wired telecommunications networks.</w:t>
      </w:r>
    </w:p>
    <w:p w:rsidR="00A71DEE" w:rsidRPr="00C5494E" w:rsidRDefault="00F166B1" w:rsidP="00F166B1">
      <w:r w:rsidRPr="00C5494E">
        <w:rPr>
          <w:bCs/>
        </w:rPr>
        <w:lastRenderedPageBreak/>
        <w:t>Today fixed telephone networks have significantly changed, from the original all copper-based analog</w:t>
      </w:r>
      <w:r w:rsidR="00834B63">
        <w:rPr>
          <w:bCs/>
        </w:rPr>
        <w:t>ue</w:t>
      </w:r>
      <w:r w:rsidRPr="00C5494E">
        <w:rPr>
          <w:bCs/>
        </w:rPr>
        <w:t xml:space="preserve"> networks to IP-convergent networks, mostly digital, and with core fibre-optic technology. Convergence to all-IP networks and the development of xDSL technologies have allowed fixed telephone networks to provide cost-efficient Internet access. As a result, xDSL has become the most common technology for fixed broadband Internet access: by the end of 2009, 65 </w:t>
      </w:r>
      <w:r w:rsidR="000F4A58" w:rsidRPr="00C5494E">
        <w:rPr>
          <w:bCs/>
        </w:rPr>
        <w:t>per cent</w:t>
      </w:r>
      <w:r w:rsidRPr="00C5494E">
        <w:rPr>
          <w:bCs/>
        </w:rPr>
        <w:t xml:space="preserve"> of total fixed broadband subscriptions worldwide used xDSL technologies, according to ITU (2010b).</w:t>
      </w:r>
    </w:p>
    <w:p w:rsidR="00A71DEE" w:rsidRPr="00C5494E" w:rsidRDefault="00F166B1" w:rsidP="00F166B1">
      <w:r w:rsidRPr="00C5494E">
        <w:rPr>
          <w:bCs/>
        </w:rPr>
        <w:t>In those areas where there is a fixed telephone network in place, it may be the most straightforward means to provide fixed broadband Internet access by using xDSL technologies. This entails in most instances only moderate investment (DSLAMs, backhaul capacity, DSL modems, etc.), and does not require the deployment of a completely new infrastructure.</w:t>
      </w:r>
    </w:p>
    <w:p w:rsidR="00A71DEE" w:rsidRPr="00C5494E" w:rsidRDefault="00A71DEE" w:rsidP="00A71DEE">
      <w:r w:rsidRPr="00C5494E">
        <w:t xml:space="preserve">Likewise, those areas with cable access networks (offering CATV and/or fixed telephony) can also benefit from the infrastructure in place to provide broadband Internet access. This is possible by upgrading cable networks to support DOCSIS, which requires also a moderate investment when compared to that of deploying new infrastructure. </w:t>
      </w:r>
    </w:p>
    <w:p w:rsidR="00A71DEE" w:rsidRPr="00C5494E" w:rsidRDefault="00F166B1" w:rsidP="00F166B1">
      <w:r w:rsidRPr="00C5494E">
        <w:rPr>
          <w:bCs/>
        </w:rPr>
        <w:t xml:space="preserve">Although the driver of cable network development has been historically CATV, the potential impact of upgrading CATV networks to provide fixed broadband access is not analyzed in this report due to lack of data about CATV subscriptions. Thus, the </w:t>
      </w:r>
      <w:r w:rsidR="00527AA9" w:rsidRPr="00C5494E">
        <w:rPr>
          <w:bCs/>
        </w:rPr>
        <w:t>analyzis</w:t>
      </w:r>
      <w:r w:rsidRPr="00C5494E">
        <w:rPr>
          <w:bCs/>
        </w:rPr>
        <w:t xml:space="preserve"> is limited to the potential benefits of upgrading fixed telephone networks (which include both cable and xDSL-based connections) to provide fixed broadband access.</w:t>
      </w:r>
    </w:p>
    <w:p w:rsidR="00A71DEE" w:rsidRPr="00C5494E" w:rsidRDefault="00F166B1" w:rsidP="00F166B1">
      <w:r w:rsidRPr="00C5494E">
        <w:rPr>
          <w:bCs/>
        </w:rPr>
        <w:t xml:space="preserve">Chart 4.3 compares fixed telephone penetration and fixed broadband penetration in ABBMN countries. The chart also displays the percentage of fixed broadband subscriptions to fixed telephone lines. This percentage gives a rough estimate of the actual use of fixed telephone networks to provide fixed broadband Internet access. Data show that </w:t>
      </w:r>
      <w:smartTag w:uri="urn:schemas-microsoft-com:office:smarttags" w:element="place">
        <w:smartTag w:uri="urn:schemas-microsoft-com:office:smarttags" w:element="country-region">
          <w:r w:rsidRPr="00C5494E">
            <w:rPr>
              <w:bCs/>
            </w:rPr>
            <w:t>Maldives</w:t>
          </w:r>
        </w:smartTag>
      </w:smartTag>
      <w:r w:rsidRPr="00C5494E">
        <w:rPr>
          <w:bCs/>
        </w:rPr>
        <w:t xml:space="preserve"> is the only ABBMN country where a significant share of fixed telephone access is used to provide fixed broadband (33.8 </w:t>
      </w:r>
      <w:r w:rsidR="000F4A58" w:rsidRPr="00C5494E">
        <w:rPr>
          <w:bCs/>
        </w:rPr>
        <w:t>per cent</w:t>
      </w:r>
      <w:r w:rsidRPr="00C5494E">
        <w:rPr>
          <w:bCs/>
        </w:rPr>
        <w:t>). In the remaining ABBMN countries</w:t>
      </w:r>
      <w:r w:rsidR="00527AA9" w:rsidRPr="00C5494E">
        <w:rPr>
          <w:bCs/>
        </w:rPr>
        <w:t>,</w:t>
      </w:r>
      <w:r w:rsidRPr="00C5494E">
        <w:rPr>
          <w:bCs/>
        </w:rPr>
        <w:t xml:space="preserve"> there is still ample room for broadband deployment through xDSL access technologies and/or cable. For instance, in </w:t>
      </w:r>
      <w:smartTag w:uri="urn:schemas-microsoft-com:office:smarttags" w:element="place">
        <w:smartTag w:uri="urn:schemas-microsoft-com:office:smarttags" w:element="country-region">
          <w:r w:rsidRPr="00C5494E">
            <w:rPr>
              <w:bCs/>
            </w:rPr>
            <w:t>Bhutan</w:t>
          </w:r>
        </w:smartTag>
      </w:smartTag>
      <w:r w:rsidRPr="00C5494E">
        <w:rPr>
          <w:bCs/>
        </w:rPr>
        <w:t xml:space="preserve"> 3.8 </w:t>
      </w:r>
      <w:r w:rsidR="000F4A58" w:rsidRPr="00C5494E">
        <w:rPr>
          <w:bCs/>
        </w:rPr>
        <w:t>per cent</w:t>
      </w:r>
      <w:r w:rsidRPr="00C5494E">
        <w:rPr>
          <w:bCs/>
        </w:rPr>
        <w:t xml:space="preserve"> of the population have a subscription to a fixed telephone line, but only 0.4 </w:t>
      </w:r>
      <w:r w:rsidR="000F4A58" w:rsidRPr="00C5494E">
        <w:rPr>
          <w:bCs/>
        </w:rPr>
        <w:t>per cent</w:t>
      </w:r>
      <w:r w:rsidRPr="00C5494E">
        <w:rPr>
          <w:bCs/>
        </w:rPr>
        <w:t xml:space="preserve"> have a fixed broadband connection using that same telephone access line.</w:t>
      </w:r>
    </w:p>
    <w:p w:rsidR="00011BA4" w:rsidRPr="00C5494E" w:rsidRDefault="00011BA4" w:rsidP="00011BA4">
      <w:r w:rsidRPr="00C5494E">
        <w:rPr>
          <w:bCs/>
        </w:rPr>
        <w:t xml:space="preserve">There are some details that need to be taken into account when assessing the viability of upgrading the current fixed telephone infrastructure to provide </w:t>
      </w:r>
      <w:proofErr w:type="spellStart"/>
      <w:r w:rsidRPr="00C5494E">
        <w:rPr>
          <w:bCs/>
        </w:rPr>
        <w:t>xDSL</w:t>
      </w:r>
      <w:proofErr w:type="spellEnd"/>
      <w:r w:rsidRPr="00C5494E">
        <w:rPr>
          <w:bCs/>
        </w:rPr>
        <w:t xml:space="preserve"> and/or cable broadband Internet access. For example, from a technical point of view, the length of the local loops may limit the speed of </w:t>
      </w:r>
      <w:proofErr w:type="spellStart"/>
      <w:r w:rsidRPr="00C5494E">
        <w:rPr>
          <w:bCs/>
        </w:rPr>
        <w:t>xDSL</w:t>
      </w:r>
      <w:proofErr w:type="spellEnd"/>
      <w:r w:rsidRPr="00C5494E">
        <w:rPr>
          <w:bCs/>
        </w:rPr>
        <w:t xml:space="preserve"> Internet access. From an economic point of view, demand will be crucial to build a strong business case. Demand will be to a large extent affected by the affordability of the service (see Section 4.4), as well as by the population covered by each exchange. Other factors may be also relevant, such as the e-literacy skills of the target population, the availability of PCs (see Section 4.3), and the local content available. There are several initiatives that can be taken to promote the improvement of these factors, such as the use of universal service funds to subsidize the demand for broadband Internet access, the launch of e-literacy programmes to provide the necessary skills to fully benefit from a broadband Internet connection, or the support to the creation of local content.</w:t>
      </w:r>
    </w:p>
    <w:p w:rsidR="00A71DEE" w:rsidRPr="00C5494E" w:rsidRDefault="00011BA4" w:rsidP="00011BA4">
      <w:r w:rsidRPr="00C5494E">
        <w:t>Chart 4.4 shows the ratio of fixed broadband subscriptions to fixed telephone lines in selected economies. It highlights that advanced economies in terms of fixed broadband penetration have a high proportion of fixed broadband subscriptions to fixed telephone lines. This roughly means that these economies are using to a large extent fixed telephone networks to provide also fixed broadband access. Nepal, Bangladesh, Afghanistan and Bhutan are in the lower end of Chart 4.4, which suggests that these countries could greatly improve fixed broadband penetration by providing data services at broadband speeds through their fixed telephone networks already in place. This would require conditioning the existing networks where necessary.</w:t>
      </w: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A71DEE" w:rsidRPr="00C5494E" w:rsidTr="00FB239F">
        <w:trPr>
          <w:jc w:val="center"/>
        </w:trPr>
        <w:tc>
          <w:tcPr>
            <w:tcW w:w="9424" w:type="dxa"/>
            <w:shd w:val="clear" w:color="auto" w:fill="D9D9D9" w:themeFill="background1" w:themeFillShade="D9"/>
          </w:tcPr>
          <w:p w:rsidR="00A71DEE" w:rsidRPr="00C5494E" w:rsidRDefault="00A71DEE" w:rsidP="00FB239F">
            <w:pPr>
              <w:pStyle w:val="FigureNoTitle"/>
              <w:keepNext/>
              <w:rPr>
                <w:lang w:val="en-GB"/>
              </w:rPr>
            </w:pPr>
            <w:r w:rsidRPr="00C5494E">
              <w:rPr>
                <w:lang w:val="en-GB"/>
              </w:rPr>
              <w:lastRenderedPageBreak/>
              <w:t>Chart 4.3: Fixed telephone and fixed broadband penetration in ABBMN countries, 2009</w:t>
            </w:r>
          </w:p>
          <w:p w:rsidR="00A71DEE" w:rsidRPr="00C5494E" w:rsidRDefault="00A71DEE" w:rsidP="00FB239F">
            <w:pPr>
              <w:pStyle w:val="Figure"/>
              <w:rPr>
                <w:lang w:val="en-GB"/>
              </w:rPr>
            </w:pPr>
            <w:r w:rsidRPr="00C5494E">
              <w:drawing>
                <wp:inline distT="0" distB="0" distL="0" distR="0">
                  <wp:extent cx="5600700" cy="3086100"/>
                  <wp:effectExtent l="0" t="0" r="0" b="0"/>
                  <wp:docPr id="10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duotone>
                              <a:schemeClr val="accent2">
                                <a:shade val="45000"/>
                                <a:satMod val="135000"/>
                              </a:schemeClr>
                              <a:prstClr val="white"/>
                            </a:duotone>
                          </a:blip>
                          <a:srcRect/>
                          <a:stretch>
                            <a:fillRect/>
                          </a:stretch>
                        </pic:blipFill>
                        <pic:spPr bwMode="auto">
                          <a:xfrm>
                            <a:off x="0" y="0"/>
                            <a:ext cx="5600700" cy="3086100"/>
                          </a:xfrm>
                          <a:prstGeom prst="rect">
                            <a:avLst/>
                          </a:prstGeom>
                          <a:noFill/>
                          <a:ln w="9525">
                            <a:noFill/>
                            <a:miter lim="800000"/>
                            <a:headEnd/>
                            <a:tailEnd/>
                          </a:ln>
                        </pic:spPr>
                      </pic:pic>
                    </a:graphicData>
                  </a:graphic>
                </wp:inline>
              </w:drawing>
            </w:r>
          </w:p>
          <w:p w:rsidR="00A71DEE" w:rsidRPr="00C5494E" w:rsidRDefault="00A71DEE" w:rsidP="00A71DEE">
            <w:pPr>
              <w:pStyle w:val="Figurelegend"/>
            </w:pPr>
            <w:r w:rsidRPr="00C5494E">
              <w:rPr>
                <w:i/>
                <w:iCs/>
              </w:rPr>
              <w:t>Source</w:t>
            </w:r>
            <w:r w:rsidRPr="00C5494E">
              <w:t>: ITU.</w:t>
            </w:r>
          </w:p>
        </w:tc>
      </w:tr>
    </w:tbl>
    <w:p w:rsidR="00A71DEE" w:rsidRPr="00C5494E" w:rsidRDefault="00A71DEE" w:rsidP="00A71DEE"/>
    <w:p w:rsidR="00A71DEE" w:rsidRPr="00C5494E" w:rsidRDefault="00A71DEE" w:rsidP="00A71DEE"/>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A71DEE" w:rsidRPr="00C5494E" w:rsidTr="00FB239F">
        <w:trPr>
          <w:jc w:val="center"/>
        </w:trPr>
        <w:tc>
          <w:tcPr>
            <w:tcW w:w="9424" w:type="dxa"/>
            <w:shd w:val="clear" w:color="auto" w:fill="D9D9D9" w:themeFill="background1" w:themeFillShade="D9"/>
          </w:tcPr>
          <w:p w:rsidR="00A71DEE" w:rsidRPr="00C5494E" w:rsidRDefault="00A71DEE" w:rsidP="00FB239F">
            <w:pPr>
              <w:pStyle w:val="FigureNoTitle"/>
              <w:keepNext/>
              <w:rPr>
                <w:lang w:val="en-GB"/>
              </w:rPr>
            </w:pPr>
            <w:r w:rsidRPr="00C5494E">
              <w:rPr>
                <w:lang w:val="en-GB"/>
              </w:rPr>
              <w:t>Chart 4.4: Percentage of fixed broadband subscriptions to total fixed telephone lines in selected countries, 2009</w:t>
            </w:r>
          </w:p>
          <w:p w:rsidR="00A71DEE" w:rsidRPr="00C5494E" w:rsidRDefault="00A71DEE" w:rsidP="00FB239F">
            <w:pPr>
              <w:pStyle w:val="Figure"/>
              <w:rPr>
                <w:lang w:val="en-GB"/>
              </w:rPr>
            </w:pPr>
            <w:r w:rsidRPr="00C5494E">
              <w:drawing>
                <wp:inline distT="0" distB="0" distL="0" distR="0">
                  <wp:extent cx="5600700" cy="3086100"/>
                  <wp:effectExtent l="0" t="0" r="0" b="0"/>
                  <wp:docPr id="10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duotone>
                              <a:schemeClr val="accent2">
                                <a:shade val="45000"/>
                                <a:satMod val="135000"/>
                              </a:schemeClr>
                              <a:prstClr val="white"/>
                            </a:duotone>
                          </a:blip>
                          <a:srcRect/>
                          <a:stretch>
                            <a:fillRect/>
                          </a:stretch>
                        </pic:blipFill>
                        <pic:spPr bwMode="auto">
                          <a:xfrm>
                            <a:off x="0" y="0"/>
                            <a:ext cx="5600700" cy="3086100"/>
                          </a:xfrm>
                          <a:prstGeom prst="rect">
                            <a:avLst/>
                          </a:prstGeom>
                          <a:noFill/>
                          <a:ln w="9525">
                            <a:noFill/>
                            <a:miter lim="800000"/>
                            <a:headEnd/>
                            <a:tailEnd/>
                          </a:ln>
                        </pic:spPr>
                      </pic:pic>
                    </a:graphicData>
                  </a:graphic>
                </wp:inline>
              </w:drawing>
            </w:r>
          </w:p>
          <w:p w:rsidR="00A71DEE" w:rsidRPr="00C5494E" w:rsidRDefault="00A71DEE" w:rsidP="00FB239F">
            <w:pPr>
              <w:pStyle w:val="Figurelegend"/>
            </w:pPr>
            <w:r w:rsidRPr="00C5494E">
              <w:rPr>
                <w:i/>
                <w:iCs/>
              </w:rPr>
              <w:t>Source</w:t>
            </w:r>
            <w:r w:rsidRPr="00C5494E">
              <w:t>: ITU.</w:t>
            </w:r>
          </w:p>
        </w:tc>
      </w:tr>
    </w:tbl>
    <w:p w:rsidR="00A71DEE" w:rsidRPr="00C5494E" w:rsidRDefault="00A71DEE">
      <w:pPr>
        <w:tabs>
          <w:tab w:val="clear" w:pos="794"/>
          <w:tab w:val="clear" w:pos="1191"/>
          <w:tab w:val="clear" w:pos="1588"/>
          <w:tab w:val="clear" w:pos="1985"/>
        </w:tabs>
        <w:overflowPunct/>
        <w:autoSpaceDE/>
        <w:autoSpaceDN/>
        <w:adjustRightInd/>
        <w:spacing w:before="0"/>
        <w:jc w:val="left"/>
        <w:textAlignment w:val="auto"/>
        <w:rPr>
          <w:b/>
          <w:color w:val="990033"/>
          <w:sz w:val="26"/>
        </w:rPr>
      </w:pPr>
      <w:bookmarkStart w:id="40" w:name="_Toc273517401"/>
    </w:p>
    <w:p w:rsidR="00A71DEE" w:rsidRPr="00C5494E" w:rsidRDefault="00A71DEE" w:rsidP="00A71DEE">
      <w:pPr>
        <w:pStyle w:val="Heading2"/>
      </w:pPr>
      <w:bookmarkStart w:id="41" w:name="_Toc273623627"/>
      <w:r w:rsidRPr="00C5494E">
        <w:lastRenderedPageBreak/>
        <w:t>4.3</w:t>
      </w:r>
      <w:r w:rsidRPr="00C5494E">
        <w:tab/>
        <w:t>PERSONAL COMPUTER PENETRATION</w:t>
      </w:r>
      <w:bookmarkEnd w:id="40"/>
      <w:bookmarkEnd w:id="41"/>
      <w:r w:rsidRPr="00C5494E">
        <w:t xml:space="preserve"> </w:t>
      </w:r>
    </w:p>
    <w:p w:rsidR="00A71DEE" w:rsidRPr="00C5494E" w:rsidRDefault="00F166B1" w:rsidP="00F166B1">
      <w:r w:rsidRPr="00C5494E">
        <w:rPr>
          <w:bCs/>
        </w:rPr>
        <w:t xml:space="preserve">Fixed and mobile broadband connections can only be of use to those who own or have access to a terminal device, such as a personal computer (PC) or a </w:t>
      </w:r>
      <w:proofErr w:type="spellStart"/>
      <w:r w:rsidRPr="00C5494E">
        <w:rPr>
          <w:bCs/>
        </w:rPr>
        <w:t>smartphone</w:t>
      </w:r>
      <w:proofErr w:type="spellEnd"/>
      <w:r w:rsidRPr="00C5494E">
        <w:rPr>
          <w:bCs/>
        </w:rPr>
        <w:t>, etc. The benefits of personal use of ICT devices have been acknowledged in the WSIS Plan of Action,</w:t>
      </w:r>
      <w:r w:rsidRPr="00C5494E">
        <w:rPr>
          <w:bCs/>
          <w:vertAlign w:val="superscript"/>
        </w:rPr>
        <w:footnoteReference w:id="39"/>
      </w:r>
      <w:r w:rsidRPr="00C5494E">
        <w:rPr>
          <w:bCs/>
        </w:rPr>
        <w:t xml:space="preserve"> and concretized in WSIS Target 10, which include the objective of “achieving 50 </w:t>
      </w:r>
      <w:r w:rsidR="000F4A58" w:rsidRPr="00C5494E">
        <w:rPr>
          <w:bCs/>
        </w:rPr>
        <w:t>per cent</w:t>
      </w:r>
      <w:r w:rsidRPr="00C5494E">
        <w:rPr>
          <w:bCs/>
        </w:rPr>
        <w:t xml:space="preserve"> personal ownership of ICT devices” by 2015.</w:t>
      </w:r>
    </w:p>
    <w:p w:rsidR="00A71DEE" w:rsidRPr="00C5494E" w:rsidRDefault="00A71DEE" w:rsidP="00A71DEE">
      <w:r w:rsidRPr="00C5494E">
        <w:t>In the case of mobile broadband, 3G technologies make broadband available to any subscriber who owns an enabled cell phone. However, the user experience of broadband may vary considerably depending on the device.</w:t>
      </w:r>
      <w:r w:rsidRPr="00C5494E">
        <w:rPr>
          <w:vertAlign w:val="superscript"/>
        </w:rPr>
        <w:footnoteReference w:id="40"/>
      </w:r>
      <w:r w:rsidRPr="00C5494E">
        <w:t xml:space="preserve"> Moreover, some particular mobile broadband connections (e.g. using </w:t>
      </w:r>
      <w:proofErr w:type="spellStart"/>
      <w:r w:rsidRPr="00C5494E">
        <w:t>datacards</w:t>
      </w:r>
      <w:proofErr w:type="spellEnd"/>
      <w:r w:rsidRPr="00C5494E">
        <w:t xml:space="preserve"> and dongles) require a computer. Additionally, some mobile phones can be used to supply broadband connectivity to computers through tethering. </w:t>
      </w:r>
    </w:p>
    <w:p w:rsidR="00A71DEE" w:rsidRPr="00C5494E" w:rsidRDefault="00A71DEE" w:rsidP="00A71DEE">
      <w:r w:rsidRPr="00C5494E">
        <w:t xml:space="preserve">Fixed broadband penetration and personal computer penetration are highly correlated. This relationship works in both directions: personal computers are a prerequisite to use a fixed broadband connection, and Internet access has become one of the main uses of personal computers. Furthermore, high personal computer penetration may be a relevant factor in assessing whether there is a solid business case for fixed broadband roll-out in a given area. </w:t>
      </w:r>
    </w:p>
    <w:p w:rsidR="00A71DEE" w:rsidRPr="00C5494E" w:rsidRDefault="00F166B1" w:rsidP="00F166B1">
      <w:r w:rsidRPr="00C5494E">
        <w:rPr>
          <w:bCs/>
        </w:rPr>
        <w:t xml:space="preserve">Chart 4.5 shows the ratio of households with Internet access to households with a personal computer in ABBMN countries. In 2008, </w:t>
      </w:r>
      <w:smartTag w:uri="urn:schemas-microsoft-com:office:smarttags" w:element="country-region">
        <w:r w:rsidRPr="00C5494E">
          <w:rPr>
            <w:bCs/>
          </w:rPr>
          <w:t>Bangladesh</w:t>
        </w:r>
      </w:smartTag>
      <w:r w:rsidRPr="00C5494E">
        <w:rPr>
          <w:bCs/>
        </w:rPr>
        <w:t xml:space="preserve">, </w:t>
      </w:r>
      <w:smartTag w:uri="urn:schemas-microsoft-com:office:smarttags" w:element="country-region">
        <w:r w:rsidRPr="00C5494E">
          <w:rPr>
            <w:bCs/>
          </w:rPr>
          <w:t>Afghanistan</w:t>
        </w:r>
      </w:smartTag>
      <w:r w:rsidRPr="00C5494E">
        <w:rPr>
          <w:bCs/>
        </w:rPr>
        <w:t xml:space="preserve">, and </w:t>
      </w:r>
      <w:smartTag w:uri="urn:schemas-microsoft-com:office:smarttags" w:element="place">
        <w:smartTag w:uri="urn:schemas-microsoft-com:office:smarttags" w:element="country-region">
          <w:r w:rsidRPr="00C5494E">
            <w:rPr>
              <w:bCs/>
            </w:rPr>
            <w:t>Bhutan</w:t>
          </w:r>
        </w:smartTag>
      </w:smartTag>
      <w:r w:rsidRPr="00C5494E">
        <w:rPr>
          <w:bCs/>
        </w:rPr>
        <w:t xml:space="preserve"> had a high ratio, which means that most households that had a personal computer had also an Internet connection. Taking into account that the percentage of households with a PC was nevertheless low in these three countries, this suggests that the lack of personal computers may be a major barrier for further Internet adoption, and therefore for broadband uptake.</w:t>
      </w:r>
    </w:p>
    <w:p w:rsidR="00A71DEE" w:rsidRPr="00C5494E" w:rsidRDefault="00A71DEE" w:rsidP="005C4BB4">
      <w:pPr>
        <w:spacing w:before="0"/>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A71DEE" w:rsidRPr="00C5494E" w:rsidTr="00FB239F">
        <w:trPr>
          <w:jc w:val="center"/>
        </w:trPr>
        <w:tc>
          <w:tcPr>
            <w:tcW w:w="9424" w:type="dxa"/>
            <w:shd w:val="clear" w:color="auto" w:fill="D9D9D9" w:themeFill="background1" w:themeFillShade="D9"/>
          </w:tcPr>
          <w:p w:rsidR="00A71DEE" w:rsidRPr="00C5494E" w:rsidRDefault="00A71DEE" w:rsidP="00A71DEE">
            <w:pPr>
              <w:pStyle w:val="FigureNoTitle"/>
              <w:rPr>
                <w:lang w:val="en-GB"/>
              </w:rPr>
            </w:pPr>
            <w:r w:rsidRPr="00C5494E">
              <w:rPr>
                <w:lang w:val="en-GB"/>
              </w:rPr>
              <w:t>Chart 4.5: Ratio of households with Internet access to households with a PC in ABBMN countries, 2008</w:t>
            </w:r>
          </w:p>
          <w:p w:rsidR="00A71DEE" w:rsidRPr="00C5494E" w:rsidRDefault="00A71DEE" w:rsidP="00A71DEE">
            <w:pPr>
              <w:pStyle w:val="Figure"/>
              <w:rPr>
                <w:lang w:val="en-GB"/>
              </w:rPr>
            </w:pPr>
            <w:r w:rsidRPr="00C5494E">
              <w:drawing>
                <wp:inline distT="0" distB="0" distL="0" distR="0">
                  <wp:extent cx="4867275" cy="2681968"/>
                  <wp:effectExtent l="0" t="0" r="0" b="0"/>
                  <wp:docPr id="1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duotone>
                              <a:schemeClr val="accent2">
                                <a:shade val="45000"/>
                                <a:satMod val="135000"/>
                              </a:schemeClr>
                              <a:prstClr val="white"/>
                            </a:duotone>
                          </a:blip>
                          <a:srcRect/>
                          <a:stretch>
                            <a:fillRect/>
                          </a:stretch>
                        </pic:blipFill>
                        <pic:spPr bwMode="auto">
                          <a:xfrm>
                            <a:off x="0" y="0"/>
                            <a:ext cx="4875486" cy="2686492"/>
                          </a:xfrm>
                          <a:prstGeom prst="rect">
                            <a:avLst/>
                          </a:prstGeom>
                          <a:noFill/>
                          <a:ln w="9525">
                            <a:noFill/>
                            <a:miter lim="800000"/>
                            <a:headEnd/>
                            <a:tailEnd/>
                          </a:ln>
                        </pic:spPr>
                      </pic:pic>
                    </a:graphicData>
                  </a:graphic>
                </wp:inline>
              </w:drawing>
            </w:r>
          </w:p>
          <w:p w:rsidR="00A71DEE" w:rsidRPr="00C5494E" w:rsidRDefault="00A71DEE" w:rsidP="00A71DEE">
            <w:pPr>
              <w:pStyle w:val="Figurelegend"/>
            </w:pPr>
            <w:r w:rsidRPr="00C5494E">
              <w:rPr>
                <w:i/>
                <w:iCs/>
              </w:rPr>
              <w:t>Source</w:t>
            </w:r>
            <w:r w:rsidRPr="00C5494E">
              <w:t>: ITU.</w:t>
            </w:r>
          </w:p>
        </w:tc>
      </w:tr>
    </w:tbl>
    <w:p w:rsidR="00A71DEE" w:rsidRPr="00C5494E" w:rsidRDefault="00F166B1" w:rsidP="00527AA9">
      <w:r w:rsidRPr="00C5494E">
        <w:rPr>
          <w:bCs/>
        </w:rPr>
        <w:lastRenderedPageBreak/>
        <w:t xml:space="preserve">On the other hand, in </w:t>
      </w:r>
      <w:smartTag w:uri="urn:schemas-microsoft-com:office:smarttags" w:element="country-region">
        <w:r w:rsidRPr="00C5494E">
          <w:rPr>
            <w:bCs/>
          </w:rPr>
          <w:t>Maldives</w:t>
        </w:r>
      </w:smartTag>
      <w:r w:rsidRPr="00C5494E">
        <w:rPr>
          <w:bCs/>
        </w:rPr>
        <w:t xml:space="preserve"> and </w:t>
      </w:r>
      <w:smartTag w:uri="urn:schemas-microsoft-com:office:smarttags" w:element="place">
        <w:smartTag w:uri="urn:schemas-microsoft-com:office:smarttags" w:element="country-region">
          <w:r w:rsidRPr="00C5494E">
            <w:rPr>
              <w:bCs/>
            </w:rPr>
            <w:t>Nepal</w:t>
          </w:r>
        </w:smartTag>
      </w:smartTag>
      <w:r w:rsidRPr="00C5494E">
        <w:rPr>
          <w:bCs/>
        </w:rPr>
        <w:t xml:space="preserve"> most households that had a computer did not have an Internet connection in 2008. Thus, a lack of computers may not be the main obstacle for further broadband uptake in these countries, but rather other factors such as insufficient infrastructure, high fixed broadband prices, lack of local content, etc</w:t>
      </w:r>
      <w:r w:rsidR="00527AA9" w:rsidRPr="00C5494E">
        <w:rPr>
          <w:bCs/>
        </w:rPr>
        <w:t>.,</w:t>
      </w:r>
      <w:r w:rsidRPr="00C5494E">
        <w:rPr>
          <w:bCs/>
        </w:rPr>
        <w:t xml:space="preserve"> may play a role. This is especially true in the case of Maldives, while Nepal would still need to improve computer penetration (only 3.2 </w:t>
      </w:r>
      <w:r w:rsidR="000F4A58" w:rsidRPr="00C5494E">
        <w:rPr>
          <w:bCs/>
        </w:rPr>
        <w:t>per cent</w:t>
      </w:r>
      <w:r w:rsidRPr="00C5494E">
        <w:rPr>
          <w:bCs/>
        </w:rPr>
        <w:t xml:space="preserve"> of households had a PC in 2008) in order to advance in terms of fixed broadband uptake. Indeed, in all ABBMN countries except </w:t>
      </w:r>
      <w:smartTag w:uri="urn:schemas-microsoft-com:office:smarttags" w:element="place">
        <w:smartTag w:uri="urn:schemas-microsoft-com:office:smarttags" w:element="country-region">
          <w:r w:rsidRPr="00C5494E">
            <w:rPr>
              <w:bCs/>
            </w:rPr>
            <w:t>Maldives</w:t>
          </w:r>
        </w:smartTag>
      </w:smartTag>
      <w:r w:rsidRPr="00C5494E">
        <w:rPr>
          <w:bCs/>
        </w:rPr>
        <w:t xml:space="preserve"> the percentage of households with a PC was below 5 </w:t>
      </w:r>
      <w:r w:rsidR="000F4A58" w:rsidRPr="00C5494E">
        <w:rPr>
          <w:bCs/>
        </w:rPr>
        <w:t>per cent</w:t>
      </w:r>
      <w:r w:rsidRPr="00C5494E">
        <w:rPr>
          <w:bCs/>
        </w:rPr>
        <w:t>, which is a very low value when compared to developed countries worldwide.</w:t>
      </w:r>
      <w:r w:rsidRPr="00C5494E">
        <w:rPr>
          <w:bCs/>
          <w:vertAlign w:val="superscript"/>
        </w:rPr>
        <w:footnoteReference w:id="41"/>
      </w:r>
    </w:p>
    <w:p w:rsidR="00A71DEE" w:rsidRPr="00C5494E" w:rsidRDefault="00A71DEE" w:rsidP="00A71DEE">
      <w:r w:rsidRPr="00C5494E">
        <w:t xml:space="preserve">There are several initiatives that can be taken in order to improve personal computer penetration, such as subsidies to vulnerable groups for the purchase of computers or incentives to the distribution of low-cost devices (see </w:t>
      </w:r>
      <w:smartTag w:uri="urn:schemas-microsoft-com:office:smarttags" w:element="address">
        <w:smartTag w:uri="urn:schemas-microsoft-com:office:smarttags" w:element="Street">
          <w:r w:rsidRPr="00C5494E">
            <w:t>Box</w:t>
          </w:r>
        </w:smartTag>
        <w:r w:rsidRPr="00C5494E">
          <w:t xml:space="preserve"> 4.1</w:t>
        </w:r>
      </w:smartTag>
      <w:r w:rsidRPr="00C5494E">
        <w:t xml:space="preserve">). </w:t>
      </w:r>
    </w:p>
    <w:p w:rsidR="00A71DEE" w:rsidRPr="00C5494E" w:rsidRDefault="00A71DEE" w:rsidP="00527AA9">
      <w:r w:rsidRPr="00C5494E">
        <w:t xml:space="preserve">Additionally to those actions aiming at achieving a higher computer penetration, community usage of computers can </w:t>
      </w:r>
      <w:r w:rsidR="00527AA9" w:rsidRPr="00C5494E">
        <w:t xml:space="preserve">also </w:t>
      </w:r>
      <w:r w:rsidRPr="00C5494E">
        <w:t xml:space="preserve">be enhanced by fostering Public Internet Access </w:t>
      </w:r>
      <w:r w:rsidR="000F4A58" w:rsidRPr="00C5494E">
        <w:t>Centre</w:t>
      </w:r>
      <w:r w:rsidRPr="00C5494E">
        <w:t xml:space="preserve">s (PIACs) and other types of community access to computers. This has been specifically acknowledged in the WSIS Plan of Action; and in WSIS Target 1 (“Connect villages and establish community access points”) and WSIS Target 4 (“Connect all public libraries, archives, museums, cultural centres and post offices”). However, PIACs will only contribute to higher fixed broadband usage if they are equipped with fixed broadband Internet connections, which is not always the case. </w:t>
      </w:r>
    </w:p>
    <w:p w:rsidR="00A71DEE" w:rsidRPr="00C5494E" w:rsidRDefault="00A71DEE" w:rsidP="00A71DEE">
      <w:pPr>
        <w:spacing w:before="0"/>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A71DEE" w:rsidRPr="00C5494E" w:rsidTr="00FB239F">
        <w:trPr>
          <w:jc w:val="center"/>
        </w:trPr>
        <w:tc>
          <w:tcPr>
            <w:tcW w:w="9424" w:type="dxa"/>
            <w:shd w:val="clear" w:color="auto" w:fill="D9D9D9" w:themeFill="background1" w:themeFillShade="D9"/>
          </w:tcPr>
          <w:p w:rsidR="00A71DEE" w:rsidRPr="00C5494E" w:rsidRDefault="00A71DEE" w:rsidP="00A71DEE">
            <w:pPr>
              <w:pStyle w:val="BoxTitle"/>
              <w:keepNext w:val="0"/>
              <w:keepLines w:val="0"/>
            </w:pPr>
            <w:bookmarkStart w:id="42" w:name="_Toc273610092"/>
            <w:bookmarkStart w:id="43" w:name="_Toc273623628"/>
            <w:r w:rsidRPr="00C5494E">
              <w:rPr>
                <w:bCs/>
              </w:rPr>
              <w:t>Box 4.1: Deployments of the OLPC project in Afghanistan and Nepal</w:t>
            </w:r>
            <w:bookmarkEnd w:id="42"/>
            <w:bookmarkEnd w:id="43"/>
          </w:p>
          <w:p w:rsidR="00A71DEE" w:rsidRPr="00C5494E" w:rsidRDefault="00527AA9" w:rsidP="00527AA9">
            <w:pPr>
              <w:pStyle w:val="BoxText"/>
              <w:spacing w:before="60"/>
              <w:rPr>
                <w:bCs/>
              </w:rPr>
            </w:pPr>
            <w:r w:rsidRPr="00C5494E">
              <w:rPr>
                <w:bCs/>
              </w:rPr>
              <w:t xml:space="preserve">Several </w:t>
            </w:r>
            <w:r w:rsidR="00F166B1" w:rsidRPr="00C5494E">
              <w:rPr>
                <w:bCs/>
              </w:rPr>
              <w:t>international initiatives have addressed the problem of lack of computers in developing countries.</w:t>
            </w:r>
            <w:r w:rsidR="00F166B1" w:rsidRPr="00C5494E">
              <w:rPr>
                <w:bCs/>
                <w:vertAlign w:val="superscript"/>
              </w:rPr>
              <w:footnoteReference w:id="42"/>
            </w:r>
            <w:r w:rsidR="00F166B1" w:rsidRPr="00C5494E">
              <w:rPr>
                <w:bCs/>
              </w:rPr>
              <w:t xml:space="preserve"> One of the most ambitious projects is the One Laptop Per Child (OLPC), which aims at providing to the children of the developing world a low-cost, low-power, connected laptop designed for children of ages 6 to 12. One of the principles of the initiative is child ownership of the computer, so that its use is not restricted to the school premises.</w:t>
            </w:r>
          </w:p>
          <w:p w:rsidR="00A71DEE" w:rsidRPr="00C5494E" w:rsidRDefault="00F166B1" w:rsidP="00527AA9">
            <w:pPr>
              <w:pStyle w:val="BoxText"/>
              <w:spacing w:before="60"/>
              <w:rPr>
                <w:bCs/>
              </w:rPr>
            </w:pPr>
            <w:r w:rsidRPr="00C5494E">
              <w:rPr>
                <w:bCs/>
              </w:rPr>
              <w:t>OLPC Nepal has distributed some 2</w:t>
            </w:r>
            <w:r w:rsidR="00527AA9" w:rsidRPr="00C5494E">
              <w:rPr>
                <w:bCs/>
              </w:rPr>
              <w:t> </w:t>
            </w:r>
            <w:r w:rsidRPr="00C5494E">
              <w:rPr>
                <w:bCs/>
              </w:rPr>
              <w:t>500 laptops in two phases:</w:t>
            </w:r>
          </w:p>
          <w:p w:rsidR="00A71DEE" w:rsidRPr="00C5494E" w:rsidRDefault="00A71DEE" w:rsidP="00A71DEE">
            <w:pPr>
              <w:pStyle w:val="BoxText"/>
              <w:numPr>
                <w:ilvl w:val="0"/>
                <w:numId w:val="8"/>
              </w:numPr>
              <w:tabs>
                <w:tab w:val="clear" w:pos="1440"/>
                <w:tab w:val="clear" w:pos="1588"/>
              </w:tabs>
              <w:spacing w:before="0"/>
              <w:ind w:left="778" w:hanging="778"/>
              <w:rPr>
                <w:bCs/>
              </w:rPr>
            </w:pPr>
            <w:r w:rsidRPr="00C5494E">
              <w:rPr>
                <w:bCs/>
              </w:rPr>
              <w:t xml:space="preserve">First phase: from April 2008 to March 2009, targeting two rural schools in </w:t>
            </w:r>
            <w:proofErr w:type="spellStart"/>
            <w:r w:rsidRPr="00C5494E">
              <w:rPr>
                <w:bCs/>
              </w:rPr>
              <w:t>Lalitpur</w:t>
            </w:r>
            <w:proofErr w:type="spellEnd"/>
            <w:r w:rsidRPr="00C5494E">
              <w:rPr>
                <w:bCs/>
              </w:rPr>
              <w:t xml:space="preserve"> district, and a total of 135 students and 22 teachers.</w:t>
            </w:r>
          </w:p>
          <w:p w:rsidR="00A71DEE" w:rsidRPr="00C5494E" w:rsidRDefault="00A71DEE" w:rsidP="00527AA9">
            <w:pPr>
              <w:pStyle w:val="BoxText"/>
              <w:numPr>
                <w:ilvl w:val="0"/>
                <w:numId w:val="8"/>
              </w:numPr>
              <w:tabs>
                <w:tab w:val="clear" w:pos="1440"/>
                <w:tab w:val="clear" w:pos="1588"/>
              </w:tabs>
              <w:spacing w:before="0"/>
              <w:ind w:left="778" w:hanging="778"/>
              <w:rPr>
                <w:bCs/>
              </w:rPr>
            </w:pPr>
            <w:r w:rsidRPr="00C5494E">
              <w:rPr>
                <w:bCs/>
              </w:rPr>
              <w:t xml:space="preserve">Second phase: from April 2009 to March 2010, extending the project to some five </w:t>
            </w:r>
            <w:r w:rsidR="00527AA9" w:rsidRPr="00C5494E">
              <w:rPr>
                <w:bCs/>
              </w:rPr>
              <w:t xml:space="preserve">additional </w:t>
            </w:r>
            <w:r w:rsidRPr="00C5494E">
              <w:rPr>
                <w:bCs/>
              </w:rPr>
              <w:t>districts, and distributing some additional 2</w:t>
            </w:r>
            <w:r w:rsidR="00527AA9" w:rsidRPr="00C5494E">
              <w:rPr>
                <w:bCs/>
              </w:rPr>
              <w:t> </w:t>
            </w:r>
            <w:r w:rsidRPr="00C5494E">
              <w:rPr>
                <w:bCs/>
              </w:rPr>
              <w:t>000 computers to 26 schools. This phase also included the training of 125 teachers (grades 2, 3 and 6).</w:t>
            </w:r>
          </w:p>
          <w:p w:rsidR="00A71DEE" w:rsidRPr="00C5494E" w:rsidRDefault="00F166B1" w:rsidP="00527AA9">
            <w:pPr>
              <w:pStyle w:val="BoxText"/>
              <w:spacing w:before="60"/>
              <w:rPr>
                <w:bCs/>
              </w:rPr>
            </w:pPr>
            <w:r w:rsidRPr="00C5494E">
              <w:rPr>
                <w:bCs/>
              </w:rPr>
              <w:t>As of 2010, OLPC Nepal is planning to deploy some additional 2</w:t>
            </w:r>
            <w:r w:rsidR="00527AA9" w:rsidRPr="00C5494E">
              <w:rPr>
                <w:bCs/>
              </w:rPr>
              <w:t> </w:t>
            </w:r>
            <w:r w:rsidRPr="00C5494E">
              <w:rPr>
                <w:bCs/>
              </w:rPr>
              <w:t xml:space="preserve">000 laptops to 12 more schools and cover grades 2, 3, 4 and </w:t>
            </w:r>
            <w:smartTag w:uri="urn:schemas-microsoft-com:office:smarttags" w:element="metricconverter">
              <w:smartTagPr>
                <w:attr w:name="ProductID" w:val="6 in"/>
              </w:smartTagPr>
              <w:r w:rsidRPr="00C5494E">
                <w:rPr>
                  <w:bCs/>
                </w:rPr>
                <w:t>6 in</w:t>
              </w:r>
            </w:smartTag>
            <w:r w:rsidRPr="00C5494E">
              <w:rPr>
                <w:bCs/>
              </w:rPr>
              <w:t xml:space="preserve"> all the schools.</w:t>
            </w:r>
          </w:p>
          <w:p w:rsidR="00A71DEE" w:rsidRPr="00C5494E" w:rsidRDefault="00A71DEE" w:rsidP="00527AA9">
            <w:pPr>
              <w:pStyle w:val="BoxText"/>
              <w:spacing w:before="60"/>
              <w:rPr>
                <w:bCs/>
              </w:rPr>
            </w:pPr>
            <w:r w:rsidRPr="00C5494E">
              <w:rPr>
                <w:bCs/>
              </w:rPr>
              <w:t xml:space="preserve">OLPC Afghanistan has also taken the OLPC project to Afghanis. In the first phase, 500 laptops were distributed in </w:t>
            </w:r>
            <w:proofErr w:type="spellStart"/>
            <w:r w:rsidRPr="00C5494E">
              <w:rPr>
                <w:bCs/>
              </w:rPr>
              <w:t>Jalalabad</w:t>
            </w:r>
            <w:proofErr w:type="spellEnd"/>
            <w:r w:rsidRPr="00C5494E">
              <w:rPr>
                <w:bCs/>
              </w:rPr>
              <w:t xml:space="preserve">, and afterwards the project was extended to </w:t>
            </w:r>
            <w:smartTag w:uri="urn:schemas-microsoft-com:office:smarttags" w:element="City">
              <w:smartTag w:uri="urn:schemas-microsoft-com:office:smarttags" w:element="place">
                <w:r w:rsidRPr="00C5494E">
                  <w:rPr>
                    <w:bCs/>
                  </w:rPr>
                  <w:t>Kabul</w:t>
                </w:r>
              </w:smartTag>
            </w:smartTag>
            <w:r w:rsidRPr="00C5494E">
              <w:rPr>
                <w:bCs/>
              </w:rPr>
              <w:t>, with the aim of distributing a total of 2</w:t>
            </w:r>
            <w:r w:rsidR="00527AA9" w:rsidRPr="00C5494E">
              <w:rPr>
                <w:bCs/>
              </w:rPr>
              <w:t> </w:t>
            </w:r>
            <w:r w:rsidRPr="00C5494E">
              <w:rPr>
                <w:bCs/>
              </w:rPr>
              <w:t xml:space="preserve">000 additional laptops. The project is a public-private partnership with the United States Agency for International Development (USAID), </w:t>
            </w:r>
            <w:proofErr w:type="spellStart"/>
            <w:r w:rsidRPr="00C5494E">
              <w:rPr>
                <w:bCs/>
              </w:rPr>
              <w:t>Roshan</w:t>
            </w:r>
            <w:proofErr w:type="spellEnd"/>
            <w:r w:rsidRPr="00C5494E">
              <w:rPr>
                <w:bCs/>
              </w:rPr>
              <w:t xml:space="preserve">, a mobile operator in </w:t>
            </w:r>
            <w:smartTag w:uri="urn:schemas-microsoft-com:office:smarttags" w:element="place">
              <w:smartTag w:uri="urn:schemas-microsoft-com:office:smarttags" w:element="country-region">
                <w:r w:rsidRPr="00C5494E">
                  <w:rPr>
                    <w:bCs/>
                  </w:rPr>
                  <w:t>Afghanistan</w:t>
                </w:r>
              </w:smartTag>
            </w:smartTag>
            <w:r w:rsidRPr="00C5494E">
              <w:rPr>
                <w:bCs/>
              </w:rPr>
              <w:t xml:space="preserve">, and </w:t>
            </w:r>
            <w:proofErr w:type="spellStart"/>
            <w:r w:rsidRPr="00C5494E">
              <w:rPr>
                <w:bCs/>
              </w:rPr>
              <w:t>Paiwastoon</w:t>
            </w:r>
            <w:proofErr w:type="spellEnd"/>
            <w:r w:rsidRPr="00C5494E">
              <w:rPr>
                <w:bCs/>
              </w:rPr>
              <w:t>, a local information technology company.</w:t>
            </w:r>
          </w:p>
          <w:p w:rsidR="00A71DEE" w:rsidRPr="00C5494E" w:rsidRDefault="00A71DEE" w:rsidP="005C4BB4">
            <w:pPr>
              <w:pStyle w:val="BoxText"/>
              <w:spacing w:before="60"/>
              <w:rPr>
                <w:bCs/>
              </w:rPr>
            </w:pPr>
            <w:r w:rsidRPr="00C5494E">
              <w:rPr>
                <w:bCs/>
              </w:rPr>
              <w:t xml:space="preserve">In Bhutan, ITU has partnered with OLPC and </w:t>
            </w:r>
            <w:r w:rsidR="00527AA9" w:rsidRPr="00C5494E">
              <w:rPr>
                <w:bCs/>
              </w:rPr>
              <w:t>the United Nations Children's Fund (</w:t>
            </w:r>
            <w:r w:rsidRPr="00C5494E">
              <w:rPr>
                <w:bCs/>
              </w:rPr>
              <w:t>UNICEF</w:t>
            </w:r>
            <w:r w:rsidR="00527AA9" w:rsidRPr="00C5494E">
              <w:rPr>
                <w:bCs/>
              </w:rPr>
              <w:t>)</w:t>
            </w:r>
            <w:r w:rsidRPr="00C5494E">
              <w:rPr>
                <w:bCs/>
              </w:rPr>
              <w:t xml:space="preserve"> to provide 269 laptops to connect 24 schools in rural and remote areas in the country (see Box 4.2).</w:t>
            </w:r>
          </w:p>
          <w:p w:rsidR="00A71DEE" w:rsidRPr="00C5494E" w:rsidRDefault="00A71DEE" w:rsidP="00F166B1">
            <w:pPr>
              <w:pStyle w:val="Figurelegend"/>
              <w:spacing w:before="120"/>
            </w:pPr>
            <w:r w:rsidRPr="00C5494E">
              <w:rPr>
                <w:i/>
                <w:iCs/>
              </w:rPr>
              <w:t>Source</w:t>
            </w:r>
            <w:r w:rsidRPr="00C5494E">
              <w:t xml:space="preserve">: </w:t>
            </w:r>
            <w:r w:rsidR="00F166B1" w:rsidRPr="00C5494E">
              <w:rPr>
                <w:bCs/>
              </w:rPr>
              <w:t>ITU,</w:t>
            </w:r>
            <w:r w:rsidR="00F166B1" w:rsidRPr="00C5494E">
              <w:rPr>
                <w:bCs/>
                <w:vertAlign w:val="superscript"/>
              </w:rPr>
              <w:footnoteReference w:id="43"/>
            </w:r>
            <w:r w:rsidR="00F166B1" w:rsidRPr="00C5494E">
              <w:rPr>
                <w:bCs/>
              </w:rPr>
              <w:t xml:space="preserve"> OLPC, OLPC Afghanistan,</w:t>
            </w:r>
            <w:r w:rsidR="00F166B1" w:rsidRPr="00C5494E">
              <w:rPr>
                <w:bCs/>
                <w:vertAlign w:val="superscript"/>
              </w:rPr>
              <w:footnoteReference w:id="44"/>
            </w:r>
            <w:r w:rsidR="00F166B1" w:rsidRPr="00C5494E">
              <w:rPr>
                <w:bCs/>
              </w:rPr>
              <w:t xml:space="preserve"> and OLPC Nepal.</w:t>
            </w:r>
            <w:r w:rsidR="00F166B1" w:rsidRPr="00C5494E">
              <w:rPr>
                <w:bCs/>
                <w:vertAlign w:val="superscript"/>
              </w:rPr>
              <w:footnoteReference w:id="45"/>
            </w:r>
          </w:p>
        </w:tc>
      </w:tr>
    </w:tbl>
    <w:p w:rsidR="00A71DEE" w:rsidRPr="00C5494E" w:rsidRDefault="00F166B1" w:rsidP="00F166B1">
      <w:pPr>
        <w:rPr>
          <w:bCs/>
        </w:rPr>
      </w:pPr>
      <w:r w:rsidRPr="00C5494E">
        <w:rPr>
          <w:bCs/>
        </w:rPr>
        <w:lastRenderedPageBreak/>
        <w:t xml:space="preserve">There is little data available on PIACs in ABBMN countries, which constraints the </w:t>
      </w:r>
      <w:r w:rsidR="00527AA9" w:rsidRPr="00C5494E">
        <w:rPr>
          <w:bCs/>
        </w:rPr>
        <w:t>analyzis</w:t>
      </w:r>
      <w:r w:rsidRPr="00C5494E">
        <w:rPr>
          <w:bCs/>
        </w:rPr>
        <w:t xml:space="preserve"> and the conclusions that can be taken from it. </w:t>
      </w:r>
      <w:smartTag w:uri="urn:schemas-microsoft-com:office:smarttags" w:element="country-region">
        <w:r w:rsidRPr="00C5494E">
          <w:rPr>
            <w:bCs/>
          </w:rPr>
          <w:t>Bangladesh</w:t>
        </w:r>
      </w:smartTag>
      <w:r w:rsidRPr="00C5494E">
        <w:rPr>
          <w:bCs/>
        </w:rPr>
        <w:t xml:space="preserve"> and </w:t>
      </w:r>
      <w:smartTag w:uri="urn:schemas-microsoft-com:office:smarttags" w:element="country-region">
        <w:r w:rsidRPr="00C5494E">
          <w:rPr>
            <w:bCs/>
          </w:rPr>
          <w:t>Nepal</w:t>
        </w:r>
      </w:smartTag>
      <w:r w:rsidRPr="00C5494E">
        <w:rPr>
          <w:bCs/>
        </w:rPr>
        <w:t xml:space="preserve"> most probably have today a significantly higher percentage of population with access to a PIAC (20 </w:t>
      </w:r>
      <w:r w:rsidR="000F4A58" w:rsidRPr="00C5494E">
        <w:rPr>
          <w:bCs/>
        </w:rPr>
        <w:t>per cent</w:t>
      </w:r>
      <w:r w:rsidRPr="00C5494E">
        <w:rPr>
          <w:bCs/>
        </w:rPr>
        <w:t xml:space="preserve"> and 16 </w:t>
      </w:r>
      <w:r w:rsidR="000F4A58" w:rsidRPr="00C5494E">
        <w:rPr>
          <w:bCs/>
        </w:rPr>
        <w:t>per cent</w:t>
      </w:r>
      <w:r w:rsidRPr="00C5494E">
        <w:rPr>
          <w:bCs/>
        </w:rPr>
        <w:t xml:space="preserve"> respectively in 2004) than </w:t>
      </w:r>
      <w:smartTag w:uri="urn:schemas-microsoft-com:office:smarttags" w:element="country-region">
        <w:r w:rsidRPr="00C5494E">
          <w:rPr>
            <w:bCs/>
          </w:rPr>
          <w:t>Afghanistan</w:t>
        </w:r>
      </w:smartTag>
      <w:r w:rsidRPr="00C5494E">
        <w:rPr>
          <w:bCs/>
        </w:rPr>
        <w:t xml:space="preserve"> (5 </w:t>
      </w:r>
      <w:r w:rsidR="000F4A58" w:rsidRPr="00C5494E">
        <w:rPr>
          <w:bCs/>
        </w:rPr>
        <w:t>per cent</w:t>
      </w:r>
      <w:r w:rsidRPr="00C5494E">
        <w:rPr>
          <w:bCs/>
        </w:rPr>
        <w:t xml:space="preserve"> in 2006) and </w:t>
      </w:r>
      <w:smartTag w:uri="urn:schemas-microsoft-com:office:smarttags" w:element="place">
        <w:smartTag w:uri="urn:schemas-microsoft-com:office:smarttags" w:element="country-region">
          <w:r w:rsidRPr="00C5494E">
            <w:rPr>
              <w:bCs/>
            </w:rPr>
            <w:t>Bhutan</w:t>
          </w:r>
        </w:smartTag>
      </w:smartTag>
      <w:r w:rsidRPr="00C5494E">
        <w:rPr>
          <w:bCs/>
        </w:rPr>
        <w:t xml:space="preserve"> (2 </w:t>
      </w:r>
      <w:r w:rsidR="000F4A58" w:rsidRPr="00C5494E">
        <w:rPr>
          <w:bCs/>
        </w:rPr>
        <w:t>per cent</w:t>
      </w:r>
      <w:r w:rsidRPr="00C5494E">
        <w:rPr>
          <w:bCs/>
        </w:rPr>
        <w:t xml:space="preserve"> in 2004).</w:t>
      </w:r>
    </w:p>
    <w:p w:rsidR="00A71DEE" w:rsidRPr="00C5494E" w:rsidRDefault="00A71DEE" w:rsidP="005C4BB4"/>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5C4BB4" w:rsidRPr="00C5494E" w:rsidTr="00FB239F">
        <w:trPr>
          <w:jc w:val="center"/>
        </w:trPr>
        <w:tc>
          <w:tcPr>
            <w:tcW w:w="9424" w:type="dxa"/>
            <w:shd w:val="clear" w:color="auto" w:fill="D9D9D9" w:themeFill="background1" w:themeFillShade="D9"/>
          </w:tcPr>
          <w:p w:rsidR="005C4BB4" w:rsidRPr="00C5494E" w:rsidRDefault="005C4BB4" w:rsidP="005C4BB4">
            <w:pPr>
              <w:pStyle w:val="BoxTitle"/>
            </w:pPr>
            <w:bookmarkStart w:id="44" w:name="_Toc273610093"/>
            <w:bookmarkStart w:id="45" w:name="_Toc273623629"/>
            <w:r w:rsidRPr="00C5494E">
              <w:rPr>
                <w:bCs/>
              </w:rPr>
              <w:t xml:space="preserve">Box 4.2: Connecting </w:t>
            </w:r>
            <w:r w:rsidR="00527AA9" w:rsidRPr="00C5494E">
              <w:rPr>
                <w:bCs/>
              </w:rPr>
              <w:t xml:space="preserve">schools with broadband </w:t>
            </w:r>
            <w:r w:rsidRPr="00C5494E">
              <w:rPr>
                <w:bCs/>
              </w:rPr>
              <w:t>in Bhutan</w:t>
            </w:r>
            <w:bookmarkEnd w:id="44"/>
            <w:bookmarkEnd w:id="45"/>
          </w:p>
          <w:p w:rsidR="005C4BB4" w:rsidRPr="00C5494E" w:rsidRDefault="005C4BB4" w:rsidP="00527AA9">
            <w:pPr>
              <w:pStyle w:val="BoxText"/>
              <w:rPr>
                <w:bCs/>
              </w:rPr>
            </w:pPr>
            <w:r w:rsidRPr="00C5494E">
              <w:rPr>
                <w:bCs/>
              </w:rPr>
              <w:t>One of the major barriers to meeting the Millennium Development Goals targets of 2015 has been the lack of affordable ICT devices. To help address this challenge, ITU joined with various partners such as OLPC and the 50X15 Foundation in a global initiative to provide low</w:t>
            </w:r>
            <w:r w:rsidR="00527AA9" w:rsidRPr="00C5494E">
              <w:rPr>
                <w:bCs/>
              </w:rPr>
              <w:t>-</w:t>
            </w:r>
            <w:r w:rsidRPr="00C5494E">
              <w:rPr>
                <w:bCs/>
              </w:rPr>
              <w:t>cost laptops for school children in least developed/</w:t>
            </w:r>
            <w:r w:rsidR="00527AA9" w:rsidRPr="00C5494E">
              <w:rPr>
                <w:bCs/>
              </w:rPr>
              <w:br/>
            </w:r>
            <w:r w:rsidRPr="00C5494E">
              <w:rPr>
                <w:bCs/>
              </w:rPr>
              <w:t>low</w:t>
            </w:r>
            <w:r w:rsidR="00527AA9" w:rsidRPr="00C5494E">
              <w:rPr>
                <w:bCs/>
              </w:rPr>
              <w:t>-</w:t>
            </w:r>
            <w:r w:rsidRPr="00C5494E">
              <w:rPr>
                <w:bCs/>
              </w:rPr>
              <w:t xml:space="preserve">income countries such as </w:t>
            </w:r>
            <w:smartTag w:uri="urn:schemas-microsoft-com:office:smarttags" w:element="country-region">
              <w:smartTag w:uri="urn:schemas-microsoft-com:office:smarttags" w:element="place">
                <w:r w:rsidRPr="00C5494E">
                  <w:rPr>
                    <w:bCs/>
                  </w:rPr>
                  <w:t>Bhutan</w:t>
                </w:r>
              </w:smartTag>
            </w:smartTag>
            <w:r w:rsidRPr="00C5494E">
              <w:rPr>
                <w:bCs/>
              </w:rPr>
              <w:t xml:space="preserve">. </w:t>
            </w:r>
          </w:p>
          <w:p w:rsidR="005C4BB4" w:rsidRPr="00C5494E" w:rsidRDefault="005C4BB4" w:rsidP="00527AA9">
            <w:pPr>
              <w:pStyle w:val="BoxText"/>
            </w:pPr>
            <w:r w:rsidRPr="00C5494E">
              <w:rPr>
                <w:bCs/>
              </w:rPr>
              <w:t>In October 2009, ITU–OLPC–UNICEF–MoIC–MoE–15X50 Learning Labs provided 269 OLPC laptops to some 20</w:t>
            </w:r>
            <w:r w:rsidR="00527AA9" w:rsidRPr="00C5494E">
              <w:rPr>
                <w:bCs/>
              </w:rPr>
              <w:t> </w:t>
            </w:r>
            <w:r w:rsidRPr="00C5494E">
              <w:rPr>
                <w:bCs/>
              </w:rPr>
              <w:t>schools, including 24 regular laptops. The training program</w:t>
            </w:r>
            <w:r w:rsidR="00527AA9" w:rsidRPr="00C5494E">
              <w:rPr>
                <w:bCs/>
              </w:rPr>
              <w:t>me</w:t>
            </w:r>
            <w:r w:rsidRPr="00C5494E">
              <w:rPr>
                <w:bCs/>
              </w:rPr>
              <w:t xml:space="preserve"> benefited about 300 students and teachers, with teachers invited for training together with the students. OLPC is providing 200 XO laptops to connect 24 schools in rural and remote areas of Bhutan. ITU and the 50x15 Foundation provided some additional 44 laptops under the ITU-AMD Learning Labs project</w:t>
            </w:r>
            <w:r w:rsidR="00527AA9" w:rsidRPr="00C5494E">
              <w:rPr>
                <w:bCs/>
              </w:rPr>
              <w:t>,</w:t>
            </w:r>
            <w:r w:rsidRPr="00C5494E">
              <w:rPr>
                <w:bCs/>
              </w:rPr>
              <w:t xml:space="preserve"> as well as training support for the 20 schools. UNICEF provided 25 XO Laptops and ITU facilitated training for eight school teachers identified by UNICEF. On completion, 50 XO laptops will be provided to the school where the training is taking place, and the remaining ones will be distributed to the other schools. Each of the head teachers of the 20 schools received a conventional laptop for monitoring learning progress and comparing knowledge gained through shared and individual usage.</w:t>
            </w:r>
          </w:p>
          <w:p w:rsidR="005C4BB4" w:rsidRPr="00C5494E" w:rsidRDefault="005C4BB4" w:rsidP="00FB239F">
            <w:pPr>
              <w:pStyle w:val="BoxText"/>
              <w:jc w:val="center"/>
              <w:rPr>
                <w:bCs/>
              </w:rPr>
            </w:pPr>
            <w:r w:rsidRPr="00C5494E">
              <w:rPr>
                <w:noProof/>
                <w:szCs w:val="20"/>
                <w:lang w:val="en-US" w:eastAsia="zh-CN"/>
              </w:rPr>
              <w:drawing>
                <wp:inline distT="0" distB="0" distL="0" distR="0">
                  <wp:extent cx="2689815" cy="1908000"/>
                  <wp:effectExtent l="19050" t="0" r="0" b="0"/>
                  <wp:docPr id="122" name="Picture 81" descr="DSC0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06034"/>
                          <pic:cNvPicPr>
                            <a:picLocks noChangeAspect="1" noChangeArrowheads="1"/>
                          </pic:cNvPicPr>
                        </pic:nvPicPr>
                        <pic:blipFill>
                          <a:blip r:embed="rId43" cstate="print"/>
                          <a:srcRect/>
                          <a:stretch>
                            <a:fillRect/>
                          </a:stretch>
                        </pic:blipFill>
                        <pic:spPr bwMode="auto">
                          <a:xfrm>
                            <a:off x="0" y="0"/>
                            <a:ext cx="2689815" cy="1908000"/>
                          </a:xfrm>
                          <a:prstGeom prst="rect">
                            <a:avLst/>
                          </a:prstGeom>
                          <a:noFill/>
                          <a:ln w="9525">
                            <a:noFill/>
                            <a:miter lim="800000"/>
                            <a:headEnd/>
                            <a:tailEnd/>
                          </a:ln>
                        </pic:spPr>
                      </pic:pic>
                    </a:graphicData>
                  </a:graphic>
                </wp:inline>
              </w:drawing>
            </w:r>
            <w:r w:rsidRPr="00C5494E">
              <w:rPr>
                <w:bCs/>
              </w:rPr>
              <w:tab/>
            </w:r>
            <w:r w:rsidRPr="00C5494E">
              <w:rPr>
                <w:bCs/>
              </w:rPr>
              <w:tab/>
            </w:r>
            <w:r w:rsidRPr="00C5494E">
              <w:rPr>
                <w:noProof/>
                <w:szCs w:val="20"/>
                <w:lang w:val="en-US" w:eastAsia="zh-CN"/>
              </w:rPr>
              <w:drawing>
                <wp:inline distT="0" distB="0" distL="0" distR="0">
                  <wp:extent cx="2554600" cy="1908000"/>
                  <wp:effectExtent l="19050" t="0" r="0" b="0"/>
                  <wp:docPr id="123" name="Picture 84" descr="DSC0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06706"/>
                          <pic:cNvPicPr>
                            <a:picLocks noChangeAspect="1" noChangeArrowheads="1"/>
                          </pic:cNvPicPr>
                        </pic:nvPicPr>
                        <pic:blipFill>
                          <a:blip r:embed="rId44" cstate="print"/>
                          <a:srcRect/>
                          <a:stretch>
                            <a:fillRect/>
                          </a:stretch>
                        </pic:blipFill>
                        <pic:spPr bwMode="auto">
                          <a:xfrm>
                            <a:off x="0" y="0"/>
                            <a:ext cx="2554600" cy="1908000"/>
                          </a:xfrm>
                          <a:prstGeom prst="rect">
                            <a:avLst/>
                          </a:prstGeom>
                          <a:noFill/>
                          <a:ln w="9525">
                            <a:noFill/>
                            <a:miter lim="800000"/>
                            <a:headEnd/>
                            <a:tailEnd/>
                          </a:ln>
                        </pic:spPr>
                      </pic:pic>
                    </a:graphicData>
                  </a:graphic>
                </wp:inline>
              </w:drawing>
            </w:r>
          </w:p>
          <w:p w:rsidR="005C4BB4" w:rsidRPr="00C5494E" w:rsidRDefault="00F166B1" w:rsidP="00527AA9">
            <w:pPr>
              <w:pStyle w:val="BoxText"/>
              <w:rPr>
                <w:bCs/>
                <w:color w:val="000000"/>
                <w:lang w:bidi="th-TH"/>
              </w:rPr>
            </w:pPr>
            <w:r w:rsidRPr="00C5494E">
              <w:rPr>
                <w:bCs/>
                <w:color w:val="000000"/>
                <w:lang w:bidi="th-TH"/>
              </w:rPr>
              <w:t xml:space="preserve">A school teacher at </w:t>
            </w:r>
            <w:proofErr w:type="spellStart"/>
            <w:r w:rsidRPr="00C5494E">
              <w:rPr>
                <w:bCs/>
                <w:color w:val="000000"/>
                <w:lang w:bidi="th-TH"/>
              </w:rPr>
              <w:t>Kuschichen</w:t>
            </w:r>
            <w:proofErr w:type="spellEnd"/>
            <w:r w:rsidRPr="00C5494E">
              <w:rPr>
                <w:bCs/>
                <w:color w:val="000000"/>
                <w:lang w:bidi="th-TH"/>
              </w:rPr>
              <w:t xml:space="preserve"> Middle Secondary School, </w:t>
            </w:r>
            <w:proofErr w:type="spellStart"/>
            <w:r w:rsidRPr="00C5494E">
              <w:rPr>
                <w:bCs/>
                <w:color w:val="000000"/>
                <w:lang w:bidi="th-TH"/>
              </w:rPr>
              <w:t>Kabisa</w:t>
            </w:r>
            <w:proofErr w:type="spellEnd"/>
            <w:r w:rsidRPr="00C5494E">
              <w:rPr>
                <w:bCs/>
                <w:color w:val="000000"/>
                <w:lang w:bidi="th-TH"/>
              </w:rPr>
              <w:t>, Bhutan</w:t>
            </w:r>
            <w:r w:rsidR="00527AA9" w:rsidRPr="00C5494E">
              <w:rPr>
                <w:bCs/>
                <w:color w:val="000000"/>
                <w:lang w:bidi="th-TH"/>
              </w:rPr>
              <w:t>,</w:t>
            </w:r>
            <w:r w:rsidRPr="00C5494E">
              <w:rPr>
                <w:bCs/>
                <w:color w:val="000000"/>
                <w:lang w:bidi="th-TH"/>
              </w:rPr>
              <w:t xml:space="preserve"> set up a computer lab with about 50</w:t>
            </w:r>
            <w:r w:rsidR="00527AA9" w:rsidRPr="00C5494E">
              <w:rPr>
                <w:bCs/>
                <w:color w:val="000000"/>
                <w:lang w:bidi="th-TH"/>
              </w:rPr>
              <w:t> </w:t>
            </w:r>
            <w:r w:rsidRPr="00C5494E">
              <w:rPr>
                <w:bCs/>
                <w:color w:val="000000"/>
                <w:lang w:bidi="th-TH"/>
              </w:rPr>
              <w:t xml:space="preserve">students in a model computer class room – each and every student equipped with OLPC laptop connected with 512 Kbps broadband Internet access. The school mainstreamed the ICT in the regular curriculum. An ITU senior advisor interviewed several students who were able to show their skills using Internet, writing sentences such as “I love my country”, play games, record videos by themselves and </w:t>
            </w:r>
            <w:r w:rsidR="00527AA9" w:rsidRPr="00C5494E">
              <w:rPr>
                <w:bCs/>
                <w:color w:val="000000"/>
                <w:lang w:bidi="th-TH"/>
              </w:rPr>
              <w:t xml:space="preserve">perform </w:t>
            </w:r>
            <w:r w:rsidRPr="00C5494E">
              <w:rPr>
                <w:bCs/>
                <w:color w:val="000000"/>
                <w:lang w:bidi="th-TH"/>
              </w:rPr>
              <w:t xml:space="preserve">several other functions effortlessly! They were very excited and are making good use of the laptops for ICT skills development. Several students created e-mails and are connected to the information highway. Currently, ITU is supporting advanced training for the school teacher from </w:t>
            </w:r>
            <w:proofErr w:type="spellStart"/>
            <w:r w:rsidRPr="00C5494E">
              <w:rPr>
                <w:bCs/>
                <w:color w:val="000000"/>
                <w:lang w:bidi="th-TH"/>
              </w:rPr>
              <w:t>Kabisa</w:t>
            </w:r>
            <w:proofErr w:type="spellEnd"/>
            <w:r w:rsidRPr="00C5494E">
              <w:rPr>
                <w:bCs/>
                <w:color w:val="000000"/>
                <w:lang w:bidi="th-TH"/>
              </w:rPr>
              <w:t xml:space="preserve"> at the OLPC office in Hong Kong (P.R. of China)</w:t>
            </w:r>
          </w:p>
          <w:p w:rsidR="005C4BB4" w:rsidRPr="00C5494E" w:rsidRDefault="005C4BB4" w:rsidP="005C4BB4">
            <w:pPr>
              <w:pStyle w:val="BoxText"/>
              <w:rPr>
                <w:bCs/>
              </w:rPr>
            </w:pPr>
            <w:r w:rsidRPr="00C5494E">
              <w:rPr>
                <w:bCs/>
                <w:color w:val="000000"/>
                <w:lang w:bidi="th-TH"/>
              </w:rPr>
              <w:t>It was also concluded that the highest impact in learning was achieved when there are a minimum number of OLPC (50) deployed, as done in the case of the pilot school. Where there were only a few OLPCs (4-5) provided for demonstration, the impact was much more limited.</w:t>
            </w:r>
          </w:p>
          <w:p w:rsidR="005C4BB4" w:rsidRPr="00C5494E" w:rsidRDefault="005C4BB4" w:rsidP="005C4BB4">
            <w:pPr>
              <w:pStyle w:val="Figurelegend"/>
            </w:pPr>
            <w:r w:rsidRPr="00C5494E">
              <w:rPr>
                <w:i/>
                <w:iCs/>
              </w:rPr>
              <w:t>Source</w:t>
            </w:r>
            <w:r w:rsidRPr="00C5494E">
              <w:t xml:space="preserve">: </w:t>
            </w:r>
            <w:r w:rsidRPr="00C5494E">
              <w:rPr>
                <w:bCs/>
              </w:rPr>
              <w:t>ITU Regional Office for Asia and the Pacific.</w:t>
            </w:r>
          </w:p>
        </w:tc>
      </w:tr>
    </w:tbl>
    <w:p w:rsidR="00A71DEE" w:rsidRPr="00C5494E" w:rsidRDefault="00A71DEE" w:rsidP="00A71DEE"/>
    <w:p w:rsidR="00DB32C8" w:rsidRPr="00C5494E" w:rsidRDefault="00DB32C8" w:rsidP="00DB32C8">
      <w:r w:rsidRPr="00C5494E">
        <w:lastRenderedPageBreak/>
        <w:t xml:space="preserve">There is no PIAC data available for </w:t>
      </w:r>
      <w:smartTag w:uri="urn:schemas-microsoft-com:office:smarttags" w:element="country-region">
        <w:smartTag w:uri="urn:schemas-microsoft-com:office:smarttags" w:element="place">
          <w:r w:rsidRPr="00C5494E">
            <w:t>Maldives</w:t>
          </w:r>
        </w:smartTag>
      </w:smartTag>
      <w:r w:rsidRPr="00C5494E">
        <w:t xml:space="preserve">. These figures suggest that in </w:t>
      </w:r>
      <w:smartTag w:uri="urn:schemas-microsoft-com:office:smarttags" w:element="country-region">
        <w:r w:rsidRPr="00C5494E">
          <w:t>Bangladesh</w:t>
        </w:r>
      </w:smartTag>
      <w:r w:rsidRPr="00C5494E">
        <w:t xml:space="preserve"> and </w:t>
      </w:r>
      <w:smartTag w:uri="urn:schemas-microsoft-com:office:smarttags" w:element="place">
        <w:smartTag w:uri="urn:schemas-microsoft-com:office:smarttags" w:element="country-region">
          <w:r w:rsidRPr="00C5494E">
            <w:t>Nepal</w:t>
          </w:r>
        </w:smartTag>
      </w:smartTag>
      <w:r w:rsidRPr="00C5494E">
        <w:t xml:space="preserve"> efforts should be made to provide broadband connectivity to the PIACs already in place. In </w:t>
      </w:r>
      <w:smartTag w:uri="urn:schemas-microsoft-com:office:smarttags" w:element="country-region">
        <w:r w:rsidRPr="00C5494E">
          <w:t>Afghanistan</w:t>
        </w:r>
      </w:smartTag>
      <w:r w:rsidRPr="00C5494E">
        <w:t xml:space="preserve"> and Bhutan</w:t>
      </w:r>
      <w:r w:rsidR="00527AA9" w:rsidRPr="00C5494E">
        <w:t>,</w:t>
      </w:r>
      <w:r w:rsidRPr="00C5494E">
        <w:t xml:space="preserve"> the focus should be put in extending the reach of PIACs, and in equipping the new ones directly with broadband connections.</w:t>
      </w:r>
    </w:p>
    <w:p w:rsidR="00C464E3" w:rsidRPr="00011BA4" w:rsidRDefault="00DB32C8" w:rsidP="00011BA4">
      <w:r w:rsidRPr="00C5494E">
        <w:t>In Bhutan, the Government of Bhutan, the Government of India, ITU and the Universal Postal Union have collaborated in a project to extend e-services through post offices. The project targeted 32 post offices that had a reasonable ICT infrastructure, plus six post offices at remote locations, for which VSAT equipment was deployed in order to provide connectivity. The project was signed in 2002, and by the end of 2008 the targeted 32 post offices were computerized and five out of six remote post offices had their VSAT equipment functioning.</w:t>
      </w:r>
      <w:r w:rsidRPr="00C5494E">
        <w:rPr>
          <w:vertAlign w:val="superscript"/>
        </w:rPr>
        <w:footnoteReference w:id="46"/>
      </w:r>
      <w:bookmarkStart w:id="46" w:name="_Toc273517402"/>
    </w:p>
    <w:p w:rsidR="00C464E3" w:rsidRPr="00C5494E" w:rsidRDefault="00C464E3" w:rsidP="00C464E3">
      <w:pPr>
        <w:pStyle w:val="Heading2"/>
      </w:pPr>
      <w:bookmarkStart w:id="47" w:name="_Toc273623631"/>
      <w:r w:rsidRPr="00C5494E">
        <w:t>4.4</w:t>
      </w:r>
      <w:r w:rsidRPr="00C5494E">
        <w:tab/>
        <w:t>BROADBAND PRICES</w:t>
      </w:r>
      <w:bookmarkEnd w:id="46"/>
      <w:bookmarkEnd w:id="47"/>
      <w:r w:rsidRPr="00C5494E">
        <w:t xml:space="preserve"> </w:t>
      </w:r>
    </w:p>
    <w:p w:rsidR="00C464E3" w:rsidRPr="00C5494E" w:rsidRDefault="00C464E3" w:rsidP="00527AA9">
      <w:pPr>
        <w:rPr>
          <w:bCs/>
        </w:rPr>
      </w:pPr>
      <w:r w:rsidRPr="00C5494E">
        <w:rPr>
          <w:bCs/>
        </w:rPr>
        <w:t>ITU has highlighted the importance for policy</w:t>
      </w:r>
      <w:r w:rsidR="00527AA9" w:rsidRPr="00C5494E">
        <w:rPr>
          <w:bCs/>
        </w:rPr>
        <w:t>-</w:t>
      </w:r>
      <w:r w:rsidRPr="00C5494E">
        <w:rPr>
          <w:bCs/>
        </w:rPr>
        <w:t xml:space="preserve">makers to address the issue of ICT prices, and to consider the so-called “power of price” as a relevant factor for ICT uptake (ITU, 2009a). No matter how effective policy initiatives to extend broadband networks are, they will not result in higher broadband uptake if prices are not affordable. </w:t>
      </w:r>
    </w:p>
    <w:p w:rsidR="00C464E3" w:rsidRPr="00C5494E" w:rsidRDefault="00F166B1" w:rsidP="00F166B1">
      <w:pPr>
        <w:rPr>
          <w:bCs/>
        </w:rPr>
      </w:pPr>
      <w:r w:rsidRPr="00C5494E">
        <w:rPr>
          <w:bCs/>
        </w:rPr>
        <w:t>Since 2008, ITU has been collecting fixed broadband Internet prices. Mobile broadband prices have not yet been collected.</w:t>
      </w:r>
      <w:r w:rsidRPr="00C5494E">
        <w:rPr>
          <w:bCs/>
          <w:vertAlign w:val="superscript"/>
        </w:rPr>
        <w:footnoteReference w:id="47"/>
      </w:r>
      <w:r w:rsidRPr="00C5494E">
        <w:rPr>
          <w:bCs/>
        </w:rPr>
        <w:t xml:space="preserve"> As it has been analyzed in Chapter 3 (see Chart 3.12), in </w:t>
      </w:r>
      <w:smartTag w:uri="urn:schemas-microsoft-com:office:smarttags" w:element="country-region">
        <w:smartTag w:uri="urn:schemas-microsoft-com:office:smarttags" w:element="place">
          <w:r w:rsidRPr="00C5494E">
            <w:rPr>
              <w:bCs/>
            </w:rPr>
            <w:t>Nepal</w:t>
          </w:r>
        </w:smartTag>
      </w:smartTag>
      <w:r w:rsidRPr="00C5494E">
        <w:rPr>
          <w:bCs/>
        </w:rPr>
        <w:t xml:space="preserve"> the price of a fixed broadband subscription corresponds to 64 </w:t>
      </w:r>
      <w:r w:rsidR="000F4A58" w:rsidRPr="00C5494E">
        <w:rPr>
          <w:bCs/>
        </w:rPr>
        <w:t>per cent</w:t>
      </w:r>
      <w:r w:rsidRPr="00C5494E">
        <w:rPr>
          <w:bCs/>
        </w:rPr>
        <w:t xml:space="preserve"> of the average monthly income of a Nepali. In </w:t>
      </w:r>
      <w:smartTag w:uri="urn:schemas-microsoft-com:office:smarttags" w:element="place">
        <w:smartTag w:uri="urn:schemas-microsoft-com:office:smarttags" w:element="country-region">
          <w:r w:rsidRPr="00C5494E">
            <w:rPr>
              <w:bCs/>
            </w:rPr>
            <w:t>Bangladesh</w:t>
          </w:r>
        </w:smartTag>
      </w:smartTag>
      <w:r w:rsidRPr="00C5494E">
        <w:rPr>
          <w:bCs/>
        </w:rPr>
        <w:t xml:space="preserve">, it represents more than 100 </w:t>
      </w:r>
      <w:r w:rsidR="000F4A58" w:rsidRPr="00C5494E">
        <w:rPr>
          <w:bCs/>
        </w:rPr>
        <w:t>per cent</w:t>
      </w:r>
      <w:r w:rsidRPr="00C5494E">
        <w:rPr>
          <w:bCs/>
        </w:rPr>
        <w:t xml:space="preserve"> of the average monthly income per capita in the country. These findings are in line with the fact that these countries have the lowest levels of fixed broadband penetration in South Asia, together with </w:t>
      </w:r>
      <w:smartTag w:uri="urn:schemas-microsoft-com:office:smarttags" w:element="place">
        <w:smartTag w:uri="urn:schemas-microsoft-com:office:smarttags" w:element="country-region">
          <w:r w:rsidRPr="00C5494E">
            <w:rPr>
              <w:bCs/>
            </w:rPr>
            <w:t>Afghanistan</w:t>
          </w:r>
        </w:smartTag>
      </w:smartTag>
      <w:r w:rsidRPr="00C5494E">
        <w:rPr>
          <w:bCs/>
        </w:rPr>
        <w:t xml:space="preserve"> (no price data available for the country).</w:t>
      </w:r>
    </w:p>
    <w:p w:rsidR="00DB32C8" w:rsidRPr="00C5494E" w:rsidRDefault="00C464E3" w:rsidP="00C464E3">
      <w:pPr>
        <w:rPr>
          <w:bCs/>
        </w:rPr>
      </w:pPr>
      <w:r w:rsidRPr="00C5494E">
        <w:rPr>
          <w:bCs/>
        </w:rPr>
        <w:t xml:space="preserve">Table 4.2 summarizes the comparative situation of fixed broadband prices in ABBMN countries (except Afghanistan, due to lack of data), and benchmarks them against selected developed countries. </w:t>
      </w:r>
    </w:p>
    <w:p w:rsidR="00C464E3" w:rsidRDefault="00F166B1" w:rsidP="00527AA9">
      <w:pPr>
        <w:rPr>
          <w:bCs/>
        </w:rPr>
      </w:pPr>
      <w:r w:rsidRPr="00C5494E">
        <w:rPr>
          <w:bCs/>
        </w:rPr>
        <w:t>As highlighted in the table, nominal fixed broadband prices (</w:t>
      </w:r>
      <w:r w:rsidR="00262FB0" w:rsidRPr="00C5494E">
        <w:rPr>
          <w:bCs/>
        </w:rPr>
        <w:t>USD</w:t>
      </w:r>
      <w:r w:rsidRPr="00C5494E">
        <w:rPr>
          <w:bCs/>
        </w:rPr>
        <w:t xml:space="preserve">) in </w:t>
      </w:r>
      <w:smartTag w:uri="urn:schemas-microsoft-com:office:smarttags" w:element="place">
        <w:smartTag w:uri="urn:schemas-microsoft-com:office:smarttags" w:element="country-region">
          <w:r w:rsidRPr="00C5494E">
            <w:rPr>
              <w:bCs/>
            </w:rPr>
            <w:t>Bangladesh</w:t>
          </w:r>
        </w:smartTag>
      </w:smartTag>
      <w:r w:rsidRPr="00C5494E">
        <w:rPr>
          <w:bCs/>
        </w:rPr>
        <w:t xml:space="preserve"> are uncommonly high. In </w:t>
      </w:r>
      <w:smartTag w:uri="urn:schemas-microsoft-com:office:smarttags" w:element="country-region">
        <w:r w:rsidRPr="00C5494E">
          <w:rPr>
            <w:bCs/>
          </w:rPr>
          <w:t>Nepal</w:t>
        </w:r>
      </w:smartTag>
      <w:r w:rsidRPr="00C5494E">
        <w:rPr>
          <w:bCs/>
        </w:rPr>
        <w:t xml:space="preserve"> they are also expensive: a fixed broadband connection costs more than twice as much as in Bhutan and </w:t>
      </w:r>
      <w:smartTag w:uri="urn:schemas-microsoft-com:office:smarttags" w:element="country-region">
        <w:r w:rsidRPr="00C5494E">
          <w:rPr>
            <w:bCs/>
          </w:rPr>
          <w:t>Maldives</w:t>
        </w:r>
      </w:smartTag>
      <w:r w:rsidRPr="00C5494E">
        <w:rPr>
          <w:bCs/>
        </w:rPr>
        <w:t xml:space="preserve">, and the same as in the </w:t>
      </w:r>
      <w:smartTag w:uri="urn:schemas-microsoft-com:office:smarttags" w:element="place">
        <w:smartTag w:uri="urn:schemas-microsoft-com:office:smarttags" w:element="country-region">
          <w:r w:rsidRPr="00C5494E">
            <w:rPr>
              <w:bCs/>
            </w:rPr>
            <w:t>United States</w:t>
          </w:r>
        </w:smartTag>
      </w:smartTag>
      <w:r w:rsidRPr="00C5494E">
        <w:rPr>
          <w:bCs/>
        </w:rPr>
        <w:t>.</w:t>
      </w:r>
    </w:p>
    <w:p w:rsidR="00011BA4" w:rsidRPr="00C5494E" w:rsidRDefault="00011BA4" w:rsidP="00011BA4">
      <w:pPr>
        <w:rPr>
          <w:bCs/>
        </w:rPr>
      </w:pPr>
      <w:r w:rsidRPr="00C5494E">
        <w:rPr>
          <w:bCs/>
        </w:rPr>
        <w:t xml:space="preserve">Table 4.2 also includes a comparison between fixed telephony prices and fixed broadband prices (both services are deployed based on the same network, although requiring different active devices, resources, etc.). Fixed broadband prices are much higher than fixed telephony prices in </w:t>
      </w:r>
      <w:smartTag w:uri="urn:schemas-microsoft-com:office:smarttags" w:element="country-region">
        <w:r w:rsidRPr="00C5494E">
          <w:rPr>
            <w:bCs/>
          </w:rPr>
          <w:t>Bangladesh</w:t>
        </w:r>
      </w:smartTag>
      <w:r w:rsidRPr="00C5494E">
        <w:rPr>
          <w:bCs/>
        </w:rPr>
        <w:t xml:space="preserve"> and </w:t>
      </w:r>
      <w:smartTag w:uri="urn:schemas-microsoft-com:office:smarttags" w:element="place">
        <w:smartTag w:uri="urn:schemas-microsoft-com:office:smarttags" w:element="country-region">
          <w:r w:rsidRPr="00C5494E">
            <w:rPr>
              <w:bCs/>
            </w:rPr>
            <w:t>Nepal</w:t>
          </w:r>
        </w:smartTag>
      </w:smartTag>
      <w:r w:rsidRPr="00C5494E">
        <w:rPr>
          <w:bCs/>
        </w:rPr>
        <w:t xml:space="preserve">, while they are much more balanced in all other countries included in the table. Inequalities in prices are indeed related to inequalities in penetration of the two services. In those countries where prices of both services are similar, penetration rates of fixed broadband and fixed telephony tend to be also similar. In </w:t>
      </w:r>
      <w:smartTag w:uri="urn:schemas-microsoft-com:office:smarttags" w:element="country-region">
        <w:r w:rsidRPr="00C5494E">
          <w:rPr>
            <w:bCs/>
          </w:rPr>
          <w:t>Bangladesh</w:t>
        </w:r>
      </w:smartTag>
      <w:r w:rsidRPr="00C5494E">
        <w:rPr>
          <w:bCs/>
        </w:rPr>
        <w:t xml:space="preserve"> and </w:t>
      </w:r>
      <w:smartTag w:uri="urn:schemas-microsoft-com:office:smarttags" w:element="place">
        <w:smartTag w:uri="urn:schemas-microsoft-com:office:smarttags" w:element="country-region">
          <w:r w:rsidRPr="00C5494E">
            <w:rPr>
              <w:bCs/>
            </w:rPr>
            <w:t>Nepal</w:t>
          </w:r>
        </w:smartTag>
      </w:smartTag>
      <w:r w:rsidRPr="00C5494E">
        <w:rPr>
          <w:bCs/>
        </w:rPr>
        <w:t>, much higher fixed broadband prices than fixed telephony prices are linked with much lower fixed broadband penetration than fixed telephone penetration.</w:t>
      </w:r>
    </w:p>
    <w:p w:rsidR="00C464E3" w:rsidRPr="00C5494E" w:rsidRDefault="00C464E3" w:rsidP="00C464E3">
      <w:pPr>
        <w:rPr>
          <w:bCs/>
        </w:rPr>
      </w:pPr>
    </w:p>
    <w:tbl>
      <w:tblPr>
        <w:tblStyle w:val="LightShading-Accent2"/>
        <w:tblW w:w="9356" w:type="dxa"/>
        <w:jc w:val="center"/>
        <w:tblLook w:val="04A0"/>
      </w:tblPr>
      <w:tblGrid>
        <w:gridCol w:w="1810"/>
        <w:gridCol w:w="1023"/>
        <w:gridCol w:w="1120"/>
        <w:gridCol w:w="1378"/>
        <w:gridCol w:w="1929"/>
        <w:gridCol w:w="2096"/>
      </w:tblGrid>
      <w:tr w:rsidR="00C464E3" w:rsidRPr="00C5494E" w:rsidTr="00C464E3">
        <w:trPr>
          <w:cnfStyle w:val="100000000000"/>
          <w:jc w:val="center"/>
        </w:trPr>
        <w:tc>
          <w:tcPr>
            <w:cnfStyle w:val="001000000000"/>
            <w:tcW w:w="9356" w:type="dxa"/>
            <w:gridSpan w:val="6"/>
            <w:tcBorders>
              <w:top w:val="single" w:sz="8" w:space="0" w:color="990033"/>
              <w:left w:val="single" w:sz="8" w:space="0" w:color="990033"/>
              <w:bottom w:val="single" w:sz="8" w:space="0" w:color="990033"/>
              <w:right w:val="single" w:sz="8" w:space="0" w:color="990033"/>
            </w:tcBorders>
            <w:shd w:val="clear" w:color="auto" w:fill="990033"/>
          </w:tcPr>
          <w:p w:rsidR="00C464E3" w:rsidRPr="00C5494E" w:rsidRDefault="00C464E3" w:rsidP="00527AA9">
            <w:pPr>
              <w:pStyle w:val="TableNoTitle"/>
              <w:ind w:left="1191" w:hanging="1191"/>
              <w:rPr>
                <w:lang w:val="en-GB"/>
              </w:rPr>
            </w:pPr>
            <w:r w:rsidRPr="00C5494E">
              <w:rPr>
                <w:lang w:val="en-GB"/>
              </w:rPr>
              <w:lastRenderedPageBreak/>
              <w:t xml:space="preserve">Table 4.2: </w:t>
            </w:r>
            <w:r w:rsidR="00527AA9" w:rsidRPr="00C5494E">
              <w:rPr>
                <w:lang w:val="en-GB"/>
              </w:rPr>
              <w:tab/>
            </w:r>
            <w:r w:rsidRPr="00C5494E">
              <w:rPr>
                <w:lang w:val="en-GB"/>
              </w:rPr>
              <w:t xml:space="preserve">Comparison of recurring monthly fixed broadband prices in ABBMN countries and other selected economies. </w:t>
            </w:r>
          </w:p>
        </w:tc>
      </w:tr>
      <w:tr w:rsidR="00C464E3" w:rsidRPr="00C5494E" w:rsidTr="00C464E3">
        <w:trPr>
          <w:cnfStyle w:val="000000100000"/>
          <w:jc w:val="center"/>
        </w:trPr>
        <w:tc>
          <w:tcPr>
            <w:cnfStyle w:val="001000000000"/>
            <w:tcW w:w="1810" w:type="dxa"/>
            <w:tcBorders>
              <w:top w:val="single" w:sz="8" w:space="0" w:color="990033"/>
              <w:left w:val="single" w:sz="8" w:space="0" w:color="990033"/>
              <w:bottom w:val="nil"/>
              <w:right w:val="single" w:sz="8" w:space="0" w:color="990033"/>
            </w:tcBorders>
            <w:vAlign w:val="center"/>
          </w:tcPr>
          <w:p w:rsidR="00C464E3" w:rsidRPr="00C5494E" w:rsidRDefault="00C464E3" w:rsidP="00C464E3">
            <w:pPr>
              <w:spacing w:before="40" w:after="40"/>
              <w:jc w:val="left"/>
              <w:rPr>
                <w:bCs w:val="0"/>
                <w:color w:val="990033"/>
                <w:sz w:val="20"/>
              </w:rPr>
            </w:pPr>
          </w:p>
        </w:tc>
        <w:tc>
          <w:tcPr>
            <w:tcW w:w="1023" w:type="dxa"/>
            <w:tcBorders>
              <w:top w:val="single" w:sz="8" w:space="0" w:color="990033"/>
              <w:left w:val="single" w:sz="8" w:space="0" w:color="990033"/>
              <w:bottom w:val="nil"/>
              <w:right w:val="single" w:sz="8" w:space="0" w:color="990033"/>
            </w:tcBorders>
            <w:vAlign w:val="center"/>
          </w:tcPr>
          <w:p w:rsidR="00C464E3" w:rsidRPr="00C5494E" w:rsidRDefault="00C464E3" w:rsidP="00C464E3">
            <w:pPr>
              <w:pStyle w:val="Tablehead"/>
              <w:spacing w:before="40" w:after="40"/>
              <w:cnfStyle w:val="000000100000"/>
              <w:rPr>
                <w:lang w:val="en-GB"/>
              </w:rPr>
            </w:pPr>
            <w:r w:rsidRPr="00C5494E">
              <w:rPr>
                <w:lang w:val="en-GB"/>
              </w:rPr>
              <w:t>Price USD 2009</w:t>
            </w:r>
          </w:p>
        </w:tc>
        <w:tc>
          <w:tcPr>
            <w:tcW w:w="1120" w:type="dxa"/>
            <w:tcBorders>
              <w:top w:val="single" w:sz="8" w:space="0" w:color="990033"/>
              <w:left w:val="single" w:sz="8" w:space="0" w:color="990033"/>
              <w:bottom w:val="nil"/>
              <w:right w:val="single" w:sz="8" w:space="0" w:color="990033"/>
            </w:tcBorders>
            <w:vAlign w:val="center"/>
          </w:tcPr>
          <w:p w:rsidR="00C464E3" w:rsidRPr="00C5494E" w:rsidRDefault="00C464E3" w:rsidP="00C464E3">
            <w:pPr>
              <w:pStyle w:val="Tablehead"/>
              <w:spacing w:before="40" w:after="40"/>
              <w:cnfStyle w:val="000000100000"/>
              <w:rPr>
                <w:lang w:val="en-GB"/>
              </w:rPr>
            </w:pPr>
            <w:r w:rsidRPr="00C5494E">
              <w:rPr>
                <w:lang w:val="en-GB"/>
              </w:rPr>
              <w:t xml:space="preserve">Price % income 2009 </w:t>
            </w:r>
          </w:p>
        </w:tc>
        <w:tc>
          <w:tcPr>
            <w:tcW w:w="1378"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C464E3" w:rsidRPr="00C5494E" w:rsidRDefault="00C464E3" w:rsidP="00C464E3">
            <w:pPr>
              <w:pStyle w:val="Tablehead"/>
              <w:spacing w:before="40" w:after="40"/>
              <w:cnfStyle w:val="000000100000"/>
              <w:rPr>
                <w:lang w:val="en-GB"/>
              </w:rPr>
            </w:pPr>
            <w:r w:rsidRPr="00C5494E">
              <w:rPr>
                <w:lang w:val="en-GB"/>
              </w:rPr>
              <w:t>∆ 2009/2008</w:t>
            </w:r>
          </w:p>
        </w:tc>
        <w:tc>
          <w:tcPr>
            <w:tcW w:w="1929" w:type="dxa"/>
            <w:tcBorders>
              <w:top w:val="single" w:sz="8" w:space="0" w:color="990033"/>
              <w:left w:val="single" w:sz="8" w:space="0" w:color="990033"/>
              <w:bottom w:val="nil"/>
              <w:right w:val="single" w:sz="8" w:space="0" w:color="990033"/>
            </w:tcBorders>
            <w:vAlign w:val="center"/>
          </w:tcPr>
          <w:p w:rsidR="00C464E3" w:rsidRPr="00C5494E" w:rsidRDefault="00C464E3" w:rsidP="00C464E3">
            <w:pPr>
              <w:pStyle w:val="Tablehead"/>
              <w:spacing w:before="40" w:after="40"/>
              <w:cnfStyle w:val="000000100000"/>
              <w:rPr>
                <w:lang w:val="en-GB"/>
              </w:rPr>
            </w:pPr>
            <w:r w:rsidRPr="00C5494E">
              <w:rPr>
                <w:lang w:val="en-GB"/>
              </w:rPr>
              <w:t>Price broadband/ fixed telephone</w:t>
            </w:r>
            <w:r w:rsidRPr="00C5494E">
              <w:rPr>
                <w:lang w:val="en-GB"/>
              </w:rPr>
              <w:br/>
              <w:t>2009</w:t>
            </w:r>
          </w:p>
        </w:tc>
        <w:tc>
          <w:tcPr>
            <w:tcW w:w="2096" w:type="dxa"/>
            <w:tcBorders>
              <w:top w:val="single" w:sz="8" w:space="0" w:color="990033"/>
              <w:left w:val="single" w:sz="8" w:space="0" w:color="990033"/>
              <w:bottom w:val="nil"/>
              <w:right w:val="single" w:sz="8" w:space="0" w:color="990033"/>
            </w:tcBorders>
            <w:vAlign w:val="center"/>
          </w:tcPr>
          <w:p w:rsidR="00C464E3" w:rsidRPr="00C5494E" w:rsidRDefault="00C464E3" w:rsidP="00C464E3">
            <w:pPr>
              <w:pStyle w:val="Tablehead"/>
              <w:spacing w:before="40" w:after="40"/>
              <w:cnfStyle w:val="000000100000"/>
              <w:rPr>
                <w:lang w:val="en-GB"/>
              </w:rPr>
            </w:pPr>
            <w:r w:rsidRPr="00C5494E">
              <w:rPr>
                <w:lang w:val="en-GB"/>
              </w:rPr>
              <w:t>Penetration fixed telephone/fixed broadband</w:t>
            </w:r>
            <w:r w:rsidRPr="00C5494E">
              <w:rPr>
                <w:lang w:val="en-GB"/>
              </w:rPr>
              <w:br/>
              <w:t>2009</w:t>
            </w:r>
          </w:p>
        </w:tc>
      </w:tr>
      <w:tr w:rsidR="00C464E3" w:rsidRPr="00C5494E" w:rsidTr="00C464E3">
        <w:trPr>
          <w:jc w:val="center"/>
        </w:trPr>
        <w:tc>
          <w:tcPr>
            <w:cnfStyle w:val="001000000000"/>
            <w:tcW w:w="1810" w:type="dxa"/>
            <w:tcBorders>
              <w:top w:val="single" w:sz="8" w:space="0" w:color="990033"/>
              <w:left w:val="single" w:sz="8" w:space="0" w:color="990033"/>
              <w:bottom w:val="nil"/>
              <w:right w:val="single" w:sz="8" w:space="0" w:color="990033"/>
            </w:tcBorders>
            <w:vAlign w:val="center"/>
          </w:tcPr>
          <w:p w:rsidR="00C464E3" w:rsidRPr="00C5494E" w:rsidRDefault="00C464E3" w:rsidP="00C464E3">
            <w:pPr>
              <w:spacing w:before="40" w:after="40"/>
              <w:jc w:val="left"/>
              <w:rPr>
                <w:bCs w:val="0"/>
                <w:color w:val="990033"/>
                <w:sz w:val="20"/>
              </w:rPr>
            </w:pPr>
            <w:r w:rsidRPr="00C5494E">
              <w:rPr>
                <w:bCs w:val="0"/>
                <w:color w:val="990033"/>
                <w:sz w:val="20"/>
              </w:rPr>
              <w:t>Bangladesh</w:t>
            </w:r>
          </w:p>
        </w:tc>
        <w:tc>
          <w:tcPr>
            <w:tcW w:w="1023" w:type="dxa"/>
            <w:tcBorders>
              <w:top w:val="single" w:sz="8" w:space="0" w:color="990033"/>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50.4</w:t>
            </w:r>
          </w:p>
        </w:tc>
        <w:tc>
          <w:tcPr>
            <w:tcW w:w="1120" w:type="dxa"/>
            <w:tcBorders>
              <w:top w:val="single" w:sz="8" w:space="0" w:color="990033"/>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116%</w:t>
            </w:r>
          </w:p>
        </w:tc>
        <w:tc>
          <w:tcPr>
            <w:tcW w:w="1378" w:type="dxa"/>
            <w:tcBorders>
              <w:top w:val="single" w:sz="8" w:space="0" w:color="990033"/>
              <w:left w:val="single" w:sz="8" w:space="0" w:color="990033"/>
              <w:bottom w:val="nil"/>
              <w:right w:val="single" w:sz="8" w:space="0" w:color="990033"/>
            </w:tcBorders>
            <w:shd w:val="clear" w:color="auto" w:fill="auto"/>
            <w:vAlign w:val="center"/>
          </w:tcPr>
          <w:p w:rsidR="00C464E3" w:rsidRPr="00C5494E" w:rsidRDefault="00C464E3" w:rsidP="00C464E3">
            <w:pPr>
              <w:pStyle w:val="Tabletext"/>
              <w:jc w:val="center"/>
              <w:cnfStyle w:val="000000000000"/>
            </w:pPr>
            <w:r w:rsidRPr="00C5494E">
              <w:t>–7%</w:t>
            </w:r>
          </w:p>
        </w:tc>
        <w:tc>
          <w:tcPr>
            <w:tcW w:w="1929" w:type="dxa"/>
            <w:tcBorders>
              <w:top w:val="single" w:sz="8" w:space="0" w:color="990033"/>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32 times higher</w:t>
            </w:r>
          </w:p>
        </w:tc>
        <w:tc>
          <w:tcPr>
            <w:tcW w:w="2096" w:type="dxa"/>
            <w:tcBorders>
              <w:top w:val="single" w:sz="8" w:space="0" w:color="990033"/>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31 times higher</w:t>
            </w:r>
          </w:p>
        </w:tc>
      </w:tr>
      <w:tr w:rsidR="00C464E3" w:rsidRPr="00C5494E" w:rsidTr="00C464E3">
        <w:trPr>
          <w:cnfStyle w:val="000000100000"/>
          <w:jc w:val="center"/>
        </w:trPr>
        <w:tc>
          <w:tcPr>
            <w:cnfStyle w:val="001000000000"/>
            <w:tcW w:w="1810" w:type="dxa"/>
            <w:tcBorders>
              <w:top w:val="nil"/>
              <w:left w:val="single" w:sz="8" w:space="0" w:color="990033"/>
              <w:bottom w:val="nil"/>
              <w:right w:val="single" w:sz="8" w:space="0" w:color="990033"/>
            </w:tcBorders>
            <w:vAlign w:val="center"/>
          </w:tcPr>
          <w:p w:rsidR="00C464E3" w:rsidRPr="00C5494E" w:rsidRDefault="00C464E3" w:rsidP="00C464E3">
            <w:pPr>
              <w:spacing w:before="40" w:after="40"/>
              <w:jc w:val="left"/>
              <w:rPr>
                <w:bCs w:val="0"/>
                <w:color w:val="990033"/>
                <w:sz w:val="20"/>
              </w:rPr>
            </w:pPr>
            <w:r w:rsidRPr="00C5494E">
              <w:rPr>
                <w:bCs w:val="0"/>
                <w:color w:val="990033"/>
                <w:sz w:val="20"/>
              </w:rPr>
              <w:t xml:space="preserve">Bhutan </w:t>
            </w:r>
          </w:p>
        </w:tc>
        <w:tc>
          <w:tcPr>
            <w:tcW w:w="1023" w:type="dxa"/>
            <w:tcBorders>
              <w:top w:val="nil"/>
              <w:left w:val="single" w:sz="8" w:space="0" w:color="990033"/>
              <w:bottom w:val="nil"/>
              <w:right w:val="single" w:sz="8" w:space="0" w:color="990033"/>
            </w:tcBorders>
            <w:vAlign w:val="center"/>
          </w:tcPr>
          <w:p w:rsidR="00C464E3" w:rsidRPr="00C5494E" w:rsidRDefault="00C464E3" w:rsidP="00C464E3">
            <w:pPr>
              <w:pStyle w:val="Tabletext"/>
              <w:jc w:val="center"/>
              <w:cnfStyle w:val="000000100000"/>
            </w:pPr>
            <w:r w:rsidRPr="00C5494E">
              <w:t>10.0</w:t>
            </w:r>
          </w:p>
        </w:tc>
        <w:tc>
          <w:tcPr>
            <w:tcW w:w="1120" w:type="dxa"/>
            <w:tcBorders>
              <w:top w:val="nil"/>
              <w:left w:val="single" w:sz="8" w:space="0" w:color="990033"/>
              <w:bottom w:val="nil"/>
              <w:right w:val="single" w:sz="8" w:space="0" w:color="990033"/>
            </w:tcBorders>
            <w:vAlign w:val="center"/>
          </w:tcPr>
          <w:p w:rsidR="00C464E3" w:rsidRPr="00C5494E" w:rsidRDefault="00C464E3" w:rsidP="00C464E3">
            <w:pPr>
              <w:pStyle w:val="Tabletext"/>
              <w:jc w:val="center"/>
              <w:cnfStyle w:val="000000100000"/>
            </w:pPr>
            <w:r w:rsidRPr="00C5494E">
              <w:t>6.3%</w:t>
            </w:r>
          </w:p>
        </w:tc>
        <w:tc>
          <w:tcPr>
            <w:tcW w:w="1378" w:type="dxa"/>
            <w:tcBorders>
              <w:top w:val="nil"/>
              <w:left w:val="single" w:sz="8" w:space="0" w:color="990033"/>
              <w:bottom w:val="nil"/>
              <w:right w:val="single" w:sz="8" w:space="0" w:color="990033"/>
            </w:tcBorders>
            <w:vAlign w:val="center"/>
          </w:tcPr>
          <w:p w:rsidR="00C464E3" w:rsidRPr="00C5494E" w:rsidRDefault="00C464E3" w:rsidP="00C464E3">
            <w:pPr>
              <w:pStyle w:val="Tabletext"/>
              <w:jc w:val="center"/>
              <w:cnfStyle w:val="000000100000"/>
            </w:pPr>
            <w:r w:rsidRPr="00C5494E">
              <w:t>–84%</w:t>
            </w:r>
          </w:p>
        </w:tc>
        <w:tc>
          <w:tcPr>
            <w:tcW w:w="1929" w:type="dxa"/>
            <w:tcBorders>
              <w:top w:val="nil"/>
              <w:left w:val="single" w:sz="8" w:space="0" w:color="990033"/>
              <w:bottom w:val="nil"/>
              <w:right w:val="single" w:sz="8" w:space="0" w:color="990033"/>
            </w:tcBorders>
            <w:vAlign w:val="center"/>
          </w:tcPr>
          <w:p w:rsidR="00C464E3" w:rsidRPr="00C5494E" w:rsidRDefault="00C464E3" w:rsidP="00C464E3">
            <w:pPr>
              <w:pStyle w:val="Tabletext"/>
              <w:jc w:val="center"/>
              <w:cnfStyle w:val="000000100000"/>
            </w:pPr>
            <w:r w:rsidRPr="00C5494E">
              <w:t>3 times higher</w:t>
            </w:r>
          </w:p>
        </w:tc>
        <w:tc>
          <w:tcPr>
            <w:tcW w:w="2096" w:type="dxa"/>
            <w:tcBorders>
              <w:top w:val="nil"/>
              <w:left w:val="single" w:sz="8" w:space="0" w:color="990033"/>
              <w:bottom w:val="nil"/>
              <w:right w:val="single" w:sz="8" w:space="0" w:color="990033"/>
            </w:tcBorders>
            <w:shd w:val="clear" w:color="auto" w:fill="EFD3D2"/>
            <w:vAlign w:val="center"/>
          </w:tcPr>
          <w:p w:rsidR="00C464E3" w:rsidRPr="00C5494E" w:rsidRDefault="00C464E3" w:rsidP="00C464E3">
            <w:pPr>
              <w:pStyle w:val="Tabletext"/>
              <w:jc w:val="center"/>
              <w:cnfStyle w:val="000000100000"/>
            </w:pPr>
            <w:r w:rsidRPr="00C5494E">
              <w:t>8.5 times higher</w:t>
            </w:r>
          </w:p>
        </w:tc>
      </w:tr>
      <w:tr w:rsidR="00C464E3" w:rsidRPr="00C5494E" w:rsidTr="00C464E3">
        <w:trPr>
          <w:jc w:val="center"/>
        </w:trPr>
        <w:tc>
          <w:tcPr>
            <w:cnfStyle w:val="001000000000"/>
            <w:tcW w:w="1810" w:type="dxa"/>
            <w:tcBorders>
              <w:top w:val="nil"/>
              <w:left w:val="single" w:sz="8" w:space="0" w:color="990033"/>
              <w:bottom w:val="nil"/>
              <w:right w:val="single" w:sz="8" w:space="0" w:color="990033"/>
            </w:tcBorders>
            <w:vAlign w:val="center"/>
          </w:tcPr>
          <w:p w:rsidR="00C464E3" w:rsidRPr="00C5494E" w:rsidRDefault="00C464E3" w:rsidP="00C464E3">
            <w:pPr>
              <w:spacing w:before="40" w:after="40"/>
              <w:jc w:val="left"/>
              <w:rPr>
                <w:bCs w:val="0"/>
                <w:color w:val="990033"/>
                <w:sz w:val="20"/>
              </w:rPr>
            </w:pPr>
            <w:r w:rsidRPr="00C5494E">
              <w:rPr>
                <w:bCs w:val="0"/>
                <w:color w:val="990033"/>
                <w:sz w:val="20"/>
              </w:rPr>
              <w:t>Maldives</w:t>
            </w:r>
          </w:p>
        </w:tc>
        <w:tc>
          <w:tcPr>
            <w:tcW w:w="1023" w:type="dxa"/>
            <w:tcBorders>
              <w:top w:val="nil"/>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9.4</w:t>
            </w:r>
          </w:p>
        </w:tc>
        <w:tc>
          <w:tcPr>
            <w:tcW w:w="1120" w:type="dxa"/>
            <w:tcBorders>
              <w:top w:val="nil"/>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3%</w:t>
            </w:r>
          </w:p>
        </w:tc>
        <w:tc>
          <w:tcPr>
            <w:tcW w:w="1378" w:type="dxa"/>
            <w:tcBorders>
              <w:top w:val="nil"/>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0%</w:t>
            </w:r>
          </w:p>
        </w:tc>
        <w:tc>
          <w:tcPr>
            <w:tcW w:w="1929" w:type="dxa"/>
            <w:tcBorders>
              <w:top w:val="nil"/>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2 times higher</w:t>
            </w:r>
          </w:p>
        </w:tc>
        <w:tc>
          <w:tcPr>
            <w:tcW w:w="2096" w:type="dxa"/>
            <w:tcBorders>
              <w:top w:val="nil"/>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3 times higher</w:t>
            </w:r>
          </w:p>
        </w:tc>
      </w:tr>
      <w:tr w:rsidR="00C464E3" w:rsidRPr="00C5494E" w:rsidTr="00C464E3">
        <w:trPr>
          <w:cnfStyle w:val="000000100000"/>
          <w:jc w:val="center"/>
        </w:trPr>
        <w:tc>
          <w:tcPr>
            <w:cnfStyle w:val="001000000000"/>
            <w:tcW w:w="1810" w:type="dxa"/>
            <w:tcBorders>
              <w:top w:val="nil"/>
              <w:left w:val="single" w:sz="8" w:space="0" w:color="990033"/>
              <w:bottom w:val="double" w:sz="4" w:space="0" w:color="990033"/>
              <w:right w:val="single" w:sz="8" w:space="0" w:color="990033"/>
            </w:tcBorders>
            <w:vAlign w:val="center"/>
          </w:tcPr>
          <w:p w:rsidR="00C464E3" w:rsidRPr="00C5494E" w:rsidRDefault="00C464E3" w:rsidP="00C464E3">
            <w:pPr>
              <w:spacing w:before="40" w:after="40"/>
              <w:jc w:val="left"/>
              <w:rPr>
                <w:bCs w:val="0"/>
                <w:color w:val="990033"/>
                <w:sz w:val="20"/>
              </w:rPr>
            </w:pPr>
            <w:r w:rsidRPr="00C5494E">
              <w:rPr>
                <w:bCs w:val="0"/>
                <w:color w:val="990033"/>
                <w:sz w:val="20"/>
              </w:rPr>
              <w:t>Nepal</w:t>
            </w:r>
          </w:p>
        </w:tc>
        <w:tc>
          <w:tcPr>
            <w:tcW w:w="1023" w:type="dxa"/>
            <w:tcBorders>
              <w:top w:val="nil"/>
              <w:left w:val="single" w:sz="8" w:space="0" w:color="990033"/>
              <w:bottom w:val="double" w:sz="4" w:space="0" w:color="990033"/>
              <w:right w:val="single" w:sz="8" w:space="0" w:color="990033"/>
            </w:tcBorders>
            <w:vAlign w:val="center"/>
          </w:tcPr>
          <w:p w:rsidR="00C464E3" w:rsidRPr="00C5494E" w:rsidRDefault="00C464E3" w:rsidP="00C464E3">
            <w:pPr>
              <w:pStyle w:val="Tabletext"/>
              <w:jc w:val="center"/>
              <w:cnfStyle w:val="000000100000"/>
            </w:pPr>
            <w:r w:rsidRPr="00C5494E">
              <w:t>21.5</w:t>
            </w:r>
          </w:p>
        </w:tc>
        <w:tc>
          <w:tcPr>
            <w:tcW w:w="1120" w:type="dxa"/>
            <w:tcBorders>
              <w:top w:val="nil"/>
              <w:left w:val="single" w:sz="8" w:space="0" w:color="990033"/>
              <w:bottom w:val="double" w:sz="4" w:space="0" w:color="990033"/>
              <w:right w:val="single" w:sz="8" w:space="0" w:color="990033"/>
            </w:tcBorders>
            <w:vAlign w:val="center"/>
          </w:tcPr>
          <w:p w:rsidR="00C464E3" w:rsidRPr="00C5494E" w:rsidRDefault="00C464E3" w:rsidP="00C464E3">
            <w:pPr>
              <w:pStyle w:val="Tabletext"/>
              <w:jc w:val="center"/>
              <w:cnfStyle w:val="000000100000"/>
            </w:pPr>
            <w:r w:rsidRPr="00C5494E">
              <w:t>64%</w:t>
            </w:r>
          </w:p>
        </w:tc>
        <w:tc>
          <w:tcPr>
            <w:tcW w:w="1378" w:type="dxa"/>
            <w:tcBorders>
              <w:top w:val="nil"/>
              <w:left w:val="single" w:sz="8" w:space="0" w:color="990033"/>
              <w:bottom w:val="double" w:sz="4" w:space="0" w:color="990033"/>
              <w:right w:val="single" w:sz="8" w:space="0" w:color="990033"/>
            </w:tcBorders>
            <w:shd w:val="clear" w:color="auto" w:fill="EFD3D2"/>
            <w:vAlign w:val="center"/>
          </w:tcPr>
          <w:p w:rsidR="00C464E3" w:rsidRPr="00C5494E" w:rsidRDefault="00C464E3" w:rsidP="00C464E3">
            <w:pPr>
              <w:pStyle w:val="Tabletext"/>
              <w:jc w:val="center"/>
              <w:cnfStyle w:val="000000100000"/>
            </w:pPr>
            <w:r w:rsidRPr="00C5494E">
              <w:t>–6%</w:t>
            </w:r>
          </w:p>
        </w:tc>
        <w:tc>
          <w:tcPr>
            <w:tcW w:w="1929" w:type="dxa"/>
            <w:tcBorders>
              <w:top w:val="nil"/>
              <w:left w:val="single" w:sz="8" w:space="0" w:color="990033"/>
              <w:bottom w:val="double" w:sz="4" w:space="0" w:color="990033"/>
              <w:right w:val="single" w:sz="8" w:space="0" w:color="990033"/>
            </w:tcBorders>
            <w:vAlign w:val="center"/>
          </w:tcPr>
          <w:p w:rsidR="00C464E3" w:rsidRPr="00C5494E" w:rsidRDefault="00C464E3" w:rsidP="00C464E3">
            <w:pPr>
              <w:pStyle w:val="Tabletext"/>
              <w:jc w:val="center"/>
              <w:cnfStyle w:val="000000100000"/>
            </w:pPr>
            <w:r w:rsidRPr="00C5494E">
              <w:t>7 times higher</w:t>
            </w:r>
          </w:p>
        </w:tc>
        <w:tc>
          <w:tcPr>
            <w:tcW w:w="2096" w:type="dxa"/>
            <w:tcBorders>
              <w:top w:val="nil"/>
              <w:left w:val="single" w:sz="8" w:space="0" w:color="990033"/>
              <w:bottom w:val="double" w:sz="4" w:space="0" w:color="990033"/>
              <w:right w:val="single" w:sz="8" w:space="0" w:color="990033"/>
            </w:tcBorders>
            <w:vAlign w:val="center"/>
          </w:tcPr>
          <w:p w:rsidR="00C464E3" w:rsidRPr="00C5494E" w:rsidRDefault="00C464E3" w:rsidP="00C464E3">
            <w:pPr>
              <w:pStyle w:val="Tabletext"/>
              <w:jc w:val="center"/>
              <w:cnfStyle w:val="000000100000"/>
            </w:pPr>
            <w:r w:rsidRPr="00C5494E">
              <w:t>11 times higher</w:t>
            </w:r>
          </w:p>
        </w:tc>
      </w:tr>
      <w:tr w:rsidR="00C464E3" w:rsidRPr="00C5494E" w:rsidTr="00C464E3">
        <w:trPr>
          <w:jc w:val="center"/>
        </w:trPr>
        <w:tc>
          <w:tcPr>
            <w:cnfStyle w:val="001000000000"/>
            <w:tcW w:w="1810" w:type="dxa"/>
            <w:tcBorders>
              <w:top w:val="double" w:sz="4" w:space="0" w:color="990033"/>
              <w:left w:val="single" w:sz="8" w:space="0" w:color="990033"/>
              <w:bottom w:val="nil"/>
              <w:right w:val="single" w:sz="8" w:space="0" w:color="990033"/>
            </w:tcBorders>
            <w:vAlign w:val="center"/>
          </w:tcPr>
          <w:p w:rsidR="00C464E3" w:rsidRPr="00C5494E" w:rsidRDefault="00C464E3" w:rsidP="00C464E3">
            <w:pPr>
              <w:spacing w:before="40" w:after="40"/>
              <w:jc w:val="left"/>
              <w:rPr>
                <w:bCs w:val="0"/>
                <w:color w:val="990033"/>
                <w:sz w:val="20"/>
              </w:rPr>
            </w:pPr>
            <w:r w:rsidRPr="00C5494E">
              <w:rPr>
                <w:bCs w:val="0"/>
                <w:color w:val="990033"/>
                <w:sz w:val="20"/>
              </w:rPr>
              <w:t>Australia</w:t>
            </w:r>
          </w:p>
        </w:tc>
        <w:tc>
          <w:tcPr>
            <w:tcW w:w="1023" w:type="dxa"/>
            <w:tcBorders>
              <w:top w:val="double" w:sz="4" w:space="0" w:color="990033"/>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26.0</w:t>
            </w:r>
          </w:p>
        </w:tc>
        <w:tc>
          <w:tcPr>
            <w:tcW w:w="1120" w:type="dxa"/>
            <w:tcBorders>
              <w:top w:val="double" w:sz="4" w:space="0" w:color="990033"/>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0.8%</w:t>
            </w:r>
          </w:p>
        </w:tc>
        <w:tc>
          <w:tcPr>
            <w:tcW w:w="1378" w:type="dxa"/>
            <w:tcBorders>
              <w:top w:val="double" w:sz="4" w:space="0" w:color="990033"/>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–5%</w:t>
            </w:r>
          </w:p>
        </w:tc>
        <w:tc>
          <w:tcPr>
            <w:tcW w:w="1929" w:type="dxa"/>
            <w:tcBorders>
              <w:top w:val="double" w:sz="4" w:space="0" w:color="990033"/>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Equal</w:t>
            </w:r>
          </w:p>
        </w:tc>
        <w:tc>
          <w:tcPr>
            <w:tcW w:w="2096" w:type="dxa"/>
            <w:tcBorders>
              <w:top w:val="double" w:sz="4" w:space="0" w:color="990033"/>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1.5 times higher</w:t>
            </w:r>
          </w:p>
        </w:tc>
      </w:tr>
      <w:tr w:rsidR="00C464E3" w:rsidRPr="00C5494E" w:rsidTr="00C464E3">
        <w:trPr>
          <w:cnfStyle w:val="000000100000"/>
          <w:jc w:val="center"/>
        </w:trPr>
        <w:tc>
          <w:tcPr>
            <w:cnfStyle w:val="001000000000"/>
            <w:tcW w:w="1810" w:type="dxa"/>
            <w:tcBorders>
              <w:top w:val="nil"/>
              <w:left w:val="single" w:sz="8" w:space="0" w:color="990033"/>
              <w:bottom w:val="nil"/>
              <w:right w:val="single" w:sz="8" w:space="0" w:color="990033"/>
            </w:tcBorders>
            <w:vAlign w:val="center"/>
          </w:tcPr>
          <w:p w:rsidR="00C464E3" w:rsidRPr="00C5494E" w:rsidRDefault="00C464E3" w:rsidP="00C464E3">
            <w:pPr>
              <w:spacing w:before="40" w:after="40"/>
              <w:jc w:val="left"/>
              <w:rPr>
                <w:bCs w:val="0"/>
                <w:color w:val="990033"/>
                <w:sz w:val="20"/>
              </w:rPr>
            </w:pPr>
            <w:r w:rsidRPr="00C5494E">
              <w:rPr>
                <w:bCs w:val="0"/>
                <w:color w:val="990033"/>
                <w:sz w:val="20"/>
              </w:rPr>
              <w:t>Korea Rep.</w:t>
            </w:r>
          </w:p>
        </w:tc>
        <w:tc>
          <w:tcPr>
            <w:tcW w:w="1023" w:type="dxa"/>
            <w:tcBorders>
              <w:top w:val="nil"/>
              <w:left w:val="single" w:sz="8" w:space="0" w:color="990033"/>
              <w:right w:val="single" w:sz="8" w:space="0" w:color="990033"/>
            </w:tcBorders>
            <w:vAlign w:val="center"/>
          </w:tcPr>
          <w:p w:rsidR="00C464E3" w:rsidRPr="00C5494E" w:rsidRDefault="00C464E3" w:rsidP="00C464E3">
            <w:pPr>
              <w:pStyle w:val="Tabletext"/>
              <w:jc w:val="center"/>
              <w:cnfStyle w:val="000000100000"/>
            </w:pPr>
            <w:r w:rsidRPr="00C5494E">
              <w:t>25.3</w:t>
            </w:r>
          </w:p>
        </w:tc>
        <w:tc>
          <w:tcPr>
            <w:tcW w:w="1120" w:type="dxa"/>
            <w:tcBorders>
              <w:top w:val="nil"/>
              <w:left w:val="single" w:sz="8" w:space="0" w:color="990033"/>
              <w:right w:val="single" w:sz="8" w:space="0" w:color="990033"/>
            </w:tcBorders>
            <w:vAlign w:val="center"/>
          </w:tcPr>
          <w:p w:rsidR="00C464E3" w:rsidRPr="00C5494E" w:rsidRDefault="00C464E3" w:rsidP="00C464E3">
            <w:pPr>
              <w:pStyle w:val="Tabletext"/>
              <w:jc w:val="center"/>
              <w:cnfStyle w:val="000000100000"/>
            </w:pPr>
            <w:r w:rsidRPr="00C5494E">
              <w:t>1.4%</w:t>
            </w:r>
          </w:p>
        </w:tc>
        <w:tc>
          <w:tcPr>
            <w:tcW w:w="1378" w:type="dxa"/>
            <w:tcBorders>
              <w:top w:val="nil"/>
              <w:left w:val="single" w:sz="8" w:space="0" w:color="990033"/>
              <w:right w:val="single" w:sz="8" w:space="0" w:color="990033"/>
            </w:tcBorders>
            <w:vAlign w:val="center"/>
          </w:tcPr>
          <w:p w:rsidR="00C464E3" w:rsidRPr="00C5494E" w:rsidRDefault="00C464E3" w:rsidP="00C464E3">
            <w:pPr>
              <w:pStyle w:val="Tabletext"/>
              <w:jc w:val="center"/>
              <w:cnfStyle w:val="000000100000"/>
            </w:pPr>
            <w:r w:rsidRPr="00C5494E">
              <w:t>25%</w:t>
            </w:r>
          </w:p>
        </w:tc>
        <w:tc>
          <w:tcPr>
            <w:tcW w:w="1929" w:type="dxa"/>
            <w:tcBorders>
              <w:top w:val="nil"/>
              <w:left w:val="single" w:sz="8" w:space="0" w:color="990033"/>
              <w:right w:val="single" w:sz="8" w:space="0" w:color="990033"/>
            </w:tcBorders>
            <w:vAlign w:val="center"/>
          </w:tcPr>
          <w:p w:rsidR="00C464E3" w:rsidRPr="00C5494E" w:rsidRDefault="00C464E3" w:rsidP="00C464E3">
            <w:pPr>
              <w:pStyle w:val="Tabletext"/>
              <w:jc w:val="center"/>
              <w:cnfStyle w:val="000000100000"/>
            </w:pPr>
            <w:r w:rsidRPr="00C5494E">
              <w:t>5 times higher</w:t>
            </w:r>
          </w:p>
        </w:tc>
        <w:tc>
          <w:tcPr>
            <w:tcW w:w="2096" w:type="dxa"/>
            <w:tcBorders>
              <w:top w:val="nil"/>
              <w:left w:val="single" w:sz="8" w:space="0" w:color="990033"/>
              <w:right w:val="single" w:sz="8" w:space="0" w:color="990033"/>
            </w:tcBorders>
            <w:vAlign w:val="center"/>
          </w:tcPr>
          <w:p w:rsidR="00C464E3" w:rsidRPr="00C5494E" w:rsidRDefault="00C464E3" w:rsidP="00C464E3">
            <w:pPr>
              <w:pStyle w:val="Tabletext"/>
              <w:jc w:val="center"/>
              <w:cnfStyle w:val="000000100000"/>
            </w:pPr>
          </w:p>
        </w:tc>
      </w:tr>
      <w:tr w:rsidR="00C464E3" w:rsidRPr="00C5494E" w:rsidTr="00527AA9">
        <w:trPr>
          <w:jc w:val="center"/>
        </w:trPr>
        <w:tc>
          <w:tcPr>
            <w:cnfStyle w:val="001000000000"/>
            <w:tcW w:w="1810" w:type="dxa"/>
            <w:tcBorders>
              <w:top w:val="nil"/>
              <w:left w:val="single" w:sz="8" w:space="0" w:color="990033"/>
              <w:bottom w:val="nil"/>
              <w:right w:val="single" w:sz="8" w:space="0" w:color="990033"/>
            </w:tcBorders>
            <w:vAlign w:val="center"/>
          </w:tcPr>
          <w:p w:rsidR="00C464E3" w:rsidRPr="00C5494E" w:rsidRDefault="00C464E3" w:rsidP="00C464E3">
            <w:pPr>
              <w:spacing w:before="40" w:after="40"/>
              <w:jc w:val="left"/>
              <w:rPr>
                <w:bCs w:val="0"/>
                <w:color w:val="990033"/>
                <w:sz w:val="20"/>
              </w:rPr>
            </w:pPr>
            <w:r w:rsidRPr="00C5494E">
              <w:rPr>
                <w:bCs w:val="0"/>
                <w:color w:val="990033"/>
                <w:sz w:val="20"/>
              </w:rPr>
              <w:t>Sweden</w:t>
            </w:r>
          </w:p>
        </w:tc>
        <w:tc>
          <w:tcPr>
            <w:tcW w:w="1023" w:type="dxa"/>
            <w:tcBorders>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35.5</w:t>
            </w:r>
          </w:p>
        </w:tc>
        <w:tc>
          <w:tcPr>
            <w:tcW w:w="1120" w:type="dxa"/>
            <w:tcBorders>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0.8%</w:t>
            </w:r>
          </w:p>
        </w:tc>
        <w:tc>
          <w:tcPr>
            <w:tcW w:w="1378" w:type="dxa"/>
            <w:tcBorders>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10%</w:t>
            </w:r>
          </w:p>
        </w:tc>
        <w:tc>
          <w:tcPr>
            <w:tcW w:w="1929" w:type="dxa"/>
            <w:tcBorders>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p>
        </w:tc>
        <w:tc>
          <w:tcPr>
            <w:tcW w:w="2096" w:type="dxa"/>
            <w:tcBorders>
              <w:left w:val="single" w:sz="8" w:space="0" w:color="990033"/>
              <w:bottom w:val="nil"/>
              <w:right w:val="single" w:sz="8" w:space="0" w:color="990033"/>
            </w:tcBorders>
            <w:vAlign w:val="center"/>
          </w:tcPr>
          <w:p w:rsidR="00C464E3" w:rsidRPr="00C5494E" w:rsidRDefault="00C464E3" w:rsidP="00C464E3">
            <w:pPr>
              <w:pStyle w:val="Tabletext"/>
              <w:jc w:val="center"/>
              <w:cnfStyle w:val="000000000000"/>
            </w:pPr>
            <w:r w:rsidRPr="00C5494E">
              <w:t>1.5 times higher</w:t>
            </w:r>
          </w:p>
        </w:tc>
      </w:tr>
      <w:tr w:rsidR="00C464E3" w:rsidRPr="00C5494E" w:rsidTr="00527AA9">
        <w:trPr>
          <w:cnfStyle w:val="000000100000"/>
          <w:jc w:val="center"/>
        </w:trPr>
        <w:tc>
          <w:tcPr>
            <w:cnfStyle w:val="001000000000"/>
            <w:tcW w:w="1810" w:type="dxa"/>
            <w:tcBorders>
              <w:top w:val="nil"/>
              <w:left w:val="single" w:sz="8" w:space="0" w:color="990033"/>
              <w:bottom w:val="single" w:sz="8" w:space="0" w:color="990033"/>
              <w:right w:val="single" w:sz="8" w:space="0" w:color="990033"/>
            </w:tcBorders>
            <w:vAlign w:val="center"/>
          </w:tcPr>
          <w:p w:rsidR="00C464E3" w:rsidRPr="00C5494E" w:rsidRDefault="00C464E3" w:rsidP="00C464E3">
            <w:pPr>
              <w:spacing w:before="40" w:after="40"/>
              <w:jc w:val="left"/>
              <w:rPr>
                <w:bCs w:val="0"/>
                <w:color w:val="990033"/>
                <w:sz w:val="20"/>
              </w:rPr>
            </w:pPr>
            <w:r w:rsidRPr="00C5494E">
              <w:rPr>
                <w:bCs w:val="0"/>
                <w:color w:val="990033"/>
                <w:sz w:val="20"/>
              </w:rPr>
              <w:t>United States</w:t>
            </w:r>
          </w:p>
        </w:tc>
        <w:tc>
          <w:tcPr>
            <w:tcW w:w="1023" w:type="dxa"/>
            <w:tcBorders>
              <w:top w:val="nil"/>
              <w:left w:val="single" w:sz="8" w:space="0" w:color="990033"/>
              <w:bottom w:val="single" w:sz="8" w:space="0" w:color="990033"/>
              <w:right w:val="single" w:sz="8" w:space="0" w:color="990033"/>
            </w:tcBorders>
            <w:vAlign w:val="center"/>
          </w:tcPr>
          <w:p w:rsidR="00C464E3" w:rsidRPr="00C5494E" w:rsidRDefault="00C464E3" w:rsidP="00C464E3">
            <w:pPr>
              <w:pStyle w:val="Tabletext"/>
              <w:jc w:val="center"/>
              <w:cnfStyle w:val="000000100000"/>
            </w:pPr>
            <w:r w:rsidRPr="00C5494E">
              <w:t>20.0</w:t>
            </w:r>
          </w:p>
        </w:tc>
        <w:tc>
          <w:tcPr>
            <w:tcW w:w="1120" w:type="dxa"/>
            <w:tcBorders>
              <w:top w:val="nil"/>
              <w:left w:val="single" w:sz="8" w:space="0" w:color="990033"/>
              <w:bottom w:val="single" w:sz="8" w:space="0" w:color="990033"/>
              <w:right w:val="single" w:sz="8" w:space="0" w:color="990033"/>
            </w:tcBorders>
            <w:vAlign w:val="center"/>
          </w:tcPr>
          <w:p w:rsidR="00C464E3" w:rsidRPr="00C5494E" w:rsidRDefault="00C464E3" w:rsidP="00C464E3">
            <w:pPr>
              <w:pStyle w:val="Tabletext"/>
              <w:jc w:val="center"/>
              <w:cnfStyle w:val="000000100000"/>
            </w:pPr>
            <w:r w:rsidRPr="00C5494E">
              <w:t>0.5%</w:t>
            </w:r>
          </w:p>
        </w:tc>
        <w:tc>
          <w:tcPr>
            <w:tcW w:w="1378" w:type="dxa"/>
            <w:tcBorders>
              <w:top w:val="nil"/>
              <w:left w:val="single" w:sz="8" w:space="0" w:color="990033"/>
              <w:bottom w:val="single" w:sz="8" w:space="0" w:color="990033"/>
              <w:right w:val="single" w:sz="8" w:space="0" w:color="990033"/>
            </w:tcBorders>
            <w:vAlign w:val="center"/>
          </w:tcPr>
          <w:p w:rsidR="00C464E3" w:rsidRPr="00C5494E" w:rsidRDefault="00C464E3" w:rsidP="00C464E3">
            <w:pPr>
              <w:pStyle w:val="Tabletext"/>
              <w:jc w:val="center"/>
              <w:cnfStyle w:val="000000100000"/>
            </w:pPr>
            <w:r w:rsidRPr="00C5494E">
              <w:t>33%</w:t>
            </w:r>
          </w:p>
        </w:tc>
        <w:tc>
          <w:tcPr>
            <w:tcW w:w="1929" w:type="dxa"/>
            <w:tcBorders>
              <w:top w:val="nil"/>
              <w:left w:val="single" w:sz="8" w:space="0" w:color="990033"/>
              <w:bottom w:val="single" w:sz="8" w:space="0" w:color="990033"/>
              <w:right w:val="single" w:sz="8" w:space="0" w:color="990033"/>
            </w:tcBorders>
            <w:vAlign w:val="center"/>
          </w:tcPr>
          <w:p w:rsidR="00C464E3" w:rsidRPr="00C5494E" w:rsidRDefault="00C464E3" w:rsidP="00C464E3">
            <w:pPr>
              <w:pStyle w:val="Tabletext"/>
              <w:jc w:val="center"/>
              <w:cnfStyle w:val="000000100000"/>
            </w:pPr>
            <w:r w:rsidRPr="00C5494E">
              <w:t>1.5 times higher</w:t>
            </w:r>
          </w:p>
        </w:tc>
        <w:tc>
          <w:tcPr>
            <w:tcW w:w="2096" w:type="dxa"/>
            <w:tcBorders>
              <w:top w:val="nil"/>
              <w:left w:val="single" w:sz="8" w:space="0" w:color="990033"/>
              <w:bottom w:val="single" w:sz="8" w:space="0" w:color="990033"/>
              <w:right w:val="single" w:sz="8" w:space="0" w:color="990033"/>
            </w:tcBorders>
            <w:vAlign w:val="center"/>
          </w:tcPr>
          <w:p w:rsidR="00C464E3" w:rsidRPr="00C5494E" w:rsidRDefault="00C464E3" w:rsidP="00C464E3">
            <w:pPr>
              <w:pStyle w:val="Tabletext"/>
              <w:jc w:val="center"/>
              <w:cnfStyle w:val="000000100000"/>
            </w:pPr>
            <w:r w:rsidRPr="00C5494E">
              <w:t>2 times higher</w:t>
            </w:r>
          </w:p>
        </w:tc>
      </w:tr>
      <w:tr w:rsidR="00527AA9" w:rsidRPr="00C5494E" w:rsidTr="00527AA9">
        <w:trPr>
          <w:jc w:val="center"/>
        </w:trPr>
        <w:tc>
          <w:tcPr>
            <w:cnfStyle w:val="001000000000"/>
            <w:tcW w:w="9356" w:type="dxa"/>
            <w:gridSpan w:val="6"/>
            <w:tcBorders>
              <w:top w:val="single" w:sz="8" w:space="0" w:color="990033"/>
              <w:left w:val="single" w:sz="8" w:space="0" w:color="990033"/>
              <w:bottom w:val="single" w:sz="8" w:space="0" w:color="990033"/>
              <w:right w:val="single" w:sz="8" w:space="0" w:color="990033"/>
            </w:tcBorders>
            <w:vAlign w:val="center"/>
          </w:tcPr>
          <w:p w:rsidR="00527AA9" w:rsidRPr="00C5494E" w:rsidRDefault="00527AA9" w:rsidP="00527AA9">
            <w:pPr>
              <w:pStyle w:val="Tabletext"/>
              <w:rPr>
                <w:b w:val="0"/>
                <w:bCs w:val="0"/>
              </w:rPr>
            </w:pPr>
            <w:r w:rsidRPr="00C5494E">
              <w:rPr>
                <w:b w:val="0"/>
                <w:bCs w:val="0"/>
                <w:i/>
                <w:iCs/>
              </w:rPr>
              <w:t>Source</w:t>
            </w:r>
            <w:r w:rsidRPr="00C5494E">
              <w:rPr>
                <w:b w:val="0"/>
                <w:bCs w:val="0"/>
              </w:rPr>
              <w:t>: ITU (2010b).</w:t>
            </w:r>
          </w:p>
        </w:tc>
      </w:tr>
    </w:tbl>
    <w:p w:rsidR="00C464E3" w:rsidRPr="00C5494E" w:rsidRDefault="00C464E3" w:rsidP="00C464E3"/>
    <w:p w:rsidR="006F34D9" w:rsidRPr="00C5494E" w:rsidRDefault="00F166B1" w:rsidP="00F166B1">
      <w:r w:rsidRPr="00C5494E">
        <w:rPr>
          <w:bCs/>
        </w:rPr>
        <w:t>The comparison between prices and penetration has of course some limitations. Fixed broadband and fixed telephone penetration are the cumulative result of various years of infrastructure development, pricing policies and other factors. On the other hand, fixed telephony and fixed broadband prices as collected by ITU represent only one tariff (the most general one from the operator with the highest market share), which may not be available in the whole geography of the country, and can greatly vary from year to year.</w:t>
      </w:r>
    </w:p>
    <w:p w:rsidR="006F34D9" w:rsidRPr="00C5494E" w:rsidRDefault="00F166B1" w:rsidP="00F166B1">
      <w:r w:rsidRPr="00C5494E">
        <w:rPr>
          <w:bCs/>
        </w:rPr>
        <w:t xml:space="preserve">Moreover, a big change of tariffs within two consecutive years will have only a soft impact in the penetration rates of those two years, and will need a longer period to be fully transposed (provided that the change of prices is maintained). This may explain the case of </w:t>
      </w:r>
      <w:smartTag w:uri="urn:schemas-microsoft-com:office:smarttags" w:element="place">
        <w:smartTag w:uri="urn:schemas-microsoft-com:office:smarttags" w:element="country-region">
          <w:r w:rsidRPr="00C5494E">
            <w:rPr>
              <w:bCs/>
            </w:rPr>
            <w:t>Bhutan</w:t>
          </w:r>
        </w:smartTag>
      </w:smartTag>
      <w:r w:rsidRPr="00C5494E">
        <w:rPr>
          <w:bCs/>
        </w:rPr>
        <w:t xml:space="preserve">, which experienced an 84 </w:t>
      </w:r>
      <w:r w:rsidR="000F4A58" w:rsidRPr="00C5494E">
        <w:rPr>
          <w:bCs/>
        </w:rPr>
        <w:t>per cent</w:t>
      </w:r>
      <w:r w:rsidRPr="00C5494E">
        <w:rPr>
          <w:bCs/>
        </w:rPr>
        <w:t xml:space="preserve"> reduction in fixed broadband prices between 2008 and 2009. This steep decrease has probably not yet had its full impact in fixed broadband penetration. However, if prices are kept this low, it is to be expected an increase in fixed broadband penetration in the future, and probably a rebalance of the “fixed telephone / fixed broadband” ratio to less than 8.5.</w:t>
      </w:r>
    </w:p>
    <w:p w:rsidR="006F34D9" w:rsidRPr="00C5494E" w:rsidRDefault="006F34D9" w:rsidP="006F34D9">
      <w:r w:rsidRPr="00C5494E">
        <w:t xml:space="preserve">High fixed broadband prices are usually the result of several factors, such as: </w:t>
      </w:r>
    </w:p>
    <w:p w:rsidR="006F34D9" w:rsidRPr="00C5494E" w:rsidRDefault="006F34D9" w:rsidP="006F34D9">
      <w:pPr>
        <w:pStyle w:val="enumlev1"/>
      </w:pPr>
      <w:r w:rsidRPr="00C5494E">
        <w:rPr>
          <w:color w:val="990033"/>
        </w:rPr>
        <w:t>•</w:t>
      </w:r>
      <w:r w:rsidRPr="00C5494E">
        <w:tab/>
      </w:r>
      <w:r w:rsidRPr="00C5494E">
        <w:rPr>
          <w:b/>
          <w:bCs/>
        </w:rPr>
        <w:t>Type of technology</w:t>
      </w:r>
      <w:r w:rsidRPr="00C5494E">
        <w:t>: in Bangladesh, the 2009 fixed broadband prices collected by ITU correspond to a VSAT connection, because ADSL services were not available in the country until later in 2009. VSAT services tend to be more expensive than ADSL services, due to the cost of the underlying infrastructure. This explains the high costs of fixed broadband in Bangladesh compared to other ABBMN countries, which all provide it using ADSL technology. This situation has already changed with the launch of commercial ADSL services in Bangladesh, which has reduced considerably the prices of fixed broadband.</w:t>
      </w:r>
      <w:r w:rsidRPr="00C5494E">
        <w:rPr>
          <w:vertAlign w:val="superscript"/>
        </w:rPr>
        <w:footnoteReference w:id="48"/>
      </w:r>
      <w:r w:rsidRPr="00C5494E">
        <w:t xml:space="preserve"> In Afghanistan, although no information on prices was collected, broadband through xDSL technologies is not offered. End users have only access to broadband through VSAT, WiMAX, and </w:t>
      </w:r>
      <w:r w:rsidR="000F4A58" w:rsidRPr="00C5494E">
        <w:t>Wi-Fi</w:t>
      </w:r>
      <w:r w:rsidRPr="00C5494E">
        <w:t xml:space="preserve"> technologies, being </w:t>
      </w:r>
      <w:r w:rsidRPr="00C5494E">
        <w:rPr>
          <w:b/>
          <w:bCs/>
        </w:rPr>
        <w:t>VSAT</w:t>
      </w:r>
      <w:r w:rsidRPr="00C5494E">
        <w:t xml:space="preserve"> the dominant one for broadband access.</w:t>
      </w:r>
      <w:r w:rsidRPr="00C5494E">
        <w:rPr>
          <w:vertAlign w:val="superscript"/>
        </w:rPr>
        <w:footnoteReference w:id="49"/>
      </w:r>
      <w:r w:rsidRPr="00C5494E">
        <w:t xml:space="preserve"> This suggests that fixed broadband prices in Afghanistan are also relatively high due to the type of technology used.</w:t>
      </w:r>
    </w:p>
    <w:p w:rsidR="006F34D9" w:rsidRPr="00C5494E" w:rsidRDefault="006F34D9" w:rsidP="00527AA9">
      <w:pPr>
        <w:pStyle w:val="enumlev1"/>
      </w:pPr>
      <w:r w:rsidRPr="00C5494E">
        <w:rPr>
          <w:color w:val="990033"/>
        </w:rPr>
        <w:lastRenderedPageBreak/>
        <w:t>•</w:t>
      </w:r>
      <w:r w:rsidRPr="00C5494E">
        <w:tab/>
      </w:r>
      <w:r w:rsidRPr="00C5494E">
        <w:rPr>
          <w:b/>
          <w:bCs/>
        </w:rPr>
        <w:t>High prices of international Internet bandwidth</w:t>
      </w:r>
      <w:r w:rsidRPr="00C5494E">
        <w:t>: high international connectivity prices may be due to (i) shortage of international bandwidth; (ii) an inefficient structure in the internal market</w:t>
      </w:r>
      <w:r w:rsidR="00527AA9" w:rsidRPr="00C5494E">
        <w:t>;</w:t>
      </w:r>
      <w:r w:rsidRPr="00C5494E">
        <w:t xml:space="preserve"> (iii) a combination of both. In Chapter 3, shortage of international connectivity has been flagged as a relevant problem in Afghanistan and Nepal. In Bangladesh, state monopoly still exists in the backhaul segment between the Cable Landing Station (CLS) and the international gateways. Moreover, international carriers are not allowed to set by commercial negotiation international bandwidth prices; they must set prices equal to those of the </w:t>
      </w:r>
      <w:r w:rsidR="00527AA9" w:rsidRPr="00C5494E">
        <w:t>government-</w:t>
      </w:r>
      <w:r w:rsidRPr="00C5494E">
        <w:t>owned entity. As a result, although there is no shortage of international connectivity in Bangladesh, prices are higher than they could be in a competitive environment.</w:t>
      </w:r>
      <w:r w:rsidRPr="00C5494E">
        <w:rPr>
          <w:vertAlign w:val="superscript"/>
        </w:rPr>
        <w:footnoteReference w:id="50"/>
      </w:r>
      <w:r w:rsidRPr="00C5494E">
        <w:t xml:space="preserve"> Furthermore, in Bangladesh demand for international bandwidth is limited, which makes the traded volume small, and therefore prices relatively high. In Afghanistan, a similar problem could happen if national demand for international bandwidth were not aggregated (once new international fibre connections are in place). </w:t>
      </w:r>
    </w:p>
    <w:p w:rsidR="006F34D9" w:rsidRPr="00C5494E" w:rsidRDefault="006F34D9" w:rsidP="00527AA9">
      <w:pPr>
        <w:pStyle w:val="enumlev1"/>
      </w:pPr>
      <w:r w:rsidRPr="00C5494E">
        <w:rPr>
          <w:color w:val="990033"/>
        </w:rPr>
        <w:t>•</w:t>
      </w:r>
      <w:r w:rsidRPr="00C5494E">
        <w:tab/>
      </w:r>
      <w:r w:rsidRPr="00C5494E">
        <w:rPr>
          <w:b/>
          <w:bCs/>
        </w:rPr>
        <w:t>High domestic connectivity prices</w:t>
      </w:r>
      <w:r w:rsidRPr="00C5494E">
        <w:t>: lack of national and regional interconnection points may divert domestic IP traffic to international gateways, increasing significantly costs. A strong national policy to foster peering agreements between national and regional ISPs would solve this problem, and at the same time provide an incentive for the development of locally hosted content and services. Bangladesh has already included this objective in its National Broadband Policy,</w:t>
      </w:r>
      <w:r w:rsidRPr="00C5494E">
        <w:rPr>
          <w:vertAlign w:val="superscript"/>
        </w:rPr>
        <w:footnoteReference w:id="51"/>
      </w:r>
      <w:r w:rsidRPr="00C5494E">
        <w:t xml:space="preserve"> and other ABBMN countries could benefit from such an approach (especially Maldives, the only one without a national IXP).</w:t>
      </w:r>
      <w:r w:rsidRPr="00C5494E">
        <w:rPr>
          <w:vertAlign w:val="superscript"/>
        </w:rPr>
        <w:footnoteReference w:id="52"/>
      </w:r>
      <w:r w:rsidRPr="00C5494E">
        <w:rPr>
          <w:u w:val="single"/>
        </w:rPr>
        <w:t xml:space="preserve"> </w:t>
      </w:r>
    </w:p>
    <w:p w:rsidR="006F34D9" w:rsidRDefault="006F34D9" w:rsidP="006F34D9">
      <w:pPr>
        <w:pStyle w:val="enumlev1"/>
      </w:pPr>
      <w:r w:rsidRPr="00C5494E">
        <w:rPr>
          <w:color w:val="990033"/>
        </w:rPr>
        <w:t>•</w:t>
      </w:r>
      <w:r w:rsidRPr="00C5494E">
        <w:tab/>
      </w:r>
      <w:r w:rsidRPr="00C5494E">
        <w:rPr>
          <w:b/>
          <w:bCs/>
        </w:rPr>
        <w:t>Absence of a solid business case</w:t>
      </w:r>
      <w:r w:rsidRPr="00C5494E">
        <w:t xml:space="preserve">: there are high infrastructure and operational costs in areas outside major cities. This may be also the case in populated areas, where low demand may render the investment risk high, because the amortization of active/passive assets may need a minimum demand to justify the investment. Even in the case of deployments requiring relatively low investment, such as the upgrade of the fixed telephone network to offer xDSL services, active equipment at the telephone exchange (e.g. DSLAMs) requires a minimum density of subscriptions in the area covered by the exchange in order to be economically viable. </w:t>
      </w:r>
    </w:p>
    <w:p w:rsidR="00011BA4" w:rsidRPr="00C5494E" w:rsidRDefault="00011BA4" w:rsidP="00011BA4">
      <w:pPr>
        <w:pStyle w:val="enumlev1"/>
        <w:keepNext/>
        <w:keepLines/>
      </w:pPr>
      <w:r w:rsidRPr="00C5494E">
        <w:rPr>
          <w:color w:val="990033"/>
        </w:rPr>
        <w:t>•</w:t>
      </w:r>
      <w:r w:rsidRPr="00C5494E">
        <w:tab/>
      </w:r>
      <w:r w:rsidRPr="00C5494E">
        <w:rPr>
          <w:b/>
          <w:bCs/>
        </w:rPr>
        <w:t>Lack of competition</w:t>
      </w:r>
      <w:r w:rsidRPr="00C5494E">
        <w:t xml:space="preserve">: as it is further analyzed in Section 4.7, competition fosters efficiency, which has a direct impact on the quality and the prices enjoyed by end users. Lack of competition in certain stages of the fixed broadband provision chain, such as the stages regarding international and domestic Internet bandwidth provision, may be an important cause of high prices. An additional bottleneck for competition in the fixed broadband market is in most cases the access to the local loop, which is the most difficult part to replicate of a fixed broadband network. Lack of competition may also be the consequence of lack of infrastructure competition (e.g. cable networks competing against copper-pair operators) or weak competitive pressures from related markets (e.g. a highly competitive mobile broadband market). </w:t>
      </w:r>
    </w:p>
    <w:p w:rsidR="00011BA4" w:rsidRPr="00C5494E" w:rsidRDefault="00011BA4" w:rsidP="00011BA4">
      <w:pPr>
        <w:pStyle w:val="enumlev1"/>
      </w:pPr>
      <w:r w:rsidRPr="00C5494E">
        <w:rPr>
          <w:color w:val="990033"/>
        </w:rPr>
        <w:t>•</w:t>
      </w:r>
      <w:r w:rsidRPr="00C5494E">
        <w:tab/>
      </w:r>
      <w:r w:rsidRPr="00C5494E">
        <w:rPr>
          <w:b/>
          <w:bCs/>
        </w:rPr>
        <w:t>Other factors</w:t>
      </w:r>
      <w:r w:rsidRPr="00C5494E">
        <w:t xml:space="preserve"> such as licensing procedures and costs (see Section 4.6), high costs of access to capital (due to the risk associated with the project, but also to regulatory uncertainty, country risk, etc.), etc.</w:t>
      </w:r>
    </w:p>
    <w:p w:rsidR="00C464E3" w:rsidRPr="00C5494E" w:rsidRDefault="00C464E3" w:rsidP="00DB32C8"/>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6F34D9" w:rsidRPr="00C5494E" w:rsidTr="00FB239F">
        <w:trPr>
          <w:jc w:val="center"/>
        </w:trPr>
        <w:tc>
          <w:tcPr>
            <w:tcW w:w="9424" w:type="dxa"/>
            <w:shd w:val="clear" w:color="auto" w:fill="D9D9D9" w:themeFill="background1" w:themeFillShade="D9"/>
          </w:tcPr>
          <w:p w:rsidR="006F34D9" w:rsidRPr="00C5494E" w:rsidRDefault="006F34D9" w:rsidP="006F34D9">
            <w:pPr>
              <w:pStyle w:val="BoxTitle"/>
              <w:keepNext w:val="0"/>
              <w:keepLines w:val="0"/>
            </w:pPr>
            <w:bookmarkStart w:id="48" w:name="_Toc273610096"/>
            <w:bookmarkStart w:id="49" w:name="_Toc273623632"/>
            <w:r w:rsidRPr="00C5494E">
              <w:rPr>
                <w:bCs/>
              </w:rPr>
              <w:lastRenderedPageBreak/>
              <w:t>Box 4.3: Establishment of an Internet Exchange in Afghanistan</w:t>
            </w:r>
            <w:bookmarkEnd w:id="48"/>
            <w:bookmarkEnd w:id="49"/>
          </w:p>
          <w:p w:rsidR="006F34D9" w:rsidRPr="00C5494E" w:rsidRDefault="00A964DB" w:rsidP="00A964DB">
            <w:pPr>
              <w:pStyle w:val="BoxText"/>
              <w:rPr>
                <w:bCs/>
              </w:rPr>
            </w:pPr>
            <w:r w:rsidRPr="00C5494E">
              <w:rPr>
                <w:bCs/>
              </w:rPr>
              <w:t>The role of Internet Exchanges for stimulating the uptake of broadband by reducing the cost of peering and saving on the cost of expensive international bandwidth while improving the local content is well established. In order to set up a neutral Internet Exchange, ITU carried out a field survey in Kabul in 2009 to study the Afghanistan Internet status and the possibility to set up an Internet Exchange. The Afghanistan Ministry of Communicatio</w:t>
            </w:r>
            <w:r w:rsidR="00527AA9" w:rsidRPr="00C5494E">
              <w:rPr>
                <w:bCs/>
              </w:rPr>
              <w:t>n</w:t>
            </w:r>
            <w:r w:rsidRPr="00C5494E">
              <w:rPr>
                <w:bCs/>
              </w:rPr>
              <w:t>, in its published development plan for 2005-2009, also mentioned the plan to establish local Internet Exchanges in Afghanistan, but its implementation could not be undertaken.</w:t>
            </w:r>
          </w:p>
          <w:p w:rsidR="006F34D9" w:rsidRPr="00C5494E" w:rsidRDefault="00A964DB" w:rsidP="00A964DB">
            <w:pPr>
              <w:pStyle w:val="BoxText"/>
            </w:pPr>
            <w:r w:rsidRPr="00C5494E">
              <w:rPr>
                <w:bCs/>
              </w:rPr>
              <w:t xml:space="preserve">With this initiative, ITU designed and developed a schematic plan of Internet Exchange and provided </w:t>
            </w:r>
            <w:r w:rsidR="00527AA9" w:rsidRPr="00C5494E">
              <w:rPr>
                <w:bCs/>
              </w:rPr>
              <w:t xml:space="preserve">the </w:t>
            </w:r>
            <w:r w:rsidRPr="00C5494E">
              <w:rPr>
                <w:bCs/>
              </w:rPr>
              <w:t>necessary equipment to establish the exchange. Membership policy, organizational set up and procedure of accessing Afghanistan Internet Exchanges (AIX) were prepared in consultation with the Ministry, Internet service providers and relevant stakeholders. For operation and maintenance, a specific training course was designed and a field visit to the Indonesian Open Internet Exchange was organized by ITU. AIX has now been established in Kabul and several ISPs are joining the AIX.</w:t>
            </w:r>
          </w:p>
          <w:p w:rsidR="006F34D9" w:rsidRPr="00C5494E" w:rsidRDefault="006F34D9" w:rsidP="006F34D9">
            <w:pPr>
              <w:pStyle w:val="BoxText"/>
              <w:jc w:val="center"/>
              <w:rPr>
                <w:bCs/>
              </w:rPr>
            </w:pPr>
            <w:r w:rsidRPr="00C5494E">
              <w:rPr>
                <w:noProof/>
                <w:lang w:val="en-US" w:eastAsia="zh-CN"/>
              </w:rPr>
              <w:drawing>
                <wp:inline distT="0" distB="0" distL="0" distR="0">
                  <wp:extent cx="5476875" cy="1562100"/>
                  <wp:effectExtent l="19050" t="0" r="9525" b="0"/>
                  <wp:docPr id="1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cstate="print"/>
                          <a:srcRect t="12361" b="2220"/>
                          <a:stretch>
                            <a:fillRect/>
                          </a:stretch>
                        </pic:blipFill>
                        <pic:spPr bwMode="auto">
                          <a:xfrm>
                            <a:off x="0" y="0"/>
                            <a:ext cx="5476875" cy="1562100"/>
                          </a:xfrm>
                          <a:prstGeom prst="rect">
                            <a:avLst/>
                          </a:prstGeom>
                          <a:noFill/>
                          <a:ln w="9525">
                            <a:noFill/>
                            <a:miter lim="800000"/>
                            <a:headEnd/>
                            <a:tailEnd/>
                          </a:ln>
                        </pic:spPr>
                      </pic:pic>
                    </a:graphicData>
                  </a:graphic>
                </wp:inline>
              </w:drawing>
            </w:r>
          </w:p>
          <w:p w:rsidR="006F34D9" w:rsidRPr="00C5494E" w:rsidRDefault="006F34D9" w:rsidP="00A964DB">
            <w:pPr>
              <w:pStyle w:val="Figurelegend"/>
            </w:pPr>
            <w:r w:rsidRPr="00C5494E">
              <w:rPr>
                <w:i/>
                <w:iCs/>
              </w:rPr>
              <w:t>Source</w:t>
            </w:r>
            <w:r w:rsidRPr="00C5494E">
              <w:t xml:space="preserve">: </w:t>
            </w:r>
            <w:r w:rsidR="00A964DB" w:rsidRPr="00C5494E">
              <w:rPr>
                <w:bCs/>
              </w:rPr>
              <w:t xml:space="preserve">ITU Regional Office for Asia </w:t>
            </w:r>
            <w:r w:rsidR="00527AA9" w:rsidRPr="00C5494E">
              <w:rPr>
                <w:bCs/>
              </w:rPr>
              <w:t xml:space="preserve">and the </w:t>
            </w:r>
            <w:r w:rsidR="00A964DB" w:rsidRPr="00C5494E">
              <w:rPr>
                <w:bCs/>
              </w:rPr>
              <w:t>Pacific</w:t>
            </w:r>
            <w:r w:rsidRPr="00C5494E">
              <w:rPr>
                <w:bCs/>
              </w:rPr>
              <w:t>.</w:t>
            </w:r>
          </w:p>
        </w:tc>
      </w:tr>
    </w:tbl>
    <w:p w:rsidR="006F34D9" w:rsidRPr="00C5494E" w:rsidRDefault="006F34D9" w:rsidP="00DB32C8"/>
    <w:p w:rsidR="006F34D9" w:rsidRPr="00C5494E" w:rsidRDefault="006F34D9" w:rsidP="006F34D9">
      <w:r w:rsidRPr="00C5494E">
        <w:t xml:space="preserve">In addition to recurring monthly charges, up-front costs may represent a strong cost barrier. For example, today an ADSL modem in </w:t>
      </w:r>
      <w:smartTag w:uri="urn:schemas-microsoft-com:office:smarttags" w:element="place">
        <w:smartTag w:uri="urn:schemas-microsoft-com:office:smarttags" w:element="country-region">
          <w:r w:rsidRPr="00C5494E">
            <w:t>Bangladesh</w:t>
          </w:r>
        </w:smartTag>
      </w:smartTag>
      <w:r w:rsidRPr="00C5494E">
        <w:t xml:space="preserve"> costs between USD 36-50,</w:t>
      </w:r>
      <w:r w:rsidRPr="00C5494E">
        <w:rPr>
          <w:vertAlign w:val="superscript"/>
        </w:rPr>
        <w:footnoteReference w:id="53"/>
      </w:r>
      <w:r w:rsidRPr="00C5494E">
        <w:t xml:space="preserve"> while the average monthly income of a Bangladeshi is USD 43. This means that in order to start using a fixed broadband Internet connection a person must pay on average a whole monthly salary, plus the monthly charge for the subscription. </w:t>
      </w:r>
    </w:p>
    <w:p w:rsidR="006F34D9" w:rsidRPr="00C5494E" w:rsidRDefault="00A964DB" w:rsidP="00A964DB">
      <w:r w:rsidRPr="00C5494E">
        <w:rPr>
          <w:bCs/>
        </w:rPr>
        <w:t xml:space="preserve">In conclusion, there are two complementary approaches to deal with the problem of high broadband costs. On the one hand, there is the supply-side approach, which focuses on improving such shortcomings as shortage/high international bandwidth prices, the transfer of national traffic to international gateways, and lack of competition in the fixed broadband market. On the other hand, there is the demand-side approach, which comprises policy initiatives such as promoting broadband use in </w:t>
      </w:r>
      <w:r w:rsidR="00527AA9" w:rsidRPr="00C5494E">
        <w:rPr>
          <w:bCs/>
        </w:rPr>
        <w:t>small and medium (</w:t>
      </w:r>
      <w:r w:rsidRPr="00C5494E">
        <w:rPr>
          <w:bCs/>
        </w:rPr>
        <w:t>SMEs</w:t>
      </w:r>
      <w:r w:rsidR="00527AA9" w:rsidRPr="00C5494E">
        <w:rPr>
          <w:bCs/>
        </w:rPr>
        <w:t>)</w:t>
      </w:r>
      <w:r w:rsidRPr="00C5494E">
        <w:rPr>
          <w:bCs/>
        </w:rPr>
        <w:t xml:space="preserve"> and vulnerable groups, and considers tax incentives or subsidies for some devices necessary for broadband connections (e.g. customer premises equipment).</w:t>
      </w:r>
    </w:p>
    <w:p w:rsidR="00580D80" w:rsidRPr="00011BA4" w:rsidRDefault="00A964DB" w:rsidP="00011BA4">
      <w:r w:rsidRPr="00C5494E">
        <w:rPr>
          <w:bCs/>
        </w:rPr>
        <w:t>An additional solution, addressing both demand and supply-side shortcomings</w:t>
      </w:r>
      <w:r w:rsidR="00527AA9" w:rsidRPr="00C5494E">
        <w:rPr>
          <w:bCs/>
        </w:rPr>
        <w:t>,</w:t>
      </w:r>
      <w:r w:rsidRPr="00C5494E">
        <w:rPr>
          <w:bCs/>
        </w:rPr>
        <w:t xml:space="preserve"> would be the inclusion of broadband in universal service obligations (see </w:t>
      </w:r>
      <w:r w:rsidR="00527AA9" w:rsidRPr="00C5494E">
        <w:rPr>
          <w:bCs/>
        </w:rPr>
        <w:t xml:space="preserve">Section </w:t>
      </w:r>
      <w:r w:rsidRPr="00C5494E">
        <w:rPr>
          <w:bCs/>
        </w:rPr>
        <w:t>4.5).</w:t>
      </w:r>
      <w:bookmarkStart w:id="50" w:name="_Toc273517403"/>
    </w:p>
    <w:p w:rsidR="00580D80" w:rsidRPr="00C5494E" w:rsidRDefault="00580D80" w:rsidP="00580D80">
      <w:pPr>
        <w:pStyle w:val="Heading2"/>
      </w:pPr>
      <w:bookmarkStart w:id="51" w:name="_Toc273623634"/>
      <w:r w:rsidRPr="00C5494E">
        <w:t>4.5</w:t>
      </w:r>
      <w:r w:rsidRPr="00C5494E">
        <w:tab/>
        <w:t>NATIONAL BROADBAND PLAN AND FUNDING</w:t>
      </w:r>
      <w:bookmarkEnd w:id="50"/>
      <w:bookmarkEnd w:id="51"/>
    </w:p>
    <w:p w:rsidR="00580D80" w:rsidRPr="00C5494E" w:rsidRDefault="00580D80" w:rsidP="00580D80">
      <w:pPr>
        <w:rPr>
          <w:bCs/>
        </w:rPr>
      </w:pPr>
      <w:r w:rsidRPr="00C5494E">
        <w:rPr>
          <w:bCs/>
        </w:rPr>
        <w:t xml:space="preserve">Universal service funds have been used in the context of ICTs to ensure that all citizens – regardless of geographic location, socio-economic factors and disability – have access to a minimum set of </w:t>
      </w:r>
      <w:r w:rsidRPr="00C5494E">
        <w:rPr>
          <w:bCs/>
        </w:rPr>
        <w:lastRenderedPageBreak/>
        <w:t xml:space="preserve">telecommunication services. Traditionally, universal service obligations have been limited to fixed telephony services, including in some cases dial-up (narrowband) Internet. </w:t>
      </w:r>
    </w:p>
    <w:p w:rsidR="00580D80" w:rsidRPr="00C5494E" w:rsidRDefault="00580D80" w:rsidP="00527AA9">
      <w:pPr>
        <w:rPr>
          <w:bCs/>
        </w:rPr>
      </w:pPr>
      <w:r w:rsidRPr="00C5494E">
        <w:rPr>
          <w:bCs/>
        </w:rPr>
        <w:t>In several cases, universal service funds have been used to extend fixed telephone networks, which are the basis for fixed broadband provision through xDSL technologies. This means that</w:t>
      </w:r>
      <w:r w:rsidR="00527AA9" w:rsidRPr="00C5494E">
        <w:rPr>
          <w:bCs/>
        </w:rPr>
        <w:t>,</w:t>
      </w:r>
      <w:r w:rsidRPr="00C5494E">
        <w:rPr>
          <w:bCs/>
        </w:rPr>
        <w:t xml:space="preserve"> indirectly</w:t>
      </w:r>
      <w:r w:rsidR="00527AA9" w:rsidRPr="00C5494E">
        <w:rPr>
          <w:bCs/>
        </w:rPr>
        <w:t>,</w:t>
      </w:r>
      <w:r w:rsidRPr="00C5494E">
        <w:rPr>
          <w:bCs/>
        </w:rPr>
        <w:t xml:space="preserve"> the use of universal funds in the past may have benefited the roll-out of necessary infrastructure for the provision of fixed broadband services today. With the increasing importance of broadband for economic development, the question arises on whether universal service funds should be used to </w:t>
      </w:r>
      <w:r w:rsidR="00527AA9" w:rsidRPr="00C5494E">
        <w:rPr>
          <w:bCs/>
        </w:rPr>
        <w:t xml:space="preserve">directly </w:t>
      </w:r>
      <w:r w:rsidRPr="00C5494E">
        <w:rPr>
          <w:bCs/>
        </w:rPr>
        <w:t xml:space="preserve">promote broadband services. </w:t>
      </w:r>
    </w:p>
    <w:p w:rsidR="00580D80" w:rsidRPr="00C5494E" w:rsidRDefault="00580D80" w:rsidP="00580D80">
      <w:pPr>
        <w:rPr>
          <w:bCs/>
        </w:rPr>
      </w:pPr>
      <w:r w:rsidRPr="00C5494E">
        <w:rPr>
          <w:bCs/>
        </w:rPr>
        <w:t xml:space="preserve">An international example of this shift in universal service policies is the </w:t>
      </w:r>
      <w:smartTag w:uri="urn:schemas-microsoft-com:office:smarttags" w:element="place">
        <w:smartTag w:uri="urn:schemas-microsoft-com:office:smarttags" w:element="PlaceName">
          <w:r w:rsidRPr="00C5494E">
            <w:rPr>
              <w:bCs/>
            </w:rPr>
            <w:t>United</w:t>
          </w:r>
        </w:smartTag>
        <w:r w:rsidRPr="00C5494E">
          <w:rPr>
            <w:bCs/>
          </w:rPr>
          <w:t xml:space="preserve"> </w:t>
        </w:r>
        <w:smartTag w:uri="urn:schemas-microsoft-com:office:smarttags" w:element="PlaceType">
          <w:r w:rsidRPr="00C5494E">
            <w:rPr>
              <w:bCs/>
            </w:rPr>
            <w:t>State</w:t>
          </w:r>
        </w:smartTag>
      </w:smartTag>
      <w:r w:rsidRPr="00C5494E">
        <w:rPr>
          <w:bCs/>
        </w:rPr>
        <w:t xml:space="preserve">’s National Broadband </w:t>
      </w:r>
      <w:r w:rsidR="00527AA9" w:rsidRPr="00C5494E">
        <w:rPr>
          <w:bCs/>
        </w:rPr>
        <w:t>Plan</w:t>
      </w:r>
      <w:r w:rsidRPr="00C5494E">
        <w:rPr>
          <w:bCs/>
        </w:rPr>
        <w:t>, which proposes to create a Connect American Fund (CAF). This fund would receive (in ten years) all resources that relate to voice services (</w:t>
      </w:r>
      <w:r w:rsidR="00527AA9" w:rsidRPr="00C5494E">
        <w:rPr>
          <w:bCs/>
        </w:rPr>
        <w:t xml:space="preserve">high-cost </w:t>
      </w:r>
      <w:r w:rsidRPr="00C5494E">
        <w:rPr>
          <w:bCs/>
        </w:rPr>
        <w:t xml:space="preserve">component) from the existing Universal Service Fund, and use them to support the provision of affordable broadband and voice with at least 4 Mbps </w:t>
      </w:r>
      <w:r w:rsidRPr="00C5494E">
        <w:rPr>
          <w:bCs/>
          <w:i/>
          <w:iCs/>
        </w:rPr>
        <w:t xml:space="preserve">actual </w:t>
      </w:r>
      <w:r w:rsidRPr="00C5494E">
        <w:rPr>
          <w:bCs/>
        </w:rPr>
        <w:t xml:space="preserve">download speeds (see FCC, 2010). </w:t>
      </w:r>
    </w:p>
    <w:p w:rsidR="00580D80" w:rsidRPr="00C5494E" w:rsidRDefault="00580D80" w:rsidP="00527AA9">
      <w:pPr>
        <w:rPr>
          <w:bCs/>
        </w:rPr>
      </w:pPr>
      <w:r w:rsidRPr="00C5494E">
        <w:rPr>
          <w:bCs/>
        </w:rPr>
        <w:t>In the European Union, the revision of the Universal Service Directive (2002/22/EC)</w:t>
      </w:r>
      <w:r w:rsidRPr="00C5494E">
        <w:rPr>
          <w:vertAlign w:val="superscript"/>
        </w:rPr>
        <w:footnoteReference w:id="54"/>
      </w:r>
      <w:r w:rsidRPr="00C5494E">
        <w:rPr>
          <w:bCs/>
        </w:rPr>
        <w:t xml:space="preserve"> by the approval of the Citizens’ Rights Directive (2009/136/EC)</w:t>
      </w:r>
      <w:r w:rsidRPr="00C5494E">
        <w:rPr>
          <w:bCs/>
          <w:vertAlign w:val="superscript"/>
        </w:rPr>
        <w:footnoteReference w:id="55"/>
      </w:r>
      <w:r w:rsidRPr="00C5494E">
        <w:rPr>
          <w:bCs/>
        </w:rPr>
        <w:t xml:space="preserve"> in December 2009 has reviewed the scope of the universal service, which was before limited to the provision of narrowband Internet services. The amended Universal Service Directive opens the door to the inclusion of broadband connections within the universal service (see recital 5 of the Citizens’ Rights Directive). Discussion at national and European level is currently ongoing on the application of these changes in each EU country. </w:t>
      </w:r>
    </w:p>
    <w:p w:rsidR="00580D80" w:rsidRPr="00C5494E" w:rsidRDefault="00A964DB" w:rsidP="00527AA9">
      <w:pPr>
        <w:rPr>
          <w:bCs/>
        </w:rPr>
      </w:pPr>
      <w:r w:rsidRPr="00C5494E">
        <w:rPr>
          <w:bCs/>
        </w:rPr>
        <w:t xml:space="preserve">Table 4.3 shows the summary of universal service obligations and related initiatives to promote broadband uptake in ABBMN countries. </w:t>
      </w:r>
      <w:smartTag w:uri="urn:schemas-microsoft-com:office:smarttags" w:element="place">
        <w:smartTag w:uri="urn:schemas-microsoft-com:office:smarttags" w:element="country-region">
          <w:r w:rsidRPr="00C5494E">
            <w:rPr>
              <w:bCs/>
            </w:rPr>
            <w:t>Nepal</w:t>
          </w:r>
        </w:smartTag>
      </w:smartTag>
      <w:r w:rsidRPr="00C5494E">
        <w:rPr>
          <w:bCs/>
        </w:rPr>
        <w:t xml:space="preserve"> is the only ABBMN country where broadband is included in the universal service obligations (only rural areas). In </w:t>
      </w:r>
      <w:smartTag w:uri="urn:schemas-microsoft-com:office:smarttags" w:element="place">
        <w:smartTag w:uri="urn:schemas-microsoft-com:office:smarttags" w:element="country-region">
          <w:r w:rsidRPr="00C5494E">
            <w:rPr>
              <w:bCs/>
            </w:rPr>
            <w:t>Bangladesh</w:t>
          </w:r>
        </w:smartTag>
      </w:smartTag>
      <w:r w:rsidRPr="00C5494E">
        <w:rPr>
          <w:bCs/>
        </w:rPr>
        <w:t>, the creation of a universal service fund to support the achievement of the targets set in the National Broadband Policy is foreseen as a short</w:t>
      </w:r>
      <w:r w:rsidR="00527AA9" w:rsidRPr="00C5494E">
        <w:rPr>
          <w:bCs/>
        </w:rPr>
        <w:t>-</w:t>
      </w:r>
      <w:r w:rsidRPr="00C5494E">
        <w:rPr>
          <w:bCs/>
        </w:rPr>
        <w:t>term objective, to be achieved by the end of 2010.</w:t>
      </w:r>
    </w:p>
    <w:p w:rsidR="00580D80" w:rsidRPr="00C5494E" w:rsidRDefault="00580D80" w:rsidP="00580D80">
      <w:pPr>
        <w:rPr>
          <w:bCs/>
        </w:rPr>
      </w:pPr>
      <w:r w:rsidRPr="00C5494E">
        <w:rPr>
          <w:bCs/>
        </w:rPr>
        <w:t xml:space="preserve">There are other financing mechanisms that can be used to promote universal access to broadband. For instance, in </w:t>
      </w:r>
      <w:smartTag w:uri="urn:schemas-microsoft-com:office:smarttags" w:element="place">
        <w:smartTag w:uri="urn:schemas-microsoft-com:office:smarttags" w:element="country-region">
          <w:r w:rsidRPr="00C5494E">
            <w:rPr>
              <w:bCs/>
            </w:rPr>
            <w:t>Afghanistan</w:t>
          </w:r>
        </w:smartTag>
      </w:smartTag>
      <w:r w:rsidRPr="00C5494E">
        <w:rPr>
          <w:bCs/>
        </w:rPr>
        <w:t xml:space="preserve">, the resources of the Telecommunications Development Fund (TDF) are used to promote rural development (ATRA, 2008). This may include broadband development, although only Internet access is specifically mentioned. In </w:t>
      </w:r>
      <w:smartTag w:uri="urn:schemas-microsoft-com:office:smarttags" w:element="place">
        <w:smartTag w:uri="urn:schemas-microsoft-com:office:smarttags" w:element="country-region">
          <w:r w:rsidRPr="00C5494E">
            <w:rPr>
              <w:bCs/>
            </w:rPr>
            <w:t>Nepal</w:t>
          </w:r>
        </w:smartTag>
      </w:smartTag>
      <w:r w:rsidRPr="00C5494E">
        <w:rPr>
          <w:bCs/>
        </w:rPr>
        <w:t>, telecom</w:t>
      </w:r>
      <w:r w:rsidR="00527AA9" w:rsidRPr="00C5494E">
        <w:rPr>
          <w:bCs/>
        </w:rPr>
        <w:t>s</w:t>
      </w:r>
      <w:r w:rsidRPr="00C5494E">
        <w:rPr>
          <w:bCs/>
        </w:rPr>
        <w:t xml:space="preserve"> equipment imported for rural services is exempt of nominal custom charges. As for special tariffs for broadband subscribers, </w:t>
      </w:r>
      <w:smartTag w:uri="urn:schemas-microsoft-com:office:smarttags" w:element="place">
        <w:smartTag w:uri="urn:schemas-microsoft-com:office:smarttags" w:element="country-region">
          <w:r w:rsidRPr="00C5494E">
            <w:rPr>
              <w:bCs/>
            </w:rPr>
            <w:t>Maldives</w:t>
          </w:r>
        </w:smartTag>
      </w:smartTag>
      <w:r w:rsidRPr="00C5494E">
        <w:rPr>
          <w:bCs/>
        </w:rPr>
        <w:t xml:space="preserve"> is the only ABBMN country that has implemented such policies, in the context of educational purposes.</w:t>
      </w:r>
    </w:p>
    <w:p w:rsidR="00BE13D6" w:rsidRPr="00C5494E" w:rsidRDefault="00BE13D6" w:rsidP="00BE13D6">
      <w:r w:rsidRPr="00C5494E">
        <w:t xml:space="preserve">National broadband plans are an important tool to align all national efforts towards the accomplishment of specific broadband development targets. They may include references to the usage of universal service funds for the achievement of national broadband targets, in those cases where broadband strategies are also linked to universal service policies. </w:t>
      </w:r>
    </w:p>
    <w:p w:rsidR="00580D80" w:rsidRPr="00C5494E" w:rsidRDefault="00011BA4" w:rsidP="00011BA4">
      <w:r w:rsidRPr="00C5494E">
        <w:rPr>
          <w:bCs/>
        </w:rPr>
        <w:t xml:space="preserve">With the acknowledgement by the international community of the importance of broadband as a driver of economic growth, many countries have developed in the last years their own national broadband plan. Well-known examples include the </w:t>
      </w:r>
      <w:smartTag w:uri="urn:schemas-microsoft-com:office:smarttags" w:element="country-region">
        <w:r w:rsidRPr="00C5494E">
          <w:rPr>
            <w:bCs/>
          </w:rPr>
          <w:t>United States</w:t>
        </w:r>
      </w:smartTag>
      <w:r w:rsidRPr="00C5494E">
        <w:rPr>
          <w:bCs/>
        </w:rPr>
        <w:t xml:space="preserve">’ National Broadband Plan (see FCC, 2010), the German </w:t>
      </w:r>
      <w:proofErr w:type="spellStart"/>
      <w:r w:rsidRPr="00C5494E">
        <w:rPr>
          <w:bCs/>
          <w:i/>
        </w:rPr>
        <w:t>Breitbandstrategie</w:t>
      </w:r>
      <w:proofErr w:type="spellEnd"/>
      <w:r w:rsidRPr="00C5494E">
        <w:rPr>
          <w:bCs/>
        </w:rPr>
        <w:t xml:space="preserve"> (see </w:t>
      </w:r>
      <w:proofErr w:type="spellStart"/>
      <w:r w:rsidRPr="00C5494E">
        <w:rPr>
          <w:bCs/>
        </w:rPr>
        <w:t>BMWi</w:t>
      </w:r>
      <w:proofErr w:type="spellEnd"/>
      <w:r w:rsidRPr="00C5494E">
        <w:rPr>
          <w:bCs/>
        </w:rPr>
        <w:t xml:space="preserve">, 2009), and other wider plans including broadband targets, such as the French </w:t>
      </w:r>
      <w:smartTag w:uri="urn:schemas-microsoft-com:office:smarttags" w:element="place">
        <w:smartTag w:uri="urn:schemas-microsoft-com:office:smarttags" w:element="country-region">
          <w:r w:rsidRPr="00C5494E">
            <w:rPr>
              <w:bCs/>
              <w:i/>
            </w:rPr>
            <w:t>France</w:t>
          </w:r>
        </w:smartTag>
      </w:smartTag>
      <w:r w:rsidRPr="00C5494E">
        <w:rPr>
          <w:bCs/>
          <w:i/>
        </w:rPr>
        <w:t xml:space="preserve"> </w:t>
      </w:r>
      <w:proofErr w:type="spellStart"/>
      <w:r w:rsidRPr="00C5494E">
        <w:rPr>
          <w:bCs/>
          <w:i/>
        </w:rPr>
        <w:t>Numérique</w:t>
      </w:r>
      <w:proofErr w:type="spellEnd"/>
      <w:r w:rsidRPr="00C5494E">
        <w:rPr>
          <w:bCs/>
          <w:i/>
        </w:rPr>
        <w:t xml:space="preserve"> 2012</w:t>
      </w:r>
      <w:r w:rsidRPr="00C5494E">
        <w:rPr>
          <w:bCs/>
        </w:rPr>
        <w:t xml:space="preserve"> (see </w:t>
      </w:r>
      <w:proofErr w:type="spellStart"/>
      <w:r w:rsidRPr="00C5494E">
        <w:rPr>
          <w:bCs/>
          <w:i/>
        </w:rPr>
        <w:t>Secrétaire</w:t>
      </w:r>
      <w:proofErr w:type="spellEnd"/>
      <w:r w:rsidRPr="00C5494E">
        <w:rPr>
          <w:bCs/>
          <w:i/>
        </w:rPr>
        <w:t xml:space="preserve"> </w:t>
      </w:r>
      <w:proofErr w:type="spellStart"/>
      <w:r w:rsidRPr="00C5494E">
        <w:rPr>
          <w:bCs/>
          <w:i/>
        </w:rPr>
        <w:t>d'Etat</w:t>
      </w:r>
      <w:proofErr w:type="spellEnd"/>
      <w:r w:rsidRPr="00C5494E">
        <w:rPr>
          <w:bCs/>
          <w:i/>
        </w:rPr>
        <w:t xml:space="preserve"> </w:t>
      </w:r>
      <w:proofErr w:type="spellStart"/>
      <w:r w:rsidRPr="00C5494E">
        <w:rPr>
          <w:bCs/>
          <w:i/>
        </w:rPr>
        <w:t>chargée</w:t>
      </w:r>
      <w:proofErr w:type="spellEnd"/>
      <w:r w:rsidRPr="00C5494E">
        <w:rPr>
          <w:bCs/>
          <w:i/>
        </w:rPr>
        <w:t xml:space="preserve"> de la prospective et du </w:t>
      </w:r>
      <w:proofErr w:type="spellStart"/>
      <w:r w:rsidRPr="00C5494E">
        <w:rPr>
          <w:bCs/>
          <w:i/>
        </w:rPr>
        <w:t>développement</w:t>
      </w:r>
      <w:proofErr w:type="spellEnd"/>
      <w:r w:rsidRPr="00C5494E">
        <w:rPr>
          <w:bCs/>
          <w:i/>
        </w:rPr>
        <w:t xml:space="preserve"> de </w:t>
      </w:r>
      <w:proofErr w:type="spellStart"/>
      <w:r w:rsidRPr="00C5494E">
        <w:rPr>
          <w:bCs/>
          <w:i/>
        </w:rPr>
        <w:t>l'économie</w:t>
      </w:r>
      <w:proofErr w:type="spellEnd"/>
      <w:r w:rsidRPr="00C5494E">
        <w:rPr>
          <w:bCs/>
          <w:i/>
        </w:rPr>
        <w:t xml:space="preserve"> </w:t>
      </w:r>
      <w:proofErr w:type="spellStart"/>
      <w:r w:rsidRPr="00C5494E">
        <w:rPr>
          <w:bCs/>
          <w:i/>
        </w:rPr>
        <w:t>numérique</w:t>
      </w:r>
      <w:proofErr w:type="spellEnd"/>
      <w:r w:rsidRPr="00C5494E">
        <w:rPr>
          <w:bCs/>
        </w:rPr>
        <w:t>, 2008) and the British Digital Britain (DCMS and BIS, 2009).</w:t>
      </w:r>
    </w:p>
    <w:p w:rsidR="00BE13D6" w:rsidRPr="00C5494E" w:rsidRDefault="00BE13D6" w:rsidP="00580D80"/>
    <w:tbl>
      <w:tblPr>
        <w:tblStyle w:val="LightShading-Accent2"/>
        <w:tblW w:w="9543" w:type="dxa"/>
        <w:jc w:val="center"/>
        <w:tblLook w:val="04A0"/>
      </w:tblPr>
      <w:tblGrid>
        <w:gridCol w:w="1548"/>
        <w:gridCol w:w="1736"/>
        <w:gridCol w:w="2479"/>
        <w:gridCol w:w="2077"/>
        <w:gridCol w:w="1703"/>
      </w:tblGrid>
      <w:tr w:rsidR="00BE13D6" w:rsidRPr="00C5494E" w:rsidTr="00BE13D6">
        <w:trPr>
          <w:cnfStyle w:val="100000000000"/>
          <w:jc w:val="center"/>
        </w:trPr>
        <w:tc>
          <w:tcPr>
            <w:cnfStyle w:val="001000000000"/>
            <w:tcW w:w="9543" w:type="dxa"/>
            <w:gridSpan w:val="5"/>
            <w:tcBorders>
              <w:top w:val="single" w:sz="8" w:space="0" w:color="990033"/>
              <w:left w:val="single" w:sz="8" w:space="0" w:color="990033"/>
              <w:bottom w:val="single" w:sz="8" w:space="0" w:color="990033"/>
              <w:right w:val="single" w:sz="8" w:space="0" w:color="990033"/>
            </w:tcBorders>
            <w:shd w:val="clear" w:color="auto" w:fill="990033"/>
          </w:tcPr>
          <w:p w:rsidR="00BE13D6" w:rsidRPr="00C5494E" w:rsidRDefault="00BE13D6" w:rsidP="00527AA9">
            <w:pPr>
              <w:pStyle w:val="TableNoTitle"/>
              <w:ind w:left="1191" w:hanging="1191"/>
              <w:rPr>
                <w:lang w:val="en-GB"/>
              </w:rPr>
            </w:pPr>
            <w:r w:rsidRPr="00C5494E">
              <w:rPr>
                <w:lang w:val="en-GB"/>
              </w:rPr>
              <w:lastRenderedPageBreak/>
              <w:t xml:space="preserve">Table 4.3: </w:t>
            </w:r>
            <w:r w:rsidR="00527AA9" w:rsidRPr="00C5494E">
              <w:rPr>
                <w:lang w:val="en-GB"/>
              </w:rPr>
              <w:tab/>
            </w:r>
            <w:r w:rsidRPr="00C5494E">
              <w:rPr>
                <w:lang w:val="en-GB"/>
              </w:rPr>
              <w:t xml:space="preserve">Universal service and other policy initiatives to promote broadband in ABBMN countries. </w:t>
            </w:r>
          </w:p>
        </w:tc>
      </w:tr>
      <w:tr w:rsidR="00BE13D6" w:rsidRPr="00C5494E" w:rsidTr="00BE13D6">
        <w:trPr>
          <w:cnfStyle w:val="000000100000"/>
          <w:jc w:val="center"/>
        </w:trPr>
        <w:tc>
          <w:tcPr>
            <w:cnfStyle w:val="001000000000"/>
            <w:tcW w:w="1548" w:type="dxa"/>
            <w:tcBorders>
              <w:top w:val="single" w:sz="8" w:space="0" w:color="990033"/>
              <w:left w:val="single" w:sz="8" w:space="0" w:color="990033"/>
              <w:bottom w:val="nil"/>
              <w:right w:val="single" w:sz="8" w:space="0" w:color="990033"/>
            </w:tcBorders>
            <w:vAlign w:val="center"/>
          </w:tcPr>
          <w:p w:rsidR="00BE13D6" w:rsidRPr="00C5494E" w:rsidRDefault="00BE13D6" w:rsidP="00FB239F">
            <w:pPr>
              <w:spacing w:before="40" w:after="40"/>
              <w:jc w:val="left"/>
              <w:rPr>
                <w:bCs w:val="0"/>
                <w:color w:val="990033"/>
                <w:sz w:val="20"/>
              </w:rPr>
            </w:pPr>
          </w:p>
        </w:tc>
        <w:tc>
          <w:tcPr>
            <w:tcW w:w="1736" w:type="dxa"/>
            <w:tcBorders>
              <w:top w:val="single" w:sz="8" w:space="0" w:color="990033"/>
              <w:left w:val="single" w:sz="8" w:space="0" w:color="990033"/>
              <w:bottom w:val="nil"/>
              <w:right w:val="single" w:sz="8" w:space="0" w:color="990033"/>
            </w:tcBorders>
            <w:vAlign w:val="center"/>
          </w:tcPr>
          <w:p w:rsidR="00BE13D6" w:rsidRPr="00C5494E" w:rsidRDefault="00BE13D6" w:rsidP="00BE13D6">
            <w:pPr>
              <w:pStyle w:val="Tablehead"/>
              <w:cnfStyle w:val="000000100000"/>
              <w:rPr>
                <w:lang w:val="en-GB"/>
              </w:rPr>
            </w:pPr>
            <w:r w:rsidRPr="00C5494E">
              <w:rPr>
                <w:lang w:val="en-GB"/>
              </w:rPr>
              <w:t>Is there a national broadband plan?</w:t>
            </w:r>
          </w:p>
        </w:tc>
        <w:tc>
          <w:tcPr>
            <w:tcW w:w="2479"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BE13D6" w:rsidRPr="00C5494E" w:rsidRDefault="00BE13D6" w:rsidP="00BE13D6">
            <w:pPr>
              <w:pStyle w:val="Tablehead"/>
              <w:cnfStyle w:val="000000100000"/>
              <w:rPr>
                <w:lang w:val="en-GB"/>
              </w:rPr>
            </w:pPr>
            <w:r w:rsidRPr="00C5494E">
              <w:rPr>
                <w:lang w:val="en-GB"/>
              </w:rPr>
              <w:t>Universal service includes broadband?</w:t>
            </w:r>
          </w:p>
        </w:tc>
        <w:tc>
          <w:tcPr>
            <w:tcW w:w="2077" w:type="dxa"/>
            <w:tcBorders>
              <w:top w:val="single" w:sz="8" w:space="0" w:color="990033"/>
              <w:left w:val="single" w:sz="8" w:space="0" w:color="990033"/>
              <w:bottom w:val="nil"/>
              <w:right w:val="single" w:sz="8" w:space="0" w:color="990033"/>
            </w:tcBorders>
            <w:vAlign w:val="center"/>
          </w:tcPr>
          <w:p w:rsidR="00BE13D6" w:rsidRPr="00C5494E" w:rsidRDefault="00BE13D6" w:rsidP="00BE13D6">
            <w:pPr>
              <w:pStyle w:val="Tablehead"/>
              <w:cnfStyle w:val="000000100000"/>
              <w:rPr>
                <w:lang w:val="en-GB"/>
              </w:rPr>
            </w:pPr>
            <w:r w:rsidRPr="00C5494E">
              <w:rPr>
                <w:lang w:val="en-GB"/>
              </w:rPr>
              <w:t>Are there other financing mechanisms for broadband?</w:t>
            </w:r>
          </w:p>
        </w:tc>
        <w:tc>
          <w:tcPr>
            <w:tcW w:w="1703" w:type="dxa"/>
            <w:tcBorders>
              <w:top w:val="single" w:sz="8" w:space="0" w:color="990033"/>
              <w:left w:val="single" w:sz="8" w:space="0" w:color="990033"/>
              <w:bottom w:val="nil"/>
              <w:right w:val="single" w:sz="8" w:space="0" w:color="990033"/>
            </w:tcBorders>
            <w:vAlign w:val="center"/>
          </w:tcPr>
          <w:p w:rsidR="00BE13D6" w:rsidRPr="00C5494E" w:rsidRDefault="00BE13D6" w:rsidP="00BE13D6">
            <w:pPr>
              <w:pStyle w:val="Tablehead"/>
              <w:cnfStyle w:val="000000100000"/>
              <w:rPr>
                <w:lang w:val="en-GB"/>
              </w:rPr>
            </w:pPr>
            <w:r w:rsidRPr="00C5494E">
              <w:rPr>
                <w:lang w:val="en-GB"/>
              </w:rPr>
              <w:t>Are there social tariffs for broadband subscribers?</w:t>
            </w:r>
          </w:p>
        </w:tc>
      </w:tr>
      <w:tr w:rsidR="00BE13D6" w:rsidRPr="00C5494E" w:rsidTr="00BE13D6">
        <w:trPr>
          <w:jc w:val="center"/>
        </w:trPr>
        <w:tc>
          <w:tcPr>
            <w:cnfStyle w:val="001000000000"/>
            <w:tcW w:w="1548" w:type="dxa"/>
            <w:tcBorders>
              <w:top w:val="single" w:sz="8" w:space="0" w:color="990033"/>
              <w:left w:val="single" w:sz="8" w:space="0" w:color="990033"/>
              <w:bottom w:val="nil"/>
              <w:right w:val="single" w:sz="8" w:space="0" w:color="990033"/>
            </w:tcBorders>
            <w:vAlign w:val="center"/>
          </w:tcPr>
          <w:p w:rsidR="00BE13D6" w:rsidRPr="00C5494E" w:rsidRDefault="00BE13D6" w:rsidP="00FB239F">
            <w:pPr>
              <w:spacing w:before="40" w:after="40"/>
              <w:jc w:val="left"/>
              <w:rPr>
                <w:bCs w:val="0"/>
                <w:color w:val="990033"/>
                <w:sz w:val="20"/>
              </w:rPr>
            </w:pPr>
            <w:r w:rsidRPr="00C5494E">
              <w:rPr>
                <w:bCs w:val="0"/>
                <w:color w:val="990033"/>
                <w:sz w:val="20"/>
              </w:rPr>
              <w:t>Afghanistan</w:t>
            </w:r>
          </w:p>
        </w:tc>
        <w:tc>
          <w:tcPr>
            <w:tcW w:w="1736" w:type="dxa"/>
            <w:tcBorders>
              <w:top w:val="single" w:sz="8" w:space="0" w:color="990033"/>
              <w:left w:val="single" w:sz="8" w:space="0" w:color="990033"/>
              <w:bottom w:val="nil"/>
              <w:right w:val="single" w:sz="8" w:space="0" w:color="990033"/>
            </w:tcBorders>
            <w:vAlign w:val="center"/>
          </w:tcPr>
          <w:p w:rsidR="00BE13D6" w:rsidRPr="00C5494E" w:rsidRDefault="00BE13D6" w:rsidP="00BE13D6">
            <w:pPr>
              <w:pStyle w:val="Tabletext"/>
              <w:jc w:val="center"/>
              <w:cnfStyle w:val="000000000000"/>
              <w:rPr>
                <w:sz w:val="18"/>
                <w:szCs w:val="18"/>
              </w:rPr>
            </w:pPr>
            <w:r w:rsidRPr="00C5494E">
              <w:rPr>
                <w:sz w:val="18"/>
                <w:szCs w:val="18"/>
              </w:rPr>
              <w:t>Being developed</w:t>
            </w:r>
          </w:p>
        </w:tc>
        <w:tc>
          <w:tcPr>
            <w:tcW w:w="2479" w:type="dxa"/>
            <w:tcBorders>
              <w:top w:val="single" w:sz="8" w:space="0" w:color="990033"/>
              <w:left w:val="single" w:sz="8" w:space="0" w:color="990033"/>
              <w:bottom w:val="nil"/>
              <w:right w:val="single" w:sz="8" w:space="0" w:color="990033"/>
            </w:tcBorders>
            <w:shd w:val="clear" w:color="auto" w:fill="auto"/>
            <w:vAlign w:val="center"/>
          </w:tcPr>
          <w:p w:rsidR="00BE13D6" w:rsidRPr="00C5494E" w:rsidRDefault="00BE13D6" w:rsidP="00BE13D6">
            <w:pPr>
              <w:pStyle w:val="Tabletext"/>
              <w:jc w:val="center"/>
              <w:cnfStyle w:val="000000000000"/>
              <w:rPr>
                <w:sz w:val="18"/>
                <w:szCs w:val="18"/>
              </w:rPr>
            </w:pPr>
            <w:r w:rsidRPr="00C5494E">
              <w:rPr>
                <w:sz w:val="18"/>
                <w:szCs w:val="18"/>
              </w:rPr>
              <w:t>No</w:t>
            </w:r>
          </w:p>
        </w:tc>
        <w:tc>
          <w:tcPr>
            <w:tcW w:w="2077" w:type="dxa"/>
            <w:tcBorders>
              <w:top w:val="single" w:sz="8" w:space="0" w:color="990033"/>
              <w:left w:val="single" w:sz="8" w:space="0" w:color="990033"/>
              <w:bottom w:val="nil"/>
              <w:right w:val="single" w:sz="8" w:space="0" w:color="990033"/>
            </w:tcBorders>
            <w:vAlign w:val="center"/>
          </w:tcPr>
          <w:p w:rsidR="00BE13D6" w:rsidRPr="00C5494E" w:rsidRDefault="00BE13D6" w:rsidP="00BE13D6">
            <w:pPr>
              <w:pStyle w:val="Tabletext"/>
              <w:jc w:val="center"/>
              <w:cnfStyle w:val="000000000000"/>
              <w:rPr>
                <w:sz w:val="18"/>
                <w:szCs w:val="18"/>
              </w:rPr>
            </w:pPr>
            <w:r w:rsidRPr="00C5494E">
              <w:rPr>
                <w:sz w:val="18"/>
                <w:szCs w:val="18"/>
              </w:rPr>
              <w:t>TDF Fund</w:t>
            </w:r>
          </w:p>
        </w:tc>
        <w:tc>
          <w:tcPr>
            <w:tcW w:w="1703" w:type="dxa"/>
            <w:tcBorders>
              <w:top w:val="single" w:sz="8" w:space="0" w:color="990033"/>
              <w:left w:val="single" w:sz="8" w:space="0" w:color="990033"/>
              <w:bottom w:val="nil"/>
              <w:right w:val="single" w:sz="8" w:space="0" w:color="990033"/>
            </w:tcBorders>
            <w:vAlign w:val="center"/>
          </w:tcPr>
          <w:p w:rsidR="00BE13D6" w:rsidRPr="00C5494E" w:rsidRDefault="00BE13D6" w:rsidP="00BE13D6">
            <w:pPr>
              <w:pStyle w:val="Tabletext"/>
              <w:jc w:val="center"/>
              <w:cnfStyle w:val="000000000000"/>
              <w:rPr>
                <w:sz w:val="18"/>
                <w:szCs w:val="18"/>
              </w:rPr>
            </w:pPr>
            <w:r w:rsidRPr="00C5494E">
              <w:rPr>
                <w:sz w:val="18"/>
                <w:szCs w:val="18"/>
              </w:rPr>
              <w:t>No</w:t>
            </w:r>
          </w:p>
        </w:tc>
      </w:tr>
      <w:tr w:rsidR="00BE13D6" w:rsidRPr="00C5494E" w:rsidTr="00BE13D6">
        <w:trPr>
          <w:cnfStyle w:val="000000100000"/>
          <w:jc w:val="center"/>
        </w:trPr>
        <w:tc>
          <w:tcPr>
            <w:cnfStyle w:val="001000000000"/>
            <w:tcW w:w="1548" w:type="dxa"/>
            <w:tcBorders>
              <w:top w:val="nil"/>
              <w:left w:val="single" w:sz="8" w:space="0" w:color="990033"/>
              <w:bottom w:val="nil"/>
              <w:right w:val="single" w:sz="8" w:space="0" w:color="990033"/>
            </w:tcBorders>
            <w:vAlign w:val="center"/>
          </w:tcPr>
          <w:p w:rsidR="00BE13D6" w:rsidRPr="00C5494E" w:rsidRDefault="00BE13D6" w:rsidP="00FB239F">
            <w:pPr>
              <w:spacing w:before="40" w:after="40"/>
              <w:jc w:val="left"/>
              <w:rPr>
                <w:bCs w:val="0"/>
                <w:color w:val="990033"/>
                <w:sz w:val="20"/>
              </w:rPr>
            </w:pPr>
            <w:r w:rsidRPr="00C5494E">
              <w:rPr>
                <w:bCs w:val="0"/>
                <w:color w:val="990033"/>
                <w:sz w:val="20"/>
              </w:rPr>
              <w:t>Bangladesh</w:t>
            </w:r>
          </w:p>
        </w:tc>
        <w:tc>
          <w:tcPr>
            <w:tcW w:w="1736" w:type="dxa"/>
            <w:tcBorders>
              <w:top w:val="nil"/>
              <w:left w:val="single" w:sz="8" w:space="0" w:color="990033"/>
              <w:bottom w:val="nil"/>
              <w:right w:val="single" w:sz="8" w:space="0" w:color="990033"/>
            </w:tcBorders>
            <w:vAlign w:val="center"/>
          </w:tcPr>
          <w:p w:rsidR="00BE13D6" w:rsidRPr="00C5494E" w:rsidRDefault="00BE13D6" w:rsidP="00BE13D6">
            <w:pPr>
              <w:pStyle w:val="Tabletext"/>
              <w:jc w:val="center"/>
              <w:cnfStyle w:val="000000100000"/>
              <w:rPr>
                <w:sz w:val="18"/>
                <w:szCs w:val="18"/>
              </w:rPr>
            </w:pPr>
            <w:r w:rsidRPr="00C5494E">
              <w:rPr>
                <w:sz w:val="18"/>
                <w:szCs w:val="18"/>
              </w:rPr>
              <w:t>Yes</w:t>
            </w:r>
            <w:r w:rsidRPr="00C5494E">
              <w:rPr>
                <w:vertAlign w:val="superscript"/>
              </w:rPr>
              <w:footnoteReference w:id="56"/>
            </w:r>
          </w:p>
        </w:tc>
        <w:tc>
          <w:tcPr>
            <w:tcW w:w="2479" w:type="dxa"/>
            <w:tcBorders>
              <w:top w:val="nil"/>
              <w:left w:val="single" w:sz="8" w:space="0" w:color="990033"/>
              <w:bottom w:val="nil"/>
              <w:right w:val="single" w:sz="8" w:space="0" w:color="990033"/>
            </w:tcBorders>
            <w:vAlign w:val="center"/>
          </w:tcPr>
          <w:p w:rsidR="00BE13D6" w:rsidRPr="00C5494E" w:rsidRDefault="00BE13D6" w:rsidP="00BE13D6">
            <w:pPr>
              <w:pStyle w:val="Tabletext"/>
              <w:jc w:val="center"/>
              <w:cnfStyle w:val="000000100000"/>
              <w:rPr>
                <w:sz w:val="18"/>
                <w:szCs w:val="18"/>
              </w:rPr>
            </w:pPr>
            <w:r w:rsidRPr="00C5494E">
              <w:rPr>
                <w:sz w:val="18"/>
                <w:szCs w:val="18"/>
              </w:rPr>
              <w:t>No, but foreseen in the National Broadband Policy</w:t>
            </w:r>
          </w:p>
        </w:tc>
        <w:tc>
          <w:tcPr>
            <w:tcW w:w="2077" w:type="dxa"/>
            <w:tcBorders>
              <w:top w:val="nil"/>
              <w:left w:val="single" w:sz="8" w:space="0" w:color="990033"/>
              <w:bottom w:val="nil"/>
              <w:right w:val="single" w:sz="8" w:space="0" w:color="990033"/>
            </w:tcBorders>
            <w:vAlign w:val="center"/>
          </w:tcPr>
          <w:p w:rsidR="00BE13D6" w:rsidRPr="00C5494E" w:rsidRDefault="00BE13D6" w:rsidP="00BE13D6">
            <w:pPr>
              <w:pStyle w:val="Tabletext"/>
              <w:jc w:val="center"/>
              <w:cnfStyle w:val="000000100000"/>
              <w:rPr>
                <w:sz w:val="18"/>
                <w:szCs w:val="18"/>
              </w:rPr>
            </w:pPr>
            <w:r w:rsidRPr="00C5494E">
              <w:rPr>
                <w:sz w:val="18"/>
                <w:szCs w:val="18"/>
              </w:rPr>
              <w:t>No</w:t>
            </w:r>
          </w:p>
        </w:tc>
        <w:tc>
          <w:tcPr>
            <w:tcW w:w="1703" w:type="dxa"/>
            <w:tcBorders>
              <w:top w:val="nil"/>
              <w:left w:val="single" w:sz="8" w:space="0" w:color="990033"/>
              <w:bottom w:val="nil"/>
              <w:right w:val="single" w:sz="8" w:space="0" w:color="990033"/>
            </w:tcBorders>
            <w:shd w:val="clear" w:color="auto" w:fill="EFD3D2"/>
            <w:vAlign w:val="center"/>
          </w:tcPr>
          <w:p w:rsidR="00BE13D6" w:rsidRPr="00C5494E" w:rsidRDefault="00BE13D6" w:rsidP="00BE13D6">
            <w:pPr>
              <w:pStyle w:val="Tabletext"/>
              <w:jc w:val="center"/>
              <w:cnfStyle w:val="000000100000"/>
              <w:rPr>
                <w:sz w:val="18"/>
                <w:szCs w:val="18"/>
              </w:rPr>
            </w:pPr>
            <w:r w:rsidRPr="00C5494E">
              <w:rPr>
                <w:sz w:val="18"/>
                <w:szCs w:val="18"/>
              </w:rPr>
              <w:t>No</w:t>
            </w:r>
          </w:p>
        </w:tc>
      </w:tr>
      <w:tr w:rsidR="00BE13D6" w:rsidRPr="00C5494E" w:rsidTr="00BE13D6">
        <w:trPr>
          <w:jc w:val="center"/>
        </w:trPr>
        <w:tc>
          <w:tcPr>
            <w:cnfStyle w:val="001000000000"/>
            <w:tcW w:w="1548" w:type="dxa"/>
            <w:tcBorders>
              <w:top w:val="nil"/>
              <w:left w:val="single" w:sz="8" w:space="0" w:color="990033"/>
              <w:bottom w:val="nil"/>
              <w:right w:val="single" w:sz="8" w:space="0" w:color="990033"/>
            </w:tcBorders>
            <w:vAlign w:val="center"/>
          </w:tcPr>
          <w:p w:rsidR="00BE13D6" w:rsidRPr="00C5494E" w:rsidRDefault="00BE13D6" w:rsidP="00FB239F">
            <w:pPr>
              <w:spacing w:before="40" w:after="40"/>
              <w:jc w:val="left"/>
              <w:rPr>
                <w:bCs w:val="0"/>
                <w:color w:val="990033"/>
                <w:sz w:val="20"/>
              </w:rPr>
            </w:pPr>
            <w:r w:rsidRPr="00C5494E">
              <w:rPr>
                <w:bCs w:val="0"/>
                <w:color w:val="990033"/>
                <w:sz w:val="20"/>
              </w:rPr>
              <w:t xml:space="preserve">Bhutan </w:t>
            </w:r>
          </w:p>
        </w:tc>
        <w:tc>
          <w:tcPr>
            <w:tcW w:w="1736" w:type="dxa"/>
            <w:tcBorders>
              <w:top w:val="nil"/>
              <w:left w:val="single" w:sz="8" w:space="0" w:color="990033"/>
              <w:bottom w:val="nil"/>
              <w:right w:val="single" w:sz="8" w:space="0" w:color="990033"/>
            </w:tcBorders>
            <w:vAlign w:val="center"/>
          </w:tcPr>
          <w:p w:rsidR="00BE13D6" w:rsidRPr="00C5494E" w:rsidRDefault="00BE13D6" w:rsidP="00BE13D6">
            <w:pPr>
              <w:pStyle w:val="Tabletext"/>
              <w:jc w:val="center"/>
              <w:cnfStyle w:val="000000000000"/>
              <w:rPr>
                <w:sz w:val="18"/>
                <w:szCs w:val="18"/>
              </w:rPr>
            </w:pPr>
            <w:r w:rsidRPr="00C5494E">
              <w:rPr>
                <w:sz w:val="18"/>
                <w:szCs w:val="18"/>
              </w:rPr>
              <w:t>Yes</w:t>
            </w:r>
            <w:r w:rsidRPr="00C5494E">
              <w:rPr>
                <w:vertAlign w:val="superscript"/>
              </w:rPr>
              <w:footnoteReference w:id="57"/>
            </w:r>
          </w:p>
        </w:tc>
        <w:tc>
          <w:tcPr>
            <w:tcW w:w="2479" w:type="dxa"/>
            <w:tcBorders>
              <w:top w:val="nil"/>
              <w:left w:val="single" w:sz="8" w:space="0" w:color="990033"/>
              <w:bottom w:val="nil"/>
              <w:right w:val="single" w:sz="8" w:space="0" w:color="990033"/>
            </w:tcBorders>
            <w:vAlign w:val="center"/>
          </w:tcPr>
          <w:p w:rsidR="00BE13D6" w:rsidRPr="00C5494E" w:rsidRDefault="00BE13D6" w:rsidP="00BE13D6">
            <w:pPr>
              <w:pStyle w:val="Tabletext"/>
              <w:jc w:val="center"/>
              <w:cnfStyle w:val="000000000000"/>
              <w:rPr>
                <w:sz w:val="18"/>
                <w:szCs w:val="18"/>
              </w:rPr>
            </w:pPr>
            <w:r w:rsidRPr="00C5494E">
              <w:rPr>
                <w:sz w:val="18"/>
                <w:szCs w:val="18"/>
              </w:rPr>
              <w:t>No</w:t>
            </w:r>
          </w:p>
        </w:tc>
        <w:tc>
          <w:tcPr>
            <w:tcW w:w="2077" w:type="dxa"/>
            <w:tcBorders>
              <w:top w:val="nil"/>
              <w:left w:val="single" w:sz="8" w:space="0" w:color="990033"/>
              <w:bottom w:val="nil"/>
              <w:right w:val="single" w:sz="8" w:space="0" w:color="990033"/>
            </w:tcBorders>
            <w:vAlign w:val="center"/>
          </w:tcPr>
          <w:p w:rsidR="00BE13D6" w:rsidRPr="00C5494E" w:rsidRDefault="00BE13D6" w:rsidP="00BE13D6">
            <w:pPr>
              <w:pStyle w:val="Tabletext"/>
              <w:jc w:val="center"/>
              <w:cnfStyle w:val="000000000000"/>
              <w:rPr>
                <w:sz w:val="18"/>
                <w:szCs w:val="18"/>
              </w:rPr>
            </w:pPr>
            <w:r w:rsidRPr="00C5494E">
              <w:rPr>
                <w:sz w:val="18"/>
                <w:szCs w:val="18"/>
              </w:rPr>
              <w:t>No</w:t>
            </w:r>
          </w:p>
        </w:tc>
        <w:tc>
          <w:tcPr>
            <w:tcW w:w="1703" w:type="dxa"/>
            <w:tcBorders>
              <w:top w:val="nil"/>
              <w:left w:val="single" w:sz="8" w:space="0" w:color="990033"/>
              <w:bottom w:val="nil"/>
              <w:right w:val="single" w:sz="8" w:space="0" w:color="990033"/>
            </w:tcBorders>
            <w:vAlign w:val="center"/>
          </w:tcPr>
          <w:p w:rsidR="00BE13D6" w:rsidRPr="00C5494E" w:rsidRDefault="00BE13D6" w:rsidP="00BE13D6">
            <w:pPr>
              <w:pStyle w:val="Tabletext"/>
              <w:jc w:val="center"/>
              <w:cnfStyle w:val="000000000000"/>
              <w:rPr>
                <w:sz w:val="18"/>
                <w:szCs w:val="18"/>
              </w:rPr>
            </w:pPr>
            <w:r w:rsidRPr="00C5494E">
              <w:rPr>
                <w:sz w:val="18"/>
                <w:szCs w:val="18"/>
              </w:rPr>
              <w:t>No</w:t>
            </w:r>
          </w:p>
        </w:tc>
      </w:tr>
      <w:tr w:rsidR="002A2EDF" w:rsidRPr="00C5494E" w:rsidTr="00527AA9">
        <w:trPr>
          <w:cnfStyle w:val="000000100000"/>
          <w:jc w:val="center"/>
        </w:trPr>
        <w:tc>
          <w:tcPr>
            <w:cnfStyle w:val="001000000000"/>
            <w:tcW w:w="1548" w:type="dxa"/>
            <w:tcBorders>
              <w:top w:val="nil"/>
              <w:left w:val="single" w:sz="8" w:space="0" w:color="990033"/>
              <w:bottom w:val="nil"/>
              <w:right w:val="single" w:sz="8" w:space="0" w:color="990033"/>
            </w:tcBorders>
            <w:vAlign w:val="center"/>
          </w:tcPr>
          <w:p w:rsidR="00BE13D6" w:rsidRPr="00C5494E" w:rsidRDefault="00BE13D6" w:rsidP="00FB239F">
            <w:pPr>
              <w:spacing w:before="40" w:after="40"/>
              <w:jc w:val="left"/>
              <w:rPr>
                <w:bCs w:val="0"/>
                <w:color w:val="990033"/>
                <w:sz w:val="20"/>
              </w:rPr>
            </w:pPr>
            <w:r w:rsidRPr="00C5494E">
              <w:rPr>
                <w:bCs w:val="0"/>
                <w:color w:val="990033"/>
                <w:sz w:val="20"/>
              </w:rPr>
              <w:t>Maldives</w:t>
            </w:r>
          </w:p>
        </w:tc>
        <w:tc>
          <w:tcPr>
            <w:tcW w:w="1736" w:type="dxa"/>
            <w:tcBorders>
              <w:top w:val="nil"/>
              <w:left w:val="single" w:sz="8" w:space="0" w:color="990033"/>
              <w:bottom w:val="nil"/>
              <w:right w:val="single" w:sz="8" w:space="0" w:color="990033"/>
            </w:tcBorders>
            <w:vAlign w:val="center"/>
          </w:tcPr>
          <w:p w:rsidR="00BE13D6" w:rsidRPr="00C5494E" w:rsidRDefault="00BE13D6" w:rsidP="00BE13D6">
            <w:pPr>
              <w:pStyle w:val="Tabletext"/>
              <w:jc w:val="center"/>
              <w:cnfStyle w:val="000000100000"/>
              <w:rPr>
                <w:sz w:val="18"/>
                <w:szCs w:val="18"/>
              </w:rPr>
            </w:pPr>
            <w:r w:rsidRPr="00C5494E">
              <w:rPr>
                <w:sz w:val="18"/>
                <w:szCs w:val="18"/>
              </w:rPr>
              <w:t>No</w:t>
            </w:r>
          </w:p>
        </w:tc>
        <w:tc>
          <w:tcPr>
            <w:tcW w:w="2479" w:type="dxa"/>
            <w:tcBorders>
              <w:top w:val="nil"/>
              <w:left w:val="single" w:sz="8" w:space="0" w:color="990033"/>
              <w:bottom w:val="nil"/>
              <w:right w:val="single" w:sz="8" w:space="0" w:color="990033"/>
            </w:tcBorders>
            <w:shd w:val="clear" w:color="auto" w:fill="EFD3D2"/>
            <w:vAlign w:val="center"/>
          </w:tcPr>
          <w:p w:rsidR="00BE13D6" w:rsidRPr="00C5494E" w:rsidRDefault="00BE13D6" w:rsidP="00BE13D6">
            <w:pPr>
              <w:pStyle w:val="Tabletext"/>
              <w:jc w:val="center"/>
              <w:cnfStyle w:val="000000100000"/>
              <w:rPr>
                <w:sz w:val="18"/>
                <w:szCs w:val="18"/>
              </w:rPr>
            </w:pPr>
            <w:r w:rsidRPr="00C5494E">
              <w:rPr>
                <w:sz w:val="18"/>
                <w:szCs w:val="18"/>
              </w:rPr>
              <w:t>No</w:t>
            </w:r>
          </w:p>
        </w:tc>
        <w:tc>
          <w:tcPr>
            <w:tcW w:w="2077" w:type="dxa"/>
            <w:tcBorders>
              <w:top w:val="nil"/>
              <w:left w:val="single" w:sz="8" w:space="0" w:color="990033"/>
              <w:bottom w:val="nil"/>
              <w:right w:val="single" w:sz="8" w:space="0" w:color="990033"/>
            </w:tcBorders>
            <w:vAlign w:val="center"/>
          </w:tcPr>
          <w:p w:rsidR="00BE13D6" w:rsidRPr="00C5494E" w:rsidRDefault="00BE13D6" w:rsidP="00BE13D6">
            <w:pPr>
              <w:pStyle w:val="Tabletext"/>
              <w:jc w:val="center"/>
              <w:cnfStyle w:val="000000100000"/>
              <w:rPr>
                <w:sz w:val="18"/>
                <w:szCs w:val="18"/>
              </w:rPr>
            </w:pPr>
            <w:r w:rsidRPr="00C5494E">
              <w:rPr>
                <w:sz w:val="18"/>
                <w:szCs w:val="18"/>
              </w:rPr>
              <w:t>No</w:t>
            </w:r>
          </w:p>
        </w:tc>
        <w:tc>
          <w:tcPr>
            <w:tcW w:w="1703" w:type="dxa"/>
            <w:tcBorders>
              <w:top w:val="nil"/>
              <w:left w:val="single" w:sz="8" w:space="0" w:color="990033"/>
              <w:bottom w:val="nil"/>
              <w:right w:val="single" w:sz="8" w:space="0" w:color="990033"/>
            </w:tcBorders>
            <w:vAlign w:val="center"/>
          </w:tcPr>
          <w:p w:rsidR="00BE13D6" w:rsidRPr="00C5494E" w:rsidRDefault="00BE13D6" w:rsidP="00BE13D6">
            <w:pPr>
              <w:pStyle w:val="Tabletext"/>
              <w:jc w:val="center"/>
              <w:cnfStyle w:val="000000100000"/>
              <w:rPr>
                <w:sz w:val="18"/>
                <w:szCs w:val="18"/>
              </w:rPr>
            </w:pPr>
            <w:r w:rsidRPr="00C5494E">
              <w:rPr>
                <w:sz w:val="18"/>
                <w:szCs w:val="18"/>
              </w:rPr>
              <w:t>Yes, for educational purposes</w:t>
            </w:r>
          </w:p>
        </w:tc>
      </w:tr>
      <w:tr w:rsidR="00BE13D6" w:rsidRPr="00C5494E" w:rsidTr="00527AA9">
        <w:trPr>
          <w:jc w:val="center"/>
        </w:trPr>
        <w:tc>
          <w:tcPr>
            <w:cnfStyle w:val="001000000000"/>
            <w:tcW w:w="1548" w:type="dxa"/>
            <w:tcBorders>
              <w:top w:val="nil"/>
              <w:left w:val="single" w:sz="8" w:space="0" w:color="990033"/>
              <w:bottom w:val="single" w:sz="8" w:space="0" w:color="990033"/>
              <w:right w:val="single" w:sz="8" w:space="0" w:color="990033"/>
            </w:tcBorders>
            <w:vAlign w:val="center"/>
          </w:tcPr>
          <w:p w:rsidR="00BE13D6" w:rsidRPr="00C5494E" w:rsidRDefault="00BE13D6" w:rsidP="00FB239F">
            <w:pPr>
              <w:spacing w:before="40" w:after="40"/>
              <w:jc w:val="left"/>
              <w:rPr>
                <w:bCs w:val="0"/>
                <w:color w:val="990033"/>
                <w:sz w:val="20"/>
              </w:rPr>
            </w:pPr>
            <w:r w:rsidRPr="00C5494E">
              <w:rPr>
                <w:bCs w:val="0"/>
                <w:color w:val="990033"/>
                <w:sz w:val="20"/>
              </w:rPr>
              <w:t>Nepal</w:t>
            </w:r>
          </w:p>
        </w:tc>
        <w:tc>
          <w:tcPr>
            <w:tcW w:w="1736" w:type="dxa"/>
            <w:tcBorders>
              <w:top w:val="nil"/>
              <w:left w:val="single" w:sz="8" w:space="0" w:color="990033"/>
              <w:bottom w:val="single" w:sz="8" w:space="0" w:color="990033"/>
              <w:right w:val="single" w:sz="8" w:space="0" w:color="990033"/>
            </w:tcBorders>
            <w:vAlign w:val="center"/>
          </w:tcPr>
          <w:p w:rsidR="00BE13D6" w:rsidRPr="00C5494E" w:rsidRDefault="00BE13D6" w:rsidP="00BE13D6">
            <w:pPr>
              <w:pStyle w:val="Tabletext"/>
              <w:jc w:val="center"/>
              <w:cnfStyle w:val="000000000000"/>
              <w:rPr>
                <w:sz w:val="18"/>
                <w:szCs w:val="18"/>
              </w:rPr>
            </w:pPr>
            <w:r w:rsidRPr="00C5494E">
              <w:rPr>
                <w:sz w:val="18"/>
                <w:szCs w:val="18"/>
              </w:rPr>
              <w:t>Currently a draft under consultation</w:t>
            </w:r>
          </w:p>
        </w:tc>
        <w:tc>
          <w:tcPr>
            <w:tcW w:w="2479" w:type="dxa"/>
            <w:tcBorders>
              <w:top w:val="nil"/>
              <w:left w:val="single" w:sz="8" w:space="0" w:color="990033"/>
              <w:bottom w:val="single" w:sz="8" w:space="0" w:color="990033"/>
              <w:right w:val="single" w:sz="8" w:space="0" w:color="990033"/>
            </w:tcBorders>
            <w:shd w:val="clear" w:color="auto" w:fill="auto"/>
            <w:vAlign w:val="center"/>
          </w:tcPr>
          <w:p w:rsidR="00BE13D6" w:rsidRPr="00C5494E" w:rsidRDefault="00BE13D6" w:rsidP="00BE13D6">
            <w:pPr>
              <w:pStyle w:val="Tabletext"/>
              <w:jc w:val="center"/>
              <w:cnfStyle w:val="000000000000"/>
              <w:rPr>
                <w:sz w:val="18"/>
                <w:szCs w:val="18"/>
              </w:rPr>
            </w:pPr>
            <w:r w:rsidRPr="00C5494E">
              <w:rPr>
                <w:sz w:val="18"/>
                <w:szCs w:val="18"/>
              </w:rPr>
              <w:t>Yes, in rural areas</w:t>
            </w:r>
          </w:p>
          <w:p w:rsidR="00BE13D6" w:rsidRPr="00C5494E" w:rsidRDefault="00BE13D6" w:rsidP="00BE13D6">
            <w:pPr>
              <w:pStyle w:val="Tabletext"/>
              <w:ind w:firstLine="7"/>
              <w:jc w:val="center"/>
              <w:cnfStyle w:val="000000000000"/>
              <w:rPr>
                <w:sz w:val="18"/>
                <w:szCs w:val="18"/>
              </w:rPr>
            </w:pPr>
            <w:r w:rsidRPr="00C5494E">
              <w:rPr>
                <w:sz w:val="18"/>
                <w:szCs w:val="18"/>
              </w:rPr>
              <w:t>USO imposed on the incumbent fixed line operator, and financed through US Fund and interconnection charges</w:t>
            </w:r>
          </w:p>
        </w:tc>
        <w:tc>
          <w:tcPr>
            <w:tcW w:w="2077" w:type="dxa"/>
            <w:tcBorders>
              <w:top w:val="nil"/>
              <w:left w:val="single" w:sz="8" w:space="0" w:color="990033"/>
              <w:bottom w:val="single" w:sz="8" w:space="0" w:color="990033"/>
              <w:right w:val="single" w:sz="8" w:space="0" w:color="990033"/>
            </w:tcBorders>
            <w:vAlign w:val="center"/>
          </w:tcPr>
          <w:p w:rsidR="00BE13D6" w:rsidRPr="00C5494E" w:rsidRDefault="00BE13D6" w:rsidP="00BE13D6">
            <w:pPr>
              <w:pStyle w:val="Tabletext"/>
              <w:jc w:val="center"/>
              <w:cnfStyle w:val="000000000000"/>
              <w:rPr>
                <w:sz w:val="18"/>
                <w:szCs w:val="18"/>
              </w:rPr>
            </w:pPr>
            <w:r w:rsidRPr="00C5494E">
              <w:rPr>
                <w:sz w:val="18"/>
                <w:szCs w:val="18"/>
              </w:rPr>
              <w:t>Tax exemption for telecom</w:t>
            </w:r>
            <w:r w:rsidR="00527AA9" w:rsidRPr="00C5494E">
              <w:rPr>
                <w:sz w:val="18"/>
                <w:szCs w:val="18"/>
              </w:rPr>
              <w:t>s</w:t>
            </w:r>
            <w:r w:rsidRPr="00C5494E">
              <w:rPr>
                <w:sz w:val="18"/>
                <w:szCs w:val="18"/>
              </w:rPr>
              <w:t xml:space="preserve"> equipment imported for rural services</w:t>
            </w:r>
          </w:p>
        </w:tc>
        <w:tc>
          <w:tcPr>
            <w:tcW w:w="1703" w:type="dxa"/>
            <w:tcBorders>
              <w:top w:val="nil"/>
              <w:left w:val="single" w:sz="8" w:space="0" w:color="990033"/>
              <w:bottom w:val="single" w:sz="8" w:space="0" w:color="990033"/>
              <w:right w:val="single" w:sz="8" w:space="0" w:color="990033"/>
            </w:tcBorders>
            <w:vAlign w:val="center"/>
          </w:tcPr>
          <w:p w:rsidR="00BE13D6" w:rsidRPr="00C5494E" w:rsidRDefault="00BE13D6" w:rsidP="00BE13D6">
            <w:pPr>
              <w:pStyle w:val="Tabletext"/>
              <w:jc w:val="center"/>
              <w:cnfStyle w:val="000000000000"/>
              <w:rPr>
                <w:sz w:val="18"/>
                <w:szCs w:val="18"/>
              </w:rPr>
            </w:pPr>
            <w:r w:rsidRPr="00C5494E">
              <w:rPr>
                <w:sz w:val="18"/>
                <w:szCs w:val="18"/>
              </w:rPr>
              <w:t>No</w:t>
            </w:r>
          </w:p>
        </w:tc>
      </w:tr>
      <w:tr w:rsidR="00527AA9" w:rsidRPr="00DC056F" w:rsidTr="00527AA9">
        <w:trPr>
          <w:cnfStyle w:val="000000100000"/>
          <w:jc w:val="center"/>
        </w:trPr>
        <w:tc>
          <w:tcPr>
            <w:cnfStyle w:val="001000000000"/>
            <w:tcW w:w="9543" w:type="dxa"/>
            <w:gridSpan w:val="5"/>
            <w:tcBorders>
              <w:top w:val="single" w:sz="8" w:space="0" w:color="990033"/>
              <w:left w:val="single" w:sz="8" w:space="0" w:color="990033"/>
              <w:bottom w:val="single" w:sz="8" w:space="0" w:color="990033"/>
              <w:right w:val="single" w:sz="8" w:space="0" w:color="990033"/>
            </w:tcBorders>
            <w:shd w:val="clear" w:color="auto" w:fill="FFFFFF" w:themeFill="background1"/>
            <w:vAlign w:val="center"/>
          </w:tcPr>
          <w:p w:rsidR="00527AA9" w:rsidRPr="0048461C" w:rsidRDefault="00527AA9" w:rsidP="00527AA9">
            <w:pPr>
              <w:pStyle w:val="Tabletext"/>
              <w:rPr>
                <w:b w:val="0"/>
                <w:bCs w:val="0"/>
                <w:szCs w:val="18"/>
                <w:lang w:val="fr-CH"/>
              </w:rPr>
            </w:pPr>
            <w:r w:rsidRPr="0048461C">
              <w:rPr>
                <w:b w:val="0"/>
                <w:bCs w:val="0"/>
                <w:i/>
                <w:iCs/>
                <w:lang w:val="fr-CH"/>
              </w:rPr>
              <w:t>Source</w:t>
            </w:r>
            <w:r w:rsidRPr="0048461C">
              <w:rPr>
                <w:b w:val="0"/>
                <w:bCs w:val="0"/>
                <w:lang w:val="fr-CH"/>
              </w:rPr>
              <w:t>: ITU ABBMN questionnaire (</w:t>
            </w:r>
            <w:proofErr w:type="spellStart"/>
            <w:r w:rsidRPr="0048461C">
              <w:rPr>
                <w:b w:val="0"/>
                <w:bCs w:val="0"/>
                <w:lang w:val="fr-CH"/>
              </w:rPr>
              <w:t>June</w:t>
            </w:r>
            <w:proofErr w:type="spellEnd"/>
            <w:r w:rsidRPr="0048461C">
              <w:rPr>
                <w:b w:val="0"/>
                <w:bCs w:val="0"/>
                <w:lang w:val="fr-CH"/>
              </w:rPr>
              <w:t xml:space="preserve"> 2010).</w:t>
            </w:r>
          </w:p>
        </w:tc>
      </w:tr>
    </w:tbl>
    <w:p w:rsidR="00BE13D6" w:rsidRPr="0048461C" w:rsidRDefault="00BE13D6" w:rsidP="00580D80">
      <w:pPr>
        <w:rPr>
          <w:lang w:val="fr-CH"/>
        </w:rPr>
      </w:pPr>
    </w:p>
    <w:p w:rsidR="00BE13D6" w:rsidRPr="00C5494E" w:rsidRDefault="00BE13D6" w:rsidP="00BE13D6">
      <w:r w:rsidRPr="00C5494E">
        <w:t>Among ABBMN countries, Bangladesh</w:t>
      </w:r>
      <w:r w:rsidRPr="00C5494E">
        <w:rPr>
          <w:vertAlign w:val="superscript"/>
        </w:rPr>
        <w:footnoteReference w:id="58"/>
      </w:r>
      <w:r w:rsidRPr="00C5494E">
        <w:t xml:space="preserve"> and Bhutan have approved their national broadband plans. Nepal has currently under consultation its own broadband plan, while Afghanistan and Nepal are in the process of developing it. Maldives is the only ABBMN country with neither a broadband plan, nor in the process of developing it. </w:t>
      </w:r>
    </w:p>
    <w:p w:rsidR="00BE13D6" w:rsidRPr="00C5494E" w:rsidRDefault="00BE13D6" w:rsidP="00BE13D6">
      <w:r w:rsidRPr="00C5494E">
        <w:t>There is not a single solution on the best policy instrument to promote universal access to broadband. Universal service obligations, other financing mechanisms, and different public broadband plans may prove more or less effective depending on the national circumstances. These include very diverse factors, such as demography and geography, competitive situation in the broadband market, access to financing sources, and/or policy goals. There are</w:t>
      </w:r>
      <w:r w:rsidR="00527AA9" w:rsidRPr="00C5494E">
        <w:t>,</w:t>
      </w:r>
      <w:r w:rsidRPr="00C5494E">
        <w:t xml:space="preserve"> however</w:t>
      </w:r>
      <w:r w:rsidR="00527AA9" w:rsidRPr="00C5494E">
        <w:t>,</w:t>
      </w:r>
      <w:r w:rsidRPr="00C5494E">
        <w:t xml:space="preserve"> some general considerations to be taken into account when assessing the suitability of the different options: </w:t>
      </w:r>
    </w:p>
    <w:p w:rsidR="00BE13D6" w:rsidRPr="00C5494E" w:rsidRDefault="00BE13D6" w:rsidP="00BE13D6">
      <w:pPr>
        <w:pStyle w:val="enumlev1"/>
      </w:pPr>
      <w:r w:rsidRPr="00C5494E">
        <w:rPr>
          <w:bCs/>
          <w:color w:val="990033"/>
        </w:rPr>
        <w:t>•</w:t>
      </w:r>
      <w:r w:rsidRPr="00C5494E">
        <w:rPr>
          <w:bCs/>
        </w:rPr>
        <w:tab/>
      </w:r>
      <w:r w:rsidRPr="00C5494E">
        <w:rPr>
          <w:b/>
        </w:rPr>
        <w:t>The importance of aligning all policies related to broadband</w:t>
      </w:r>
      <w:r w:rsidRPr="00C5494E">
        <w:t xml:space="preserve"> development towards achieving a clear, measurable, and scheduled common set of targets. If correctly designed, a </w:t>
      </w:r>
      <w:r w:rsidRPr="00C5494E">
        <w:rPr>
          <w:b/>
        </w:rPr>
        <w:t>national broadband plan</w:t>
      </w:r>
      <w:r w:rsidRPr="00C5494E">
        <w:t xml:space="preserve"> may be a good means of achieving this objective. </w:t>
      </w:r>
    </w:p>
    <w:p w:rsidR="00BE13D6" w:rsidRPr="00C5494E" w:rsidRDefault="00BE13D6" w:rsidP="00527AA9">
      <w:pPr>
        <w:pStyle w:val="enumlev1"/>
      </w:pPr>
      <w:r w:rsidRPr="00C5494E">
        <w:rPr>
          <w:color w:val="990033"/>
        </w:rPr>
        <w:t>•</w:t>
      </w:r>
      <w:r w:rsidRPr="00C5494E">
        <w:tab/>
        <w:t xml:space="preserve">If universal service policies are extended to broadband, </w:t>
      </w:r>
      <w:r w:rsidRPr="00C5494E">
        <w:rPr>
          <w:b/>
        </w:rPr>
        <w:t>it must be undertaken a careful</w:t>
      </w:r>
      <w:r w:rsidRPr="00C5494E">
        <w:t xml:space="preserve"> </w:t>
      </w:r>
      <w:r w:rsidRPr="00C5494E">
        <w:rPr>
          <w:b/>
        </w:rPr>
        <w:t>assessment about the effects these policies may have on competition</w:t>
      </w:r>
      <w:r w:rsidRPr="00C5494E">
        <w:t>. For example, in Nepal universal service obligations related to broadband development in rural areas are imposed to the fixed</w:t>
      </w:r>
      <w:r w:rsidR="00527AA9" w:rsidRPr="00C5494E">
        <w:t>-</w:t>
      </w:r>
      <w:r w:rsidRPr="00C5494E">
        <w:t>line incumbent, which finances them partially with its interconnection charges. High interconnection charges have an impact on alternative operators that need to interconnect to the network of the fixed</w:t>
      </w:r>
      <w:r w:rsidR="00527AA9" w:rsidRPr="00C5494E">
        <w:t>-</w:t>
      </w:r>
      <w:r w:rsidRPr="00C5494E">
        <w:t>line operator, and in consequence indirectly affect competition in those areas with more than one operator. Thus the burden of universal service policies is partially passed to alternative operators. This is not</w:t>
      </w:r>
      <w:r w:rsidRPr="00C5494E">
        <w:rPr>
          <w:i/>
        </w:rPr>
        <w:t xml:space="preserve"> per se</w:t>
      </w:r>
      <w:r w:rsidRPr="00C5494E">
        <w:t xml:space="preserve"> negative, but an impact </w:t>
      </w:r>
      <w:r w:rsidR="00527AA9" w:rsidRPr="00C5494E">
        <w:t>analyzis</w:t>
      </w:r>
      <w:r w:rsidRPr="00C5494E">
        <w:t xml:space="preserve"> needs to be carried out, in </w:t>
      </w:r>
      <w:r w:rsidRPr="00C5494E">
        <w:lastRenderedPageBreak/>
        <w:t xml:space="preserve">order to avoid that the extension of broadband to rural areas weakens competition in competitive areas. </w:t>
      </w:r>
    </w:p>
    <w:p w:rsidR="00BE13D6" w:rsidRPr="00C5494E" w:rsidRDefault="00BE13D6" w:rsidP="00527AA9">
      <w:pPr>
        <w:pStyle w:val="enumlev1"/>
      </w:pPr>
      <w:r w:rsidRPr="00C5494E">
        <w:rPr>
          <w:bCs/>
          <w:color w:val="990033"/>
        </w:rPr>
        <w:t>•</w:t>
      </w:r>
      <w:r w:rsidRPr="00C5494E">
        <w:rPr>
          <w:bCs/>
        </w:rPr>
        <w:tab/>
      </w:r>
      <w:r w:rsidRPr="00C5494E">
        <w:t xml:space="preserve">In order to maximize the benefits drawn from the use of public funds for broadband development, </w:t>
      </w:r>
      <w:r w:rsidRPr="00C5494E">
        <w:rPr>
          <w:b/>
        </w:rPr>
        <w:t>a gradual approach should be considered</w:t>
      </w:r>
      <w:r w:rsidRPr="00C5494E">
        <w:t>. In those areas where there are enough incentives for operators to compete, intervention should be limited to regulatory measures to ensure a level-playing field for all stakeholders. In underserved and rural areas, where stronger public intervention will be required, it should be sought to enforce those public policies that better promote both broadband development and competition (see, for an example, Box 4.2). This needs to be considered also in any broadband network development using public funds: open access or other forms of infrastructure sharing are the best way to favo</w:t>
      </w:r>
      <w:r w:rsidR="00527AA9" w:rsidRPr="00C5494E">
        <w:t>u</w:t>
      </w:r>
      <w:r w:rsidRPr="00C5494E">
        <w:t>r both efficient infrastructure use and end</w:t>
      </w:r>
      <w:r w:rsidR="00527AA9" w:rsidRPr="00C5494E">
        <w:t>-</w:t>
      </w:r>
      <w:r w:rsidRPr="00C5494E">
        <w:t xml:space="preserve">user benefit. </w:t>
      </w:r>
    </w:p>
    <w:p w:rsidR="00BE13D6" w:rsidRPr="00C5494E" w:rsidRDefault="00BE13D6" w:rsidP="00BE13D6">
      <w:pPr>
        <w:pStyle w:val="enumlev1"/>
      </w:pPr>
      <w:r w:rsidRPr="00C5494E">
        <w:rPr>
          <w:bCs/>
          <w:color w:val="990033"/>
        </w:rPr>
        <w:t>•</w:t>
      </w:r>
      <w:r w:rsidRPr="00C5494E">
        <w:rPr>
          <w:bCs/>
        </w:rPr>
        <w:tab/>
      </w:r>
      <w:r w:rsidRPr="00C5494E">
        <w:rPr>
          <w:b/>
        </w:rPr>
        <w:t>Universal service obligations need to be financed in a transparent and efficient way</w:t>
      </w:r>
      <w:r w:rsidRPr="00C5494E">
        <w:t>. A good option to do so may be through the creation of a universal service fund.</w:t>
      </w:r>
      <w:r w:rsidRPr="00C5494E">
        <w:rPr>
          <w:vertAlign w:val="superscript"/>
        </w:rPr>
        <w:footnoteReference w:id="59"/>
      </w:r>
      <w:r w:rsidRPr="00C5494E">
        <w:t xml:space="preserve"> Irrespective of the mechanism implemented for the management of universal service funds, it is of critical importance that funds are used only and entirely for the provision of the telecommunication services included in the USO. A good way of ensuring it is to separate these funds from the public budget – as it is the case, for example, of the TDF in Afghanistan –, and to collect them only after assessing the real cost of the USO. </w:t>
      </w:r>
    </w:p>
    <w:p w:rsidR="00BE13D6" w:rsidRPr="00C5494E" w:rsidRDefault="00BE13D6" w:rsidP="00BE13D6">
      <w:pPr>
        <w:pStyle w:val="enumlev1"/>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2A2EDF" w:rsidRPr="00C5494E" w:rsidTr="00FB239F">
        <w:trPr>
          <w:jc w:val="center"/>
        </w:trPr>
        <w:tc>
          <w:tcPr>
            <w:tcW w:w="9424" w:type="dxa"/>
            <w:shd w:val="clear" w:color="auto" w:fill="D9D9D9" w:themeFill="background1" w:themeFillShade="D9"/>
          </w:tcPr>
          <w:p w:rsidR="002A2EDF" w:rsidRPr="00C5494E" w:rsidRDefault="002A2EDF" w:rsidP="00527AA9">
            <w:pPr>
              <w:pStyle w:val="BoxTitle"/>
              <w:keepNext w:val="0"/>
              <w:keepLines w:val="0"/>
              <w:tabs>
                <w:tab w:val="clear" w:pos="794"/>
                <w:tab w:val="clear" w:pos="1191"/>
                <w:tab w:val="left" w:pos="919"/>
              </w:tabs>
              <w:ind w:left="919" w:hanging="919"/>
            </w:pPr>
            <w:bookmarkStart w:id="52" w:name="_Toc273623635"/>
            <w:r w:rsidRPr="00C5494E">
              <w:rPr>
                <w:bCs/>
              </w:rPr>
              <w:t>Box 4.4: Broadband services or broadband connectivity to be included in the universal service?</w:t>
            </w:r>
            <w:bookmarkEnd w:id="52"/>
          </w:p>
          <w:p w:rsidR="002A2EDF" w:rsidRPr="00C5494E" w:rsidRDefault="002A2EDF" w:rsidP="002A2EDF">
            <w:pPr>
              <w:pStyle w:val="BoxText"/>
              <w:rPr>
                <w:bCs/>
              </w:rPr>
            </w:pPr>
            <w:r w:rsidRPr="00C5494E">
              <w:rPr>
                <w:bCs/>
              </w:rPr>
              <w:t>The provision of fixed broadband by an operator can be decoupled in two elements, both of them necessary for the enjoyment of the service: the connection to the Internet at a fixed location, and the provision of Internet services to the end user through this connection.</w:t>
            </w:r>
          </w:p>
          <w:p w:rsidR="002A2EDF" w:rsidRPr="00C5494E" w:rsidRDefault="002A2EDF" w:rsidP="002A2EDF">
            <w:pPr>
              <w:pStyle w:val="BoxText"/>
              <w:rPr>
                <w:bCs/>
              </w:rPr>
            </w:pPr>
            <w:r w:rsidRPr="00C5494E">
              <w:rPr>
                <w:bCs/>
              </w:rPr>
              <w:t>Following this approach, broadband can be included in the universal service in two different ways:</w:t>
            </w:r>
          </w:p>
          <w:p w:rsidR="00527AA9" w:rsidRPr="00011BA4" w:rsidRDefault="002A2EDF" w:rsidP="00011BA4">
            <w:pPr>
              <w:pStyle w:val="BoxText"/>
              <w:numPr>
                <w:ilvl w:val="0"/>
                <w:numId w:val="9"/>
              </w:numPr>
              <w:rPr>
                <w:bCs/>
              </w:rPr>
            </w:pPr>
            <w:r w:rsidRPr="00C5494E">
              <w:rPr>
                <w:bCs/>
              </w:rPr>
              <w:t>By comprising both the connection (i.e. roll-out of the network to rural/underserved areas), and the provision of the Internet service. In this case, the same operator that extends the network offers the retail services, and thus it is the sole beneficiary of the universal service funds.</w:t>
            </w:r>
          </w:p>
          <w:p w:rsidR="002A2EDF" w:rsidRPr="00C5494E" w:rsidRDefault="00A964DB" w:rsidP="00A964DB">
            <w:pPr>
              <w:pStyle w:val="BoxText"/>
              <w:numPr>
                <w:ilvl w:val="0"/>
                <w:numId w:val="9"/>
              </w:numPr>
              <w:rPr>
                <w:bCs/>
              </w:rPr>
            </w:pPr>
            <w:r w:rsidRPr="00C5494E">
              <w:rPr>
                <w:bCs/>
              </w:rPr>
              <w:t xml:space="preserve">By including only the connection. In this instance, the operator that extends the network would not necessarily be the one offering the retail services. Different competing operators could offer these services by accessing the network (e.g. local loop unbundling, </w:t>
            </w:r>
            <w:proofErr w:type="spellStart"/>
            <w:r w:rsidRPr="00C5494E">
              <w:rPr>
                <w:bCs/>
              </w:rPr>
              <w:t>bitstream</w:t>
            </w:r>
            <w:proofErr w:type="spellEnd"/>
            <w:r w:rsidRPr="00C5494E">
              <w:rPr>
                <w:bCs/>
              </w:rPr>
              <w:t xml:space="preserve"> access, reselling) of the beneficiary of the universal service funds.</w:t>
            </w:r>
          </w:p>
          <w:p w:rsidR="002A2EDF" w:rsidRPr="00C5494E" w:rsidRDefault="002A2EDF" w:rsidP="002A2EDF">
            <w:pPr>
              <w:pStyle w:val="BoxText"/>
              <w:rPr>
                <w:bCs/>
              </w:rPr>
            </w:pPr>
            <w:r w:rsidRPr="00C5494E">
              <w:rPr>
                <w:bCs/>
              </w:rPr>
              <w:t>In case (b), in order to ensure that the newly offered broadband services are affordable, universal service funds could be used to promote social tariffs below market prices. These subsidies would allow end users to choose the most beneficial broadband service provider.</w:t>
            </w:r>
          </w:p>
          <w:p w:rsidR="002A2EDF" w:rsidRDefault="002A2EDF" w:rsidP="00011BA4">
            <w:pPr>
              <w:pStyle w:val="BoxText"/>
              <w:rPr>
                <w:bCs/>
              </w:rPr>
            </w:pPr>
            <w:r w:rsidRPr="00C5494E">
              <w:rPr>
                <w:bCs/>
              </w:rPr>
              <w:t xml:space="preserve">Option (a) has been the way fixed telephony services have been historically financed through their inclusion in the universal service. Option (b) is an innovative option currently discussed at a European level, which could be more advantageous for the extension of broadband through the universal service, because it could promote some degree of competition in its provision. </w:t>
            </w:r>
          </w:p>
          <w:p w:rsidR="00011BA4" w:rsidRPr="00C5494E" w:rsidRDefault="00011BA4" w:rsidP="00011BA4">
            <w:pPr>
              <w:pStyle w:val="BoxText"/>
            </w:pPr>
          </w:p>
        </w:tc>
      </w:tr>
    </w:tbl>
    <w:p w:rsidR="00011BA4" w:rsidRPr="00C5494E" w:rsidRDefault="00011BA4" w:rsidP="00011BA4">
      <w:pPr>
        <w:pStyle w:val="enumlev1"/>
      </w:pPr>
      <w:bookmarkStart w:id="53" w:name="_Toc273517404"/>
      <w:bookmarkStart w:id="54" w:name="_Toc273623637"/>
      <w:r w:rsidRPr="00C5494E">
        <w:rPr>
          <w:bCs/>
          <w:color w:val="990033"/>
        </w:rPr>
        <w:lastRenderedPageBreak/>
        <w:t>•</w:t>
      </w:r>
      <w:r w:rsidRPr="00C5494E">
        <w:rPr>
          <w:bCs/>
        </w:rPr>
        <w:tab/>
        <w:t>Universal service funds should not be used to benefit one single operator by subsidizing the extension of its network and/or the provision of risk-free services (i.e. publicly subsidized), while damaging the competitive situation of alternative operators. Although this may render some short-term benefits for selected (usually national) undertakings, it is neither the best way to obtain the highest end-user benefit from the use of public funds, nor the way to promote long-term efficiency of national telecommunications firms.</w:t>
      </w:r>
    </w:p>
    <w:p w:rsidR="002A2EDF" w:rsidRPr="00C5494E" w:rsidRDefault="002A2EDF" w:rsidP="002A2EDF">
      <w:pPr>
        <w:pStyle w:val="Heading2"/>
      </w:pPr>
      <w:r w:rsidRPr="00C5494E">
        <w:t>4.6</w:t>
      </w:r>
      <w:r w:rsidRPr="00C5494E">
        <w:tab/>
        <w:t>AUTHORIZATION/LICENSING</w:t>
      </w:r>
      <w:bookmarkEnd w:id="53"/>
      <w:bookmarkEnd w:id="54"/>
      <w:r w:rsidRPr="00C5494E">
        <w:t xml:space="preserve"> </w:t>
      </w:r>
    </w:p>
    <w:p w:rsidR="002A2EDF" w:rsidRPr="00C5494E" w:rsidRDefault="002A2EDF" w:rsidP="000F4A58">
      <w:r w:rsidRPr="00C5494E">
        <w:t>Authorization of ICT services has long evolved from the early days where telecommunication services were provided by a branch of the public administration, with its mandate defined by a law or a policy document. With the wave of privatization of national telecommunication services, accompanied by the liberalization of telecommunication services, and the entrance of private players in the market, individual licen</w:t>
      </w:r>
      <w:r w:rsidR="000F4A58" w:rsidRPr="00C5494E">
        <w:t>c</w:t>
      </w:r>
      <w:r w:rsidRPr="00C5494E">
        <w:t xml:space="preserve">es were issued to set down the conditions of telecommunications operators. </w:t>
      </w:r>
    </w:p>
    <w:p w:rsidR="002A2EDF" w:rsidRPr="00C5494E" w:rsidRDefault="002A2EDF" w:rsidP="002A2EDF">
      <w:r w:rsidRPr="00C5494E">
        <w:t>Currently, the trend in many developed countries is to grant only one general authorization (technologically neutral) for the provision of any telecommunication service, or even to require only a notification prior to start operating. These light-touch authorization regimes are considered better suited to respond to the current situation of electronic communication markets, which have a very dynamic nature, are experiencing an increase in competition due to the entry of new players, and have undergone a deregulation movement.</w:t>
      </w:r>
      <w:r w:rsidRPr="00C5494E">
        <w:rPr>
          <w:vertAlign w:val="superscript"/>
        </w:rPr>
        <w:footnoteReference w:id="60"/>
      </w:r>
    </w:p>
    <w:p w:rsidR="002A2EDF" w:rsidRPr="00C5494E" w:rsidRDefault="002A2EDF" w:rsidP="002A2EDF">
      <w:r w:rsidRPr="00C5494E">
        <w:t>A good international example of general authorization of electronic communications and networks is the EU Authorisation Directive (2002/20/EC).</w:t>
      </w:r>
      <w:r w:rsidRPr="00C5494E">
        <w:rPr>
          <w:vertAlign w:val="superscript"/>
        </w:rPr>
        <w:footnoteReference w:id="61"/>
      </w:r>
      <w:r w:rsidRPr="00C5494E">
        <w:t xml:space="preserve"> Under this directive, European Union Member States agreed in 2002 to adopt a general authorization regime, where “</w:t>
      </w:r>
      <w:r w:rsidRPr="00C5494E">
        <w:rPr>
          <w:i/>
        </w:rPr>
        <w:t>The undertaking concerned may be required to submit a notification but may not be required to obtain an explicit decision or any other administrative act by the national regulatory authority before exercising the rights stemming from the authorisation. Upon notification, when required, an undertaking may begin activity</w:t>
      </w:r>
      <w:r w:rsidRPr="00C5494E">
        <w:t>”. This general authorization regime does not exclude that Member States may grant individual rights of use for radio frequencies and numbers (both scarce resources, which are subject to general interest policies). Administrative charges imposed on undertakings for both general authorizations and individual rights of use shall cover only the administrative costs incurred.</w:t>
      </w:r>
      <w:r w:rsidRPr="00C5494E">
        <w:rPr>
          <w:vertAlign w:val="superscript"/>
        </w:rPr>
        <w:footnoteReference w:id="62"/>
      </w:r>
      <w:r w:rsidRPr="00C5494E">
        <w:t xml:space="preserve"> </w:t>
      </w:r>
    </w:p>
    <w:p w:rsidR="002A2EDF" w:rsidRPr="00C5494E" w:rsidRDefault="002A2EDF" w:rsidP="000F4A58">
      <w:r w:rsidRPr="00C5494E">
        <w:t>Table 4.4 presents the comparison of the different licen</w:t>
      </w:r>
      <w:r w:rsidR="000F4A58" w:rsidRPr="00C5494E">
        <w:t>c</w:t>
      </w:r>
      <w:r w:rsidRPr="00C5494E">
        <w:t>es available in ABBMN countries for the provision of broadband services. No ABBMN country has a licensing regime based on notification, and only Nepal has implemented general licen</w:t>
      </w:r>
      <w:r w:rsidR="000F4A58" w:rsidRPr="00C5494E">
        <w:t>c</w:t>
      </w:r>
      <w:r w:rsidRPr="00C5494E">
        <w:t>es. Individual licen</w:t>
      </w:r>
      <w:r w:rsidR="000F4A58" w:rsidRPr="00C5494E">
        <w:t>c</w:t>
      </w:r>
      <w:r w:rsidRPr="00C5494E">
        <w:t>es, which prevail in most ABBMN countries, may make the licensing negotiation burdensome and allow for different type of contract agreements depending on the operator. On the other hand, countries without a clear legal framework have attracted investment by providing regulatory certainty through the use of detailed individual authorizations.</w:t>
      </w:r>
      <w:r w:rsidRPr="00C5494E">
        <w:rPr>
          <w:vertAlign w:val="superscript"/>
        </w:rPr>
        <w:footnoteReference w:id="63"/>
      </w:r>
    </w:p>
    <w:p w:rsidR="002A2EDF" w:rsidRPr="00C5494E" w:rsidRDefault="002A2EDF" w:rsidP="002A2EDF"/>
    <w:tbl>
      <w:tblPr>
        <w:tblStyle w:val="LightShading-Accent2"/>
        <w:tblW w:w="9722" w:type="dxa"/>
        <w:jc w:val="center"/>
        <w:tblLook w:val="04A0"/>
      </w:tblPr>
      <w:tblGrid>
        <w:gridCol w:w="1313"/>
        <w:gridCol w:w="934"/>
        <w:gridCol w:w="691"/>
        <w:gridCol w:w="656"/>
        <w:gridCol w:w="746"/>
        <w:gridCol w:w="1441"/>
        <w:gridCol w:w="1223"/>
        <w:gridCol w:w="1101"/>
        <w:gridCol w:w="824"/>
        <w:gridCol w:w="793"/>
      </w:tblGrid>
      <w:tr w:rsidR="002A2EDF" w:rsidRPr="00C5494E" w:rsidTr="004E2730">
        <w:trPr>
          <w:cnfStyle w:val="100000000000"/>
          <w:jc w:val="center"/>
        </w:trPr>
        <w:tc>
          <w:tcPr>
            <w:cnfStyle w:val="001000000000"/>
            <w:tcW w:w="9722" w:type="dxa"/>
            <w:gridSpan w:val="10"/>
            <w:tcBorders>
              <w:top w:val="single" w:sz="8" w:space="0" w:color="990033"/>
              <w:left w:val="single" w:sz="8" w:space="0" w:color="990033"/>
              <w:bottom w:val="single" w:sz="8" w:space="0" w:color="990033"/>
              <w:right w:val="single" w:sz="8" w:space="0" w:color="990033"/>
            </w:tcBorders>
            <w:shd w:val="clear" w:color="auto" w:fill="990033"/>
          </w:tcPr>
          <w:p w:rsidR="002A2EDF" w:rsidRPr="00C5494E" w:rsidRDefault="002A2EDF" w:rsidP="00527AA9">
            <w:pPr>
              <w:pStyle w:val="TableNoTitle"/>
              <w:ind w:left="1191" w:hanging="1191"/>
              <w:rPr>
                <w:lang w:val="en-GB"/>
              </w:rPr>
            </w:pPr>
            <w:r w:rsidRPr="00C5494E">
              <w:rPr>
                <w:lang w:val="en-GB"/>
              </w:rPr>
              <w:lastRenderedPageBreak/>
              <w:t xml:space="preserve">Table 4.4: </w:t>
            </w:r>
            <w:r w:rsidR="00527AA9" w:rsidRPr="00C5494E">
              <w:rPr>
                <w:lang w:val="en-GB"/>
              </w:rPr>
              <w:tab/>
            </w:r>
            <w:r w:rsidRPr="00C5494E">
              <w:rPr>
                <w:lang w:val="en-GB"/>
              </w:rPr>
              <w:t>Comparison of licen</w:t>
            </w:r>
            <w:r w:rsidR="000F4A58" w:rsidRPr="00C5494E">
              <w:rPr>
                <w:lang w:val="en-GB"/>
              </w:rPr>
              <w:t>c</w:t>
            </w:r>
            <w:r w:rsidRPr="00C5494E">
              <w:rPr>
                <w:lang w:val="en-GB"/>
              </w:rPr>
              <w:t xml:space="preserve">es enabling the provision of broadband services in ABBMN countries. </w:t>
            </w:r>
          </w:p>
        </w:tc>
      </w:tr>
      <w:tr w:rsidR="001B4EA4" w:rsidRPr="00C5494E" w:rsidTr="001B0FAB">
        <w:trPr>
          <w:cnfStyle w:val="000000100000"/>
          <w:cantSplit/>
          <w:trHeight w:val="1503"/>
          <w:jc w:val="center"/>
        </w:trPr>
        <w:tc>
          <w:tcPr>
            <w:cnfStyle w:val="001000000000"/>
            <w:tcW w:w="1313" w:type="dxa"/>
            <w:tcBorders>
              <w:top w:val="single" w:sz="8" w:space="0" w:color="990033"/>
              <w:left w:val="single" w:sz="8" w:space="0" w:color="990033"/>
              <w:bottom w:val="single" w:sz="8" w:space="0" w:color="990033"/>
              <w:right w:val="single" w:sz="8" w:space="0" w:color="990033"/>
            </w:tcBorders>
            <w:vAlign w:val="center"/>
          </w:tcPr>
          <w:p w:rsidR="001B4EA4" w:rsidRPr="00C5494E" w:rsidRDefault="001B4EA4" w:rsidP="002A2EDF">
            <w:pPr>
              <w:pStyle w:val="Tablehead"/>
              <w:rPr>
                <w:lang w:val="en-GB"/>
              </w:rPr>
            </w:pPr>
          </w:p>
        </w:tc>
        <w:tc>
          <w:tcPr>
            <w:tcW w:w="934" w:type="dxa"/>
            <w:tcBorders>
              <w:top w:val="single" w:sz="8" w:space="0" w:color="990033"/>
              <w:left w:val="single" w:sz="8" w:space="0" w:color="990033"/>
              <w:bottom w:val="single" w:sz="8" w:space="0" w:color="990033"/>
              <w:right w:val="single" w:sz="8" w:space="0" w:color="990033"/>
            </w:tcBorders>
            <w:textDirection w:val="btLr"/>
            <w:vAlign w:val="center"/>
          </w:tcPr>
          <w:p w:rsidR="001B4EA4" w:rsidRPr="00C5494E" w:rsidRDefault="001B4EA4" w:rsidP="00527AA9">
            <w:pPr>
              <w:pStyle w:val="Tablehead"/>
              <w:ind w:left="113" w:right="113"/>
              <w:cnfStyle w:val="000000100000"/>
              <w:rPr>
                <w:sz w:val="18"/>
                <w:szCs w:val="18"/>
                <w:lang w:val="en-GB"/>
              </w:rPr>
            </w:pPr>
            <w:r w:rsidRPr="00C5494E">
              <w:rPr>
                <w:sz w:val="18"/>
                <w:szCs w:val="18"/>
                <w:lang w:val="en-GB"/>
              </w:rPr>
              <w:t>Type of licence</w:t>
            </w:r>
          </w:p>
        </w:tc>
        <w:tc>
          <w:tcPr>
            <w:tcW w:w="691" w:type="dxa"/>
            <w:tcBorders>
              <w:top w:val="single" w:sz="8" w:space="0" w:color="990033"/>
              <w:left w:val="single" w:sz="8" w:space="0" w:color="990033"/>
              <w:bottom w:val="single" w:sz="8" w:space="0" w:color="990033"/>
              <w:right w:val="single" w:sz="8" w:space="0" w:color="990033"/>
            </w:tcBorders>
            <w:textDirection w:val="btLr"/>
            <w:vAlign w:val="center"/>
          </w:tcPr>
          <w:p w:rsidR="001B4EA4" w:rsidRPr="00C5494E" w:rsidRDefault="001B4EA4" w:rsidP="00527AA9">
            <w:pPr>
              <w:pStyle w:val="Tablehead"/>
              <w:ind w:left="113" w:right="113"/>
              <w:cnfStyle w:val="000000100000"/>
              <w:rPr>
                <w:sz w:val="18"/>
                <w:szCs w:val="18"/>
                <w:lang w:val="en-GB"/>
              </w:rPr>
            </w:pPr>
            <w:r w:rsidRPr="00C5494E">
              <w:rPr>
                <w:sz w:val="18"/>
                <w:szCs w:val="18"/>
                <w:lang w:val="en-GB"/>
              </w:rPr>
              <w:t>Is it technologically neutral?</w:t>
            </w:r>
          </w:p>
        </w:tc>
        <w:tc>
          <w:tcPr>
            <w:tcW w:w="1402" w:type="dxa"/>
            <w:gridSpan w:val="2"/>
            <w:tcBorders>
              <w:top w:val="single" w:sz="8" w:space="0" w:color="990033"/>
              <w:left w:val="single" w:sz="8" w:space="0" w:color="990033"/>
              <w:bottom w:val="single" w:sz="8" w:space="0" w:color="990033"/>
              <w:right w:val="single" w:sz="8" w:space="0" w:color="990033"/>
            </w:tcBorders>
            <w:textDirection w:val="btLr"/>
            <w:vAlign w:val="center"/>
          </w:tcPr>
          <w:p w:rsidR="001B4EA4" w:rsidRPr="00C5494E" w:rsidRDefault="001B4EA4" w:rsidP="00527AA9">
            <w:pPr>
              <w:pStyle w:val="Tablehead"/>
              <w:ind w:left="113" w:right="113"/>
              <w:cnfStyle w:val="000000100000"/>
              <w:rPr>
                <w:sz w:val="18"/>
                <w:szCs w:val="18"/>
                <w:lang w:val="en-GB"/>
              </w:rPr>
            </w:pPr>
            <w:r w:rsidRPr="00C5494E">
              <w:rPr>
                <w:sz w:val="18"/>
                <w:szCs w:val="18"/>
                <w:lang w:val="en-GB"/>
              </w:rPr>
              <w:t>Licences granted</w:t>
            </w:r>
          </w:p>
        </w:tc>
        <w:tc>
          <w:tcPr>
            <w:tcW w:w="1441" w:type="dxa"/>
            <w:tcBorders>
              <w:top w:val="single" w:sz="8" w:space="0" w:color="990033"/>
              <w:left w:val="single" w:sz="8" w:space="0" w:color="990033"/>
              <w:bottom w:val="single" w:sz="8" w:space="0" w:color="990033"/>
              <w:right w:val="single" w:sz="8" w:space="0" w:color="990033"/>
            </w:tcBorders>
            <w:shd w:val="clear" w:color="auto" w:fill="EFD3D2"/>
            <w:textDirection w:val="btLr"/>
            <w:vAlign w:val="center"/>
          </w:tcPr>
          <w:p w:rsidR="001B4EA4" w:rsidRPr="00C5494E" w:rsidRDefault="001B4EA4" w:rsidP="00527AA9">
            <w:pPr>
              <w:pStyle w:val="Tablehead"/>
              <w:ind w:left="113" w:right="113"/>
              <w:cnfStyle w:val="000000100000"/>
              <w:rPr>
                <w:sz w:val="18"/>
                <w:szCs w:val="18"/>
                <w:lang w:val="en-GB"/>
              </w:rPr>
            </w:pPr>
            <w:r w:rsidRPr="00C5494E">
              <w:rPr>
                <w:sz w:val="18"/>
                <w:szCs w:val="18"/>
                <w:lang w:val="en-GB"/>
              </w:rPr>
              <w:t>Type of services allowed by the licence?</w:t>
            </w:r>
          </w:p>
        </w:tc>
        <w:tc>
          <w:tcPr>
            <w:tcW w:w="2324" w:type="dxa"/>
            <w:gridSpan w:val="2"/>
            <w:tcBorders>
              <w:top w:val="single" w:sz="8" w:space="0" w:color="990033"/>
              <w:left w:val="single" w:sz="8" w:space="0" w:color="990033"/>
              <w:bottom w:val="single" w:sz="8" w:space="0" w:color="990033"/>
              <w:right w:val="single" w:sz="8" w:space="0" w:color="990033"/>
            </w:tcBorders>
            <w:textDirection w:val="btLr"/>
            <w:vAlign w:val="center"/>
          </w:tcPr>
          <w:p w:rsidR="001B4EA4" w:rsidRPr="00C5494E" w:rsidRDefault="001B4EA4" w:rsidP="00527AA9">
            <w:pPr>
              <w:pStyle w:val="Tablehead"/>
              <w:ind w:left="113" w:right="113"/>
              <w:cnfStyle w:val="000000100000"/>
              <w:rPr>
                <w:sz w:val="18"/>
                <w:szCs w:val="18"/>
                <w:lang w:val="en-GB"/>
              </w:rPr>
            </w:pPr>
            <w:r w:rsidRPr="00C5494E">
              <w:rPr>
                <w:sz w:val="18"/>
                <w:szCs w:val="18"/>
                <w:lang w:val="en-GB"/>
              </w:rPr>
              <w:t>Licence fees</w:t>
            </w:r>
          </w:p>
        </w:tc>
        <w:tc>
          <w:tcPr>
            <w:tcW w:w="824" w:type="dxa"/>
            <w:tcBorders>
              <w:top w:val="single" w:sz="8" w:space="0" w:color="990033"/>
              <w:left w:val="single" w:sz="8" w:space="0" w:color="990033"/>
              <w:bottom w:val="single" w:sz="8" w:space="0" w:color="990033"/>
              <w:right w:val="single" w:sz="8" w:space="0" w:color="990033"/>
            </w:tcBorders>
            <w:textDirection w:val="btLr"/>
            <w:vAlign w:val="center"/>
          </w:tcPr>
          <w:p w:rsidR="001B4EA4" w:rsidRPr="00C5494E" w:rsidRDefault="001B4EA4" w:rsidP="00527AA9">
            <w:pPr>
              <w:pStyle w:val="Tablehead"/>
              <w:ind w:left="113" w:right="113"/>
              <w:cnfStyle w:val="000000100000"/>
              <w:rPr>
                <w:sz w:val="18"/>
                <w:szCs w:val="18"/>
                <w:lang w:val="en-GB"/>
              </w:rPr>
            </w:pPr>
            <w:r w:rsidRPr="00C5494E">
              <w:rPr>
                <w:sz w:val="18"/>
                <w:szCs w:val="18"/>
                <w:lang w:val="en-GB"/>
              </w:rPr>
              <w:t>Time to grant the licence</w:t>
            </w:r>
          </w:p>
        </w:tc>
        <w:tc>
          <w:tcPr>
            <w:tcW w:w="793" w:type="dxa"/>
            <w:tcBorders>
              <w:top w:val="single" w:sz="8" w:space="0" w:color="990033"/>
              <w:left w:val="single" w:sz="8" w:space="0" w:color="990033"/>
              <w:bottom w:val="single" w:sz="8" w:space="0" w:color="990033"/>
              <w:right w:val="single" w:sz="8" w:space="0" w:color="990033"/>
            </w:tcBorders>
            <w:textDirection w:val="btLr"/>
            <w:vAlign w:val="center"/>
          </w:tcPr>
          <w:p w:rsidR="001B4EA4" w:rsidRPr="00C5494E" w:rsidRDefault="001B4EA4" w:rsidP="00E32A9F">
            <w:pPr>
              <w:pStyle w:val="Tablehead"/>
              <w:ind w:left="113" w:right="113"/>
              <w:cnfStyle w:val="000000100000"/>
              <w:rPr>
                <w:sz w:val="18"/>
                <w:szCs w:val="18"/>
                <w:lang w:val="en-GB"/>
              </w:rPr>
            </w:pPr>
            <w:r w:rsidRPr="00C5494E">
              <w:rPr>
                <w:sz w:val="18"/>
                <w:szCs w:val="18"/>
                <w:lang w:val="en-GB"/>
              </w:rPr>
              <w:t>Licence duration</w:t>
            </w:r>
          </w:p>
        </w:tc>
      </w:tr>
      <w:tr w:rsidR="001B4EA4" w:rsidRPr="00C5494E" w:rsidTr="004E2730">
        <w:trPr>
          <w:jc w:val="center"/>
        </w:trPr>
        <w:tc>
          <w:tcPr>
            <w:cnfStyle w:val="001000000000"/>
            <w:tcW w:w="1313"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1B4EA4" w:rsidRPr="00C5494E" w:rsidRDefault="001B4EA4" w:rsidP="002A2EDF">
            <w:pPr>
              <w:pStyle w:val="Tablehead"/>
              <w:rPr>
                <w:lang w:val="en-GB"/>
              </w:rPr>
            </w:pPr>
          </w:p>
        </w:tc>
        <w:tc>
          <w:tcPr>
            <w:tcW w:w="934"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1B4EA4" w:rsidRPr="00C5494E" w:rsidRDefault="001B4EA4" w:rsidP="002A2EDF">
            <w:pPr>
              <w:pStyle w:val="Tablehead"/>
              <w:cnfStyle w:val="000000000000"/>
              <w:rPr>
                <w:lang w:val="en-GB"/>
              </w:rPr>
            </w:pPr>
          </w:p>
        </w:tc>
        <w:tc>
          <w:tcPr>
            <w:tcW w:w="691"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1B4EA4" w:rsidRPr="00C5494E" w:rsidRDefault="001B4EA4" w:rsidP="002A2EDF">
            <w:pPr>
              <w:pStyle w:val="Tablehead"/>
              <w:cnfStyle w:val="000000000000"/>
              <w:rPr>
                <w:sz w:val="18"/>
                <w:szCs w:val="18"/>
                <w:lang w:val="en-GB"/>
              </w:rPr>
            </w:pPr>
          </w:p>
        </w:tc>
        <w:tc>
          <w:tcPr>
            <w:tcW w:w="656"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1B4EA4" w:rsidRPr="001B4EA4" w:rsidRDefault="001B4EA4" w:rsidP="002A2EDF">
            <w:pPr>
              <w:pStyle w:val="Tablehead"/>
              <w:cnfStyle w:val="000000000000"/>
              <w:rPr>
                <w:sz w:val="18"/>
                <w:szCs w:val="18"/>
                <w:lang w:val="en-GB"/>
              </w:rPr>
            </w:pPr>
            <w:r w:rsidRPr="001B4EA4">
              <w:rPr>
                <w:sz w:val="18"/>
                <w:szCs w:val="18"/>
                <w:lang w:val="en-GB"/>
              </w:rPr>
              <w:t>Total</w:t>
            </w:r>
          </w:p>
        </w:tc>
        <w:tc>
          <w:tcPr>
            <w:tcW w:w="746"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1B4EA4" w:rsidRPr="001B4EA4" w:rsidRDefault="001B4EA4" w:rsidP="002A2EDF">
            <w:pPr>
              <w:pStyle w:val="Tablehead"/>
              <w:cnfStyle w:val="000000000000"/>
              <w:rPr>
                <w:sz w:val="18"/>
                <w:szCs w:val="18"/>
                <w:lang w:val="en-GB"/>
              </w:rPr>
            </w:pPr>
            <w:r w:rsidRPr="001B4EA4">
              <w:rPr>
                <w:sz w:val="18"/>
                <w:szCs w:val="18"/>
                <w:lang w:val="en-GB"/>
              </w:rPr>
              <w:t>Limit</w:t>
            </w:r>
          </w:p>
        </w:tc>
        <w:tc>
          <w:tcPr>
            <w:tcW w:w="1441"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1B4EA4" w:rsidRPr="001B4EA4" w:rsidRDefault="001B4EA4" w:rsidP="002A2EDF">
            <w:pPr>
              <w:pStyle w:val="Tablehead"/>
              <w:cnfStyle w:val="000000000000"/>
              <w:rPr>
                <w:sz w:val="18"/>
                <w:szCs w:val="18"/>
                <w:lang w:val="en-GB"/>
              </w:rPr>
            </w:pPr>
          </w:p>
        </w:tc>
        <w:tc>
          <w:tcPr>
            <w:tcW w:w="1223"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1B4EA4" w:rsidRPr="001B4EA4" w:rsidRDefault="001B4EA4" w:rsidP="002A2EDF">
            <w:pPr>
              <w:pStyle w:val="Tablehead"/>
              <w:cnfStyle w:val="000000000000"/>
              <w:rPr>
                <w:sz w:val="18"/>
                <w:szCs w:val="18"/>
                <w:lang w:val="en-GB"/>
              </w:rPr>
            </w:pPr>
            <w:r w:rsidRPr="001B4EA4">
              <w:rPr>
                <w:sz w:val="18"/>
                <w:szCs w:val="18"/>
                <w:lang w:val="en-GB"/>
              </w:rPr>
              <w:t>One time</w:t>
            </w:r>
          </w:p>
        </w:tc>
        <w:tc>
          <w:tcPr>
            <w:tcW w:w="1101"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1B4EA4" w:rsidRPr="001B4EA4" w:rsidRDefault="001B4EA4" w:rsidP="002A2EDF">
            <w:pPr>
              <w:pStyle w:val="Tablehead"/>
              <w:cnfStyle w:val="000000000000"/>
              <w:rPr>
                <w:sz w:val="18"/>
                <w:szCs w:val="18"/>
                <w:lang w:val="en-GB"/>
              </w:rPr>
            </w:pPr>
            <w:r w:rsidRPr="001B4EA4">
              <w:rPr>
                <w:sz w:val="18"/>
                <w:szCs w:val="18"/>
                <w:lang w:val="en-GB"/>
              </w:rPr>
              <w:t>Annual</w:t>
            </w:r>
          </w:p>
        </w:tc>
        <w:tc>
          <w:tcPr>
            <w:tcW w:w="824"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1B4EA4" w:rsidRPr="00C5494E" w:rsidRDefault="001B4EA4" w:rsidP="002A2EDF">
            <w:pPr>
              <w:pStyle w:val="Tablehead"/>
              <w:cnfStyle w:val="000000000000"/>
              <w:rPr>
                <w:sz w:val="18"/>
                <w:szCs w:val="18"/>
                <w:lang w:val="en-GB"/>
              </w:rPr>
            </w:pPr>
          </w:p>
        </w:tc>
        <w:tc>
          <w:tcPr>
            <w:tcW w:w="793" w:type="dxa"/>
            <w:tcBorders>
              <w:top w:val="single" w:sz="8" w:space="0" w:color="990033"/>
              <w:left w:val="single" w:sz="8" w:space="0" w:color="990033"/>
              <w:bottom w:val="single" w:sz="8" w:space="0" w:color="990033"/>
              <w:right w:val="single" w:sz="8" w:space="0" w:color="990033"/>
            </w:tcBorders>
            <w:shd w:val="clear" w:color="auto" w:fill="EFD3D2"/>
            <w:vAlign w:val="center"/>
          </w:tcPr>
          <w:p w:rsidR="001B4EA4" w:rsidRPr="00C5494E" w:rsidRDefault="001B4EA4" w:rsidP="002A2EDF">
            <w:pPr>
              <w:pStyle w:val="Tablehead"/>
              <w:cnfStyle w:val="000000000000"/>
              <w:rPr>
                <w:lang w:val="en-GB"/>
              </w:rPr>
            </w:pPr>
          </w:p>
        </w:tc>
      </w:tr>
      <w:tr w:rsidR="001B4EA4" w:rsidRPr="00C5494E" w:rsidTr="004E2730">
        <w:trPr>
          <w:cnfStyle w:val="000000100000"/>
          <w:jc w:val="center"/>
        </w:trPr>
        <w:tc>
          <w:tcPr>
            <w:cnfStyle w:val="001000000000"/>
            <w:tcW w:w="1313" w:type="dxa"/>
            <w:tcBorders>
              <w:top w:val="single" w:sz="8" w:space="0" w:color="990033"/>
              <w:left w:val="single" w:sz="8" w:space="0" w:color="990033"/>
              <w:bottom w:val="single" w:sz="8" w:space="0" w:color="990033"/>
            </w:tcBorders>
            <w:shd w:val="clear" w:color="auto" w:fill="EFD3D2"/>
            <w:vAlign w:val="center"/>
          </w:tcPr>
          <w:p w:rsidR="001B4EA4" w:rsidRPr="00C5494E" w:rsidRDefault="001B4EA4" w:rsidP="002A2EDF">
            <w:pPr>
              <w:pStyle w:val="Tablehead"/>
              <w:jc w:val="left"/>
              <w:rPr>
                <w:lang w:val="en-GB"/>
              </w:rPr>
            </w:pPr>
            <w:r w:rsidRPr="00C5494E">
              <w:rPr>
                <w:lang w:val="en-GB"/>
              </w:rPr>
              <w:t>Afghanistan</w:t>
            </w:r>
          </w:p>
        </w:tc>
        <w:tc>
          <w:tcPr>
            <w:tcW w:w="934" w:type="dxa"/>
            <w:tcBorders>
              <w:top w:val="single" w:sz="8" w:space="0" w:color="990033"/>
              <w:bottom w:val="single" w:sz="8" w:space="0" w:color="990033"/>
            </w:tcBorders>
            <w:shd w:val="clear" w:color="auto" w:fill="EFD3D2"/>
            <w:vAlign w:val="center"/>
          </w:tcPr>
          <w:p w:rsidR="001B4EA4" w:rsidRPr="00C5494E" w:rsidRDefault="001B4EA4" w:rsidP="002A2EDF">
            <w:pPr>
              <w:pStyle w:val="Tablehead"/>
              <w:cnfStyle w:val="000000100000"/>
              <w:rPr>
                <w:lang w:val="en-GB"/>
              </w:rPr>
            </w:pPr>
          </w:p>
        </w:tc>
        <w:tc>
          <w:tcPr>
            <w:tcW w:w="691" w:type="dxa"/>
            <w:tcBorders>
              <w:top w:val="single" w:sz="8" w:space="0" w:color="990033"/>
              <w:bottom w:val="single" w:sz="8" w:space="0" w:color="990033"/>
            </w:tcBorders>
            <w:shd w:val="clear" w:color="auto" w:fill="EFD3D2"/>
            <w:vAlign w:val="center"/>
          </w:tcPr>
          <w:p w:rsidR="001B4EA4" w:rsidRPr="00C5494E" w:rsidRDefault="001B4EA4" w:rsidP="002A2EDF">
            <w:pPr>
              <w:pStyle w:val="Tablehead"/>
              <w:cnfStyle w:val="000000100000"/>
              <w:rPr>
                <w:sz w:val="18"/>
                <w:szCs w:val="18"/>
                <w:lang w:val="en-GB"/>
              </w:rPr>
            </w:pPr>
          </w:p>
        </w:tc>
        <w:tc>
          <w:tcPr>
            <w:tcW w:w="656" w:type="dxa"/>
            <w:tcBorders>
              <w:top w:val="single" w:sz="8" w:space="0" w:color="990033"/>
              <w:bottom w:val="single" w:sz="8" w:space="0" w:color="990033"/>
            </w:tcBorders>
            <w:shd w:val="clear" w:color="auto" w:fill="EFD3D2"/>
            <w:vAlign w:val="center"/>
          </w:tcPr>
          <w:p w:rsidR="001B4EA4" w:rsidRPr="00C5494E" w:rsidRDefault="001B4EA4" w:rsidP="002A2EDF">
            <w:pPr>
              <w:pStyle w:val="Tablehead"/>
              <w:cnfStyle w:val="000000100000"/>
              <w:rPr>
                <w:lang w:val="en-GB"/>
              </w:rPr>
            </w:pPr>
          </w:p>
        </w:tc>
        <w:tc>
          <w:tcPr>
            <w:tcW w:w="746" w:type="dxa"/>
            <w:tcBorders>
              <w:top w:val="single" w:sz="8" w:space="0" w:color="990033"/>
              <w:bottom w:val="single" w:sz="8" w:space="0" w:color="990033"/>
            </w:tcBorders>
            <w:shd w:val="clear" w:color="auto" w:fill="EFD3D2"/>
            <w:vAlign w:val="center"/>
          </w:tcPr>
          <w:p w:rsidR="001B4EA4" w:rsidRPr="00C5494E" w:rsidRDefault="001B4EA4" w:rsidP="002A2EDF">
            <w:pPr>
              <w:pStyle w:val="Tablehead"/>
              <w:cnfStyle w:val="000000100000"/>
              <w:rPr>
                <w:sz w:val="18"/>
                <w:szCs w:val="18"/>
                <w:lang w:val="en-GB"/>
              </w:rPr>
            </w:pPr>
          </w:p>
        </w:tc>
        <w:tc>
          <w:tcPr>
            <w:tcW w:w="1441" w:type="dxa"/>
            <w:tcBorders>
              <w:top w:val="single" w:sz="8" w:space="0" w:color="990033"/>
              <w:bottom w:val="single" w:sz="8" w:space="0" w:color="990033"/>
            </w:tcBorders>
            <w:shd w:val="clear" w:color="auto" w:fill="EFD3D2"/>
            <w:vAlign w:val="center"/>
          </w:tcPr>
          <w:p w:rsidR="001B4EA4" w:rsidRPr="00C5494E" w:rsidRDefault="001B4EA4" w:rsidP="002A2EDF">
            <w:pPr>
              <w:pStyle w:val="Tablehead"/>
              <w:cnfStyle w:val="000000100000"/>
              <w:rPr>
                <w:lang w:val="en-GB"/>
              </w:rPr>
            </w:pPr>
          </w:p>
        </w:tc>
        <w:tc>
          <w:tcPr>
            <w:tcW w:w="1223" w:type="dxa"/>
            <w:tcBorders>
              <w:top w:val="single" w:sz="8" w:space="0" w:color="990033"/>
              <w:bottom w:val="single" w:sz="8" w:space="0" w:color="990033"/>
            </w:tcBorders>
            <w:shd w:val="clear" w:color="auto" w:fill="EFD3D2"/>
            <w:vAlign w:val="center"/>
          </w:tcPr>
          <w:p w:rsidR="001B4EA4" w:rsidRPr="00C5494E" w:rsidRDefault="001B4EA4" w:rsidP="002A2EDF">
            <w:pPr>
              <w:pStyle w:val="Tablehead"/>
              <w:cnfStyle w:val="000000100000"/>
              <w:rPr>
                <w:sz w:val="18"/>
                <w:szCs w:val="18"/>
                <w:lang w:val="en-GB"/>
              </w:rPr>
            </w:pPr>
          </w:p>
        </w:tc>
        <w:tc>
          <w:tcPr>
            <w:tcW w:w="1101" w:type="dxa"/>
            <w:tcBorders>
              <w:top w:val="single" w:sz="8" w:space="0" w:color="990033"/>
              <w:bottom w:val="single" w:sz="8" w:space="0" w:color="990033"/>
            </w:tcBorders>
            <w:shd w:val="clear" w:color="auto" w:fill="EFD3D2"/>
            <w:vAlign w:val="center"/>
          </w:tcPr>
          <w:p w:rsidR="001B4EA4" w:rsidRPr="00C5494E" w:rsidRDefault="001B4EA4" w:rsidP="002A2EDF">
            <w:pPr>
              <w:pStyle w:val="Tablehead"/>
              <w:cnfStyle w:val="000000100000"/>
              <w:rPr>
                <w:lang w:val="en-GB"/>
              </w:rPr>
            </w:pPr>
          </w:p>
        </w:tc>
        <w:tc>
          <w:tcPr>
            <w:tcW w:w="824" w:type="dxa"/>
            <w:tcBorders>
              <w:top w:val="single" w:sz="8" w:space="0" w:color="990033"/>
              <w:bottom w:val="single" w:sz="8" w:space="0" w:color="990033"/>
            </w:tcBorders>
            <w:shd w:val="clear" w:color="auto" w:fill="EFD3D2"/>
            <w:vAlign w:val="center"/>
          </w:tcPr>
          <w:p w:rsidR="001B4EA4" w:rsidRPr="00C5494E" w:rsidRDefault="001B4EA4" w:rsidP="002A2EDF">
            <w:pPr>
              <w:pStyle w:val="Tablehead"/>
              <w:cnfStyle w:val="000000100000"/>
              <w:rPr>
                <w:sz w:val="18"/>
                <w:szCs w:val="18"/>
                <w:lang w:val="en-GB"/>
              </w:rPr>
            </w:pPr>
          </w:p>
        </w:tc>
        <w:tc>
          <w:tcPr>
            <w:tcW w:w="793" w:type="dxa"/>
            <w:tcBorders>
              <w:top w:val="single" w:sz="8" w:space="0" w:color="990033"/>
              <w:bottom w:val="single" w:sz="8" w:space="0" w:color="990033"/>
              <w:right w:val="single" w:sz="8" w:space="0" w:color="990033"/>
            </w:tcBorders>
            <w:shd w:val="clear" w:color="auto" w:fill="EFD3D2"/>
            <w:vAlign w:val="center"/>
          </w:tcPr>
          <w:p w:rsidR="001B4EA4" w:rsidRPr="00C5494E" w:rsidRDefault="001B4EA4" w:rsidP="002A2EDF">
            <w:pPr>
              <w:pStyle w:val="Tablehead"/>
              <w:cnfStyle w:val="000000100000"/>
              <w:rPr>
                <w:lang w:val="en-GB"/>
              </w:rPr>
            </w:pPr>
          </w:p>
        </w:tc>
      </w:tr>
      <w:tr w:rsidR="001B4EA4" w:rsidRPr="00C5494E" w:rsidTr="00527AA9">
        <w:trPr>
          <w:jc w:val="center"/>
        </w:trPr>
        <w:tc>
          <w:tcPr>
            <w:cnfStyle w:val="001000000000"/>
            <w:tcW w:w="131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rPr>
                <w:b w:val="0"/>
                <w:bCs w:val="0"/>
                <w:sz w:val="17"/>
                <w:szCs w:val="17"/>
              </w:rPr>
            </w:pPr>
            <w:r w:rsidRPr="00C5494E">
              <w:rPr>
                <w:b w:val="0"/>
                <w:bCs w:val="0"/>
                <w:sz w:val="17"/>
                <w:szCs w:val="17"/>
              </w:rPr>
              <w:t>ISP licence</w:t>
            </w:r>
          </w:p>
        </w:tc>
        <w:tc>
          <w:tcPr>
            <w:tcW w:w="93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Individual</w:t>
            </w:r>
          </w:p>
        </w:tc>
        <w:tc>
          <w:tcPr>
            <w:tcW w:w="69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Yes</w:t>
            </w:r>
          </w:p>
        </w:tc>
        <w:tc>
          <w:tcPr>
            <w:tcW w:w="65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jc w:val="center"/>
              <w:cnfStyle w:val="000000000000"/>
              <w:rPr>
                <w:sz w:val="17"/>
                <w:szCs w:val="17"/>
              </w:rPr>
            </w:pPr>
            <w:r w:rsidRPr="00C5494E">
              <w:rPr>
                <w:sz w:val="17"/>
                <w:szCs w:val="17"/>
              </w:rPr>
              <w:t>30</w:t>
            </w:r>
          </w:p>
        </w:tc>
        <w:tc>
          <w:tcPr>
            <w:tcW w:w="74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None</w:t>
            </w:r>
          </w:p>
        </w:tc>
        <w:tc>
          <w:tcPr>
            <w:tcW w:w="144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Internet service</w:t>
            </w:r>
          </w:p>
        </w:tc>
        <w:tc>
          <w:tcPr>
            <w:tcW w:w="122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cnfStyle w:val="000000000000"/>
              <w:rPr>
                <w:sz w:val="17"/>
                <w:szCs w:val="17"/>
              </w:rPr>
            </w:pPr>
            <w:r w:rsidRPr="00C5494E">
              <w:rPr>
                <w:sz w:val="17"/>
                <w:szCs w:val="17"/>
              </w:rPr>
              <w:t>USD 20 000 (national)</w:t>
            </w:r>
          </w:p>
          <w:p w:rsidR="001B4EA4" w:rsidRPr="00C5494E" w:rsidRDefault="001B4EA4" w:rsidP="002A2EDF">
            <w:pPr>
              <w:pStyle w:val="Tabletext"/>
              <w:cnfStyle w:val="000000000000"/>
              <w:rPr>
                <w:sz w:val="17"/>
                <w:szCs w:val="17"/>
              </w:rPr>
            </w:pPr>
            <w:r w:rsidRPr="00C5494E">
              <w:rPr>
                <w:sz w:val="17"/>
                <w:szCs w:val="17"/>
              </w:rPr>
              <w:t>USD 5’000 (provincial)</w:t>
            </w:r>
          </w:p>
        </w:tc>
        <w:tc>
          <w:tcPr>
            <w:tcW w:w="110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cnfStyle w:val="000000000000"/>
              <w:rPr>
                <w:sz w:val="17"/>
                <w:szCs w:val="17"/>
              </w:rPr>
            </w:pPr>
            <w:r w:rsidRPr="00C5494E">
              <w:rPr>
                <w:sz w:val="17"/>
                <w:szCs w:val="17"/>
              </w:rPr>
              <w:t>USD 12 000 (national)</w:t>
            </w:r>
          </w:p>
          <w:p w:rsidR="001B4EA4" w:rsidRPr="00C5494E" w:rsidRDefault="001B4EA4" w:rsidP="002A2EDF">
            <w:pPr>
              <w:pStyle w:val="Tabletext"/>
              <w:cnfStyle w:val="000000000000"/>
              <w:rPr>
                <w:sz w:val="17"/>
                <w:szCs w:val="17"/>
              </w:rPr>
            </w:pPr>
            <w:r w:rsidRPr="00C5494E">
              <w:rPr>
                <w:sz w:val="17"/>
                <w:szCs w:val="17"/>
              </w:rPr>
              <w:t>USD 4’000 (provincial)</w:t>
            </w:r>
          </w:p>
        </w:tc>
        <w:tc>
          <w:tcPr>
            <w:tcW w:w="82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cnfStyle w:val="000000000000"/>
              <w:rPr>
                <w:sz w:val="17"/>
                <w:szCs w:val="17"/>
              </w:rPr>
            </w:pPr>
            <w:r w:rsidRPr="00C5494E">
              <w:rPr>
                <w:sz w:val="17"/>
                <w:szCs w:val="17"/>
              </w:rPr>
              <w:t>19 to 97 days</w:t>
            </w:r>
          </w:p>
        </w:tc>
        <w:tc>
          <w:tcPr>
            <w:tcW w:w="79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15 years</w:t>
            </w:r>
          </w:p>
        </w:tc>
      </w:tr>
      <w:tr w:rsidR="001B4EA4" w:rsidRPr="00C5494E" w:rsidTr="004E2730">
        <w:trPr>
          <w:cnfStyle w:val="000000100000"/>
          <w:jc w:val="center"/>
        </w:trPr>
        <w:tc>
          <w:tcPr>
            <w:cnfStyle w:val="001000000000"/>
            <w:tcW w:w="1313" w:type="dxa"/>
            <w:tcBorders>
              <w:top w:val="single" w:sz="8" w:space="0" w:color="990033"/>
              <w:left w:val="single" w:sz="8" w:space="0" w:color="990033"/>
              <w:bottom w:val="single" w:sz="8" w:space="0" w:color="990033"/>
            </w:tcBorders>
            <w:shd w:val="clear" w:color="auto" w:fill="EFD3D2"/>
            <w:vAlign w:val="center"/>
          </w:tcPr>
          <w:p w:rsidR="001B4EA4" w:rsidRPr="00C5494E" w:rsidRDefault="001B4EA4" w:rsidP="002A2EDF">
            <w:pPr>
              <w:pStyle w:val="Tablehead"/>
              <w:jc w:val="left"/>
              <w:rPr>
                <w:lang w:val="en-GB"/>
              </w:rPr>
            </w:pPr>
            <w:r w:rsidRPr="00C5494E">
              <w:rPr>
                <w:lang w:val="en-GB"/>
              </w:rPr>
              <w:t>Bangladesh</w:t>
            </w:r>
          </w:p>
        </w:tc>
        <w:tc>
          <w:tcPr>
            <w:tcW w:w="934" w:type="dxa"/>
            <w:tcBorders>
              <w:top w:val="single" w:sz="8" w:space="0" w:color="990033"/>
              <w:bottom w:val="single" w:sz="8" w:space="0" w:color="990033"/>
            </w:tcBorders>
            <w:shd w:val="clear" w:color="auto" w:fill="EFD3D2"/>
            <w:vAlign w:val="center"/>
          </w:tcPr>
          <w:p w:rsidR="001B4EA4" w:rsidRPr="00C5494E" w:rsidRDefault="001B4EA4" w:rsidP="00FB239F">
            <w:pPr>
              <w:spacing w:before="40" w:after="40"/>
              <w:jc w:val="left"/>
              <w:cnfStyle w:val="000000100000"/>
              <w:rPr>
                <w:b/>
                <w:color w:val="990033"/>
                <w:sz w:val="20"/>
              </w:rPr>
            </w:pPr>
          </w:p>
        </w:tc>
        <w:tc>
          <w:tcPr>
            <w:tcW w:w="691" w:type="dxa"/>
            <w:tcBorders>
              <w:top w:val="single" w:sz="8" w:space="0" w:color="990033"/>
              <w:bottom w:val="single" w:sz="8" w:space="0" w:color="990033"/>
            </w:tcBorders>
            <w:shd w:val="clear" w:color="auto" w:fill="EFD3D2"/>
            <w:vAlign w:val="center"/>
          </w:tcPr>
          <w:p w:rsidR="001B4EA4" w:rsidRPr="00C5494E" w:rsidRDefault="001B4EA4" w:rsidP="009030AE">
            <w:pPr>
              <w:cnfStyle w:val="000000100000"/>
              <w:rPr>
                <w:sz w:val="18"/>
                <w:szCs w:val="18"/>
              </w:rPr>
            </w:pPr>
          </w:p>
        </w:tc>
        <w:tc>
          <w:tcPr>
            <w:tcW w:w="656" w:type="dxa"/>
            <w:tcBorders>
              <w:top w:val="single" w:sz="8" w:space="0" w:color="990033"/>
              <w:bottom w:val="single" w:sz="8" w:space="0" w:color="990033"/>
            </w:tcBorders>
            <w:shd w:val="clear" w:color="auto" w:fill="EFD3D2"/>
            <w:vAlign w:val="center"/>
          </w:tcPr>
          <w:p w:rsidR="001B4EA4" w:rsidRPr="00C5494E" w:rsidRDefault="001B4EA4" w:rsidP="00FB239F">
            <w:pPr>
              <w:pStyle w:val="Tabletext"/>
              <w:jc w:val="center"/>
              <w:cnfStyle w:val="000000100000"/>
              <w:rPr>
                <w:sz w:val="18"/>
                <w:szCs w:val="18"/>
              </w:rPr>
            </w:pPr>
          </w:p>
        </w:tc>
        <w:tc>
          <w:tcPr>
            <w:tcW w:w="746" w:type="dxa"/>
            <w:tcBorders>
              <w:top w:val="single" w:sz="8" w:space="0" w:color="990033"/>
              <w:bottom w:val="single" w:sz="8" w:space="0" w:color="990033"/>
            </w:tcBorders>
            <w:shd w:val="clear" w:color="auto" w:fill="EFD3D2"/>
            <w:vAlign w:val="center"/>
          </w:tcPr>
          <w:p w:rsidR="001B4EA4" w:rsidRPr="00C5494E" w:rsidRDefault="001B4EA4" w:rsidP="00FB239F">
            <w:pPr>
              <w:pStyle w:val="Tabletext"/>
              <w:ind w:firstLine="7"/>
              <w:jc w:val="center"/>
              <w:cnfStyle w:val="000000100000"/>
              <w:rPr>
                <w:sz w:val="18"/>
                <w:szCs w:val="18"/>
              </w:rPr>
            </w:pPr>
          </w:p>
        </w:tc>
        <w:tc>
          <w:tcPr>
            <w:tcW w:w="1441" w:type="dxa"/>
            <w:tcBorders>
              <w:top w:val="single" w:sz="8" w:space="0" w:color="990033"/>
              <w:bottom w:val="single" w:sz="8" w:space="0" w:color="990033"/>
            </w:tcBorders>
            <w:shd w:val="clear" w:color="auto" w:fill="EFD3D2"/>
            <w:vAlign w:val="center"/>
          </w:tcPr>
          <w:p w:rsidR="001B4EA4" w:rsidRPr="00C5494E" w:rsidRDefault="001B4EA4" w:rsidP="00FB239F">
            <w:pPr>
              <w:pStyle w:val="Tabletext"/>
              <w:ind w:firstLine="7"/>
              <w:jc w:val="center"/>
              <w:cnfStyle w:val="000000100000"/>
              <w:rPr>
                <w:sz w:val="18"/>
                <w:szCs w:val="18"/>
              </w:rPr>
            </w:pPr>
          </w:p>
        </w:tc>
        <w:tc>
          <w:tcPr>
            <w:tcW w:w="1223" w:type="dxa"/>
            <w:tcBorders>
              <w:top w:val="single" w:sz="8" w:space="0" w:color="990033"/>
              <w:bottom w:val="single" w:sz="8" w:space="0" w:color="990033"/>
            </w:tcBorders>
            <w:shd w:val="clear" w:color="auto" w:fill="EFD3D2"/>
            <w:vAlign w:val="center"/>
          </w:tcPr>
          <w:p w:rsidR="001B4EA4" w:rsidRPr="00C5494E" w:rsidRDefault="001B4EA4" w:rsidP="00FB239F">
            <w:pPr>
              <w:pStyle w:val="Tabletext"/>
              <w:jc w:val="center"/>
              <w:cnfStyle w:val="000000100000"/>
              <w:rPr>
                <w:sz w:val="18"/>
                <w:szCs w:val="18"/>
              </w:rPr>
            </w:pPr>
          </w:p>
        </w:tc>
        <w:tc>
          <w:tcPr>
            <w:tcW w:w="1101" w:type="dxa"/>
            <w:tcBorders>
              <w:top w:val="single" w:sz="8" w:space="0" w:color="990033"/>
              <w:bottom w:val="single" w:sz="8" w:space="0" w:color="990033"/>
            </w:tcBorders>
            <w:shd w:val="clear" w:color="auto" w:fill="EFD3D2"/>
            <w:vAlign w:val="center"/>
          </w:tcPr>
          <w:p w:rsidR="001B4EA4" w:rsidRPr="00C5494E" w:rsidRDefault="001B4EA4" w:rsidP="00FB239F">
            <w:pPr>
              <w:pStyle w:val="Tabletext"/>
              <w:jc w:val="center"/>
              <w:cnfStyle w:val="000000100000"/>
              <w:rPr>
                <w:sz w:val="18"/>
                <w:szCs w:val="18"/>
              </w:rPr>
            </w:pPr>
          </w:p>
        </w:tc>
        <w:tc>
          <w:tcPr>
            <w:tcW w:w="824" w:type="dxa"/>
            <w:tcBorders>
              <w:top w:val="single" w:sz="8" w:space="0" w:color="990033"/>
              <w:bottom w:val="single" w:sz="8" w:space="0" w:color="990033"/>
            </w:tcBorders>
            <w:shd w:val="clear" w:color="auto" w:fill="EFD3D2"/>
            <w:vAlign w:val="center"/>
          </w:tcPr>
          <w:p w:rsidR="001B4EA4" w:rsidRPr="00C5494E" w:rsidRDefault="001B4EA4" w:rsidP="00FB239F">
            <w:pPr>
              <w:pStyle w:val="Tabletext"/>
              <w:jc w:val="center"/>
              <w:cnfStyle w:val="000000100000"/>
              <w:rPr>
                <w:sz w:val="18"/>
                <w:szCs w:val="18"/>
              </w:rPr>
            </w:pPr>
          </w:p>
        </w:tc>
        <w:tc>
          <w:tcPr>
            <w:tcW w:w="793" w:type="dxa"/>
            <w:tcBorders>
              <w:top w:val="single" w:sz="8" w:space="0" w:color="990033"/>
              <w:bottom w:val="single" w:sz="8" w:space="0" w:color="990033"/>
              <w:right w:val="single" w:sz="8" w:space="0" w:color="990033"/>
            </w:tcBorders>
            <w:shd w:val="clear" w:color="auto" w:fill="EFD3D2"/>
            <w:vAlign w:val="center"/>
          </w:tcPr>
          <w:p w:rsidR="001B4EA4" w:rsidRPr="00C5494E" w:rsidRDefault="001B4EA4" w:rsidP="00FB239F">
            <w:pPr>
              <w:pStyle w:val="Tabletext"/>
              <w:jc w:val="center"/>
              <w:cnfStyle w:val="000000100000"/>
              <w:rPr>
                <w:sz w:val="18"/>
                <w:szCs w:val="18"/>
              </w:rPr>
            </w:pPr>
          </w:p>
        </w:tc>
      </w:tr>
      <w:tr w:rsidR="001B4EA4" w:rsidRPr="00C5494E" w:rsidTr="00527AA9">
        <w:trPr>
          <w:jc w:val="center"/>
        </w:trPr>
        <w:tc>
          <w:tcPr>
            <w:cnfStyle w:val="001000000000"/>
            <w:tcW w:w="131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rPr>
                <w:b w:val="0"/>
                <w:bCs w:val="0"/>
                <w:sz w:val="17"/>
                <w:szCs w:val="17"/>
              </w:rPr>
            </w:pPr>
            <w:r w:rsidRPr="00C5494E">
              <w:rPr>
                <w:b w:val="0"/>
                <w:bCs w:val="0"/>
                <w:sz w:val="17"/>
                <w:szCs w:val="17"/>
              </w:rPr>
              <w:t>ISP licence</w:t>
            </w:r>
          </w:p>
        </w:tc>
        <w:tc>
          <w:tcPr>
            <w:tcW w:w="93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Individual</w:t>
            </w:r>
          </w:p>
        </w:tc>
        <w:tc>
          <w:tcPr>
            <w:tcW w:w="69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No</w:t>
            </w:r>
          </w:p>
        </w:tc>
        <w:tc>
          <w:tcPr>
            <w:tcW w:w="65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jc w:val="center"/>
              <w:cnfStyle w:val="000000000000"/>
              <w:rPr>
                <w:sz w:val="17"/>
                <w:szCs w:val="17"/>
              </w:rPr>
            </w:pPr>
            <w:r w:rsidRPr="00C5494E">
              <w:rPr>
                <w:sz w:val="17"/>
                <w:szCs w:val="17"/>
              </w:rPr>
              <w:t>369</w:t>
            </w:r>
          </w:p>
        </w:tc>
        <w:tc>
          <w:tcPr>
            <w:tcW w:w="74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None</w:t>
            </w:r>
          </w:p>
        </w:tc>
        <w:tc>
          <w:tcPr>
            <w:tcW w:w="144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Internet service, leasing Internet bandwidth capacity, IP telephony</w:t>
            </w:r>
          </w:p>
        </w:tc>
        <w:tc>
          <w:tcPr>
            <w:tcW w:w="122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cnfStyle w:val="000000000000"/>
              <w:rPr>
                <w:sz w:val="17"/>
                <w:szCs w:val="17"/>
              </w:rPr>
            </w:pPr>
            <w:r w:rsidRPr="00C5494E">
              <w:rPr>
                <w:sz w:val="17"/>
                <w:szCs w:val="17"/>
              </w:rPr>
              <w:t>USD 2 860</w:t>
            </w:r>
          </w:p>
        </w:tc>
        <w:tc>
          <w:tcPr>
            <w:tcW w:w="110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cnfStyle w:val="000000000000"/>
              <w:rPr>
                <w:sz w:val="17"/>
                <w:szCs w:val="17"/>
              </w:rPr>
            </w:pPr>
            <w:r w:rsidRPr="00C5494E">
              <w:rPr>
                <w:sz w:val="17"/>
                <w:szCs w:val="17"/>
              </w:rPr>
              <w:t>USD 1 430</w:t>
            </w:r>
          </w:p>
        </w:tc>
        <w:tc>
          <w:tcPr>
            <w:tcW w:w="82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Max. 3 weeks</w:t>
            </w:r>
          </w:p>
        </w:tc>
        <w:tc>
          <w:tcPr>
            <w:tcW w:w="79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5 years</w:t>
            </w:r>
          </w:p>
        </w:tc>
      </w:tr>
      <w:tr w:rsidR="001B4EA4" w:rsidRPr="00C5494E" w:rsidTr="00527AA9">
        <w:trPr>
          <w:cnfStyle w:val="000000100000"/>
          <w:jc w:val="center"/>
        </w:trPr>
        <w:tc>
          <w:tcPr>
            <w:cnfStyle w:val="001000000000"/>
            <w:tcW w:w="131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rPr>
                <w:b w:val="0"/>
                <w:bCs w:val="0"/>
                <w:sz w:val="17"/>
                <w:szCs w:val="17"/>
              </w:rPr>
            </w:pPr>
            <w:r w:rsidRPr="00C5494E">
              <w:rPr>
                <w:b w:val="0"/>
                <w:bCs w:val="0"/>
                <w:sz w:val="17"/>
                <w:szCs w:val="17"/>
              </w:rPr>
              <w:t>PSTN</w:t>
            </w:r>
          </w:p>
        </w:tc>
        <w:tc>
          <w:tcPr>
            <w:tcW w:w="93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Individual</w:t>
            </w:r>
          </w:p>
        </w:tc>
        <w:tc>
          <w:tcPr>
            <w:tcW w:w="69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No</w:t>
            </w:r>
          </w:p>
        </w:tc>
        <w:tc>
          <w:tcPr>
            <w:tcW w:w="65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jc w:val="center"/>
              <w:cnfStyle w:val="000000100000"/>
              <w:rPr>
                <w:sz w:val="17"/>
                <w:szCs w:val="17"/>
              </w:rPr>
            </w:pPr>
            <w:r w:rsidRPr="00C5494E">
              <w:rPr>
                <w:sz w:val="17"/>
                <w:szCs w:val="17"/>
              </w:rPr>
              <w:t>9</w:t>
            </w:r>
          </w:p>
        </w:tc>
        <w:tc>
          <w:tcPr>
            <w:tcW w:w="74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None</w:t>
            </w:r>
          </w:p>
        </w:tc>
        <w:tc>
          <w:tcPr>
            <w:tcW w:w="144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Voice, Internet, leasing backhaul capacity</w:t>
            </w:r>
          </w:p>
        </w:tc>
        <w:tc>
          <w:tcPr>
            <w:tcW w:w="122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cnfStyle w:val="000000100000"/>
              <w:rPr>
                <w:sz w:val="17"/>
                <w:szCs w:val="17"/>
              </w:rPr>
            </w:pPr>
            <w:r w:rsidRPr="00C5494E">
              <w:rPr>
                <w:sz w:val="17"/>
                <w:szCs w:val="17"/>
              </w:rPr>
              <w:t>USD 1 74 million</w:t>
            </w:r>
          </w:p>
        </w:tc>
        <w:tc>
          <w:tcPr>
            <w:tcW w:w="110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cnfStyle w:val="000000100000"/>
              <w:rPr>
                <w:sz w:val="17"/>
                <w:szCs w:val="17"/>
              </w:rPr>
            </w:pPr>
            <w:r w:rsidRPr="00C5494E">
              <w:rPr>
                <w:sz w:val="17"/>
                <w:szCs w:val="17"/>
              </w:rPr>
              <w:t>USD 285 715</w:t>
            </w:r>
          </w:p>
        </w:tc>
        <w:tc>
          <w:tcPr>
            <w:tcW w:w="82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p>
        </w:tc>
        <w:tc>
          <w:tcPr>
            <w:tcW w:w="79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15 years</w:t>
            </w:r>
          </w:p>
        </w:tc>
      </w:tr>
      <w:tr w:rsidR="001B4EA4" w:rsidRPr="00C5494E" w:rsidTr="00527AA9">
        <w:trPr>
          <w:jc w:val="center"/>
        </w:trPr>
        <w:tc>
          <w:tcPr>
            <w:cnfStyle w:val="001000000000"/>
            <w:tcW w:w="131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rPr>
                <w:b w:val="0"/>
                <w:bCs w:val="0"/>
                <w:sz w:val="17"/>
                <w:szCs w:val="17"/>
              </w:rPr>
            </w:pPr>
            <w:r w:rsidRPr="00C5494E">
              <w:rPr>
                <w:b w:val="0"/>
                <w:bCs w:val="0"/>
                <w:sz w:val="17"/>
                <w:szCs w:val="17"/>
              </w:rPr>
              <w:t>BWA</w:t>
            </w:r>
          </w:p>
        </w:tc>
        <w:tc>
          <w:tcPr>
            <w:tcW w:w="93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Individual</w:t>
            </w:r>
          </w:p>
        </w:tc>
        <w:tc>
          <w:tcPr>
            <w:tcW w:w="69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No</w:t>
            </w:r>
          </w:p>
        </w:tc>
        <w:tc>
          <w:tcPr>
            <w:tcW w:w="65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jc w:val="center"/>
              <w:cnfStyle w:val="000000000000"/>
              <w:rPr>
                <w:sz w:val="17"/>
                <w:szCs w:val="17"/>
              </w:rPr>
            </w:pPr>
            <w:r w:rsidRPr="00C5494E">
              <w:rPr>
                <w:sz w:val="17"/>
                <w:szCs w:val="17"/>
              </w:rPr>
              <w:t>2</w:t>
            </w:r>
          </w:p>
        </w:tc>
        <w:tc>
          <w:tcPr>
            <w:tcW w:w="74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3</w:t>
            </w:r>
          </w:p>
        </w:tc>
        <w:tc>
          <w:tcPr>
            <w:tcW w:w="144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Broadband Internet, IP telephony</w:t>
            </w:r>
          </w:p>
        </w:tc>
        <w:tc>
          <w:tcPr>
            <w:tcW w:w="122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USD 31 million</w:t>
            </w:r>
          </w:p>
        </w:tc>
        <w:tc>
          <w:tcPr>
            <w:tcW w:w="110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cnfStyle w:val="000000000000"/>
              <w:rPr>
                <w:sz w:val="17"/>
                <w:szCs w:val="17"/>
              </w:rPr>
            </w:pPr>
            <w:r w:rsidRPr="00C5494E">
              <w:rPr>
                <w:sz w:val="17"/>
                <w:szCs w:val="17"/>
              </w:rPr>
              <w:t>USD 428 500</w:t>
            </w:r>
          </w:p>
        </w:tc>
        <w:tc>
          <w:tcPr>
            <w:tcW w:w="82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p>
        </w:tc>
        <w:tc>
          <w:tcPr>
            <w:tcW w:w="79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15 years</w:t>
            </w:r>
          </w:p>
        </w:tc>
      </w:tr>
      <w:tr w:rsidR="001B4EA4" w:rsidRPr="00C5494E" w:rsidTr="004E2730">
        <w:trPr>
          <w:cnfStyle w:val="000000100000"/>
          <w:jc w:val="center"/>
        </w:trPr>
        <w:tc>
          <w:tcPr>
            <w:cnfStyle w:val="001000000000"/>
            <w:tcW w:w="1313" w:type="dxa"/>
            <w:tcBorders>
              <w:top w:val="single" w:sz="8" w:space="0" w:color="990033"/>
              <w:left w:val="single" w:sz="8" w:space="0" w:color="990033"/>
              <w:bottom w:val="single" w:sz="8" w:space="0" w:color="990033"/>
            </w:tcBorders>
            <w:shd w:val="clear" w:color="auto" w:fill="EFD3D2"/>
            <w:vAlign w:val="center"/>
          </w:tcPr>
          <w:p w:rsidR="001B4EA4" w:rsidRPr="00C5494E" w:rsidRDefault="001B4EA4" w:rsidP="002A2EDF">
            <w:pPr>
              <w:pStyle w:val="Tablehead"/>
              <w:jc w:val="left"/>
              <w:rPr>
                <w:lang w:val="en-GB"/>
              </w:rPr>
            </w:pPr>
            <w:r w:rsidRPr="00C5494E">
              <w:rPr>
                <w:lang w:val="en-GB"/>
              </w:rPr>
              <w:t>Bhutan</w:t>
            </w:r>
          </w:p>
        </w:tc>
        <w:tc>
          <w:tcPr>
            <w:tcW w:w="934" w:type="dxa"/>
            <w:tcBorders>
              <w:top w:val="single" w:sz="8" w:space="0" w:color="990033"/>
              <w:bottom w:val="single" w:sz="8" w:space="0" w:color="990033"/>
            </w:tcBorders>
            <w:shd w:val="clear" w:color="auto" w:fill="EFD3D2"/>
          </w:tcPr>
          <w:p w:rsidR="001B4EA4" w:rsidRPr="00C5494E" w:rsidRDefault="001B4EA4" w:rsidP="00FB239F">
            <w:pPr>
              <w:jc w:val="center"/>
              <w:cnfStyle w:val="000000100000"/>
              <w:rPr>
                <w:bCs/>
                <w:szCs w:val="22"/>
              </w:rPr>
            </w:pPr>
          </w:p>
        </w:tc>
        <w:tc>
          <w:tcPr>
            <w:tcW w:w="691" w:type="dxa"/>
            <w:tcBorders>
              <w:top w:val="single" w:sz="8" w:space="0" w:color="990033"/>
              <w:bottom w:val="single" w:sz="8" w:space="0" w:color="990033"/>
            </w:tcBorders>
            <w:shd w:val="clear" w:color="auto" w:fill="EFD3D2"/>
            <w:vAlign w:val="center"/>
          </w:tcPr>
          <w:p w:rsidR="001B4EA4" w:rsidRPr="00C5494E" w:rsidRDefault="001B4EA4" w:rsidP="00FB239F">
            <w:pPr>
              <w:jc w:val="center"/>
              <w:cnfStyle w:val="000000100000"/>
              <w:rPr>
                <w:bCs/>
                <w:szCs w:val="22"/>
              </w:rPr>
            </w:pPr>
          </w:p>
        </w:tc>
        <w:tc>
          <w:tcPr>
            <w:tcW w:w="656" w:type="dxa"/>
            <w:tcBorders>
              <w:top w:val="single" w:sz="8" w:space="0" w:color="990033"/>
              <w:bottom w:val="single" w:sz="8" w:space="0" w:color="990033"/>
            </w:tcBorders>
            <w:shd w:val="clear" w:color="auto" w:fill="EFD3D2"/>
            <w:vAlign w:val="center"/>
          </w:tcPr>
          <w:p w:rsidR="001B4EA4" w:rsidRPr="00C5494E" w:rsidRDefault="001B4EA4" w:rsidP="00FB239F">
            <w:pPr>
              <w:jc w:val="center"/>
              <w:cnfStyle w:val="000000100000"/>
              <w:rPr>
                <w:bCs/>
                <w:szCs w:val="22"/>
              </w:rPr>
            </w:pPr>
          </w:p>
        </w:tc>
        <w:tc>
          <w:tcPr>
            <w:tcW w:w="746" w:type="dxa"/>
            <w:tcBorders>
              <w:top w:val="single" w:sz="8" w:space="0" w:color="990033"/>
              <w:bottom w:val="single" w:sz="8" w:space="0" w:color="990033"/>
            </w:tcBorders>
            <w:shd w:val="clear" w:color="auto" w:fill="EFD3D2"/>
          </w:tcPr>
          <w:p w:rsidR="001B4EA4" w:rsidRPr="00C5494E" w:rsidRDefault="001B4EA4" w:rsidP="00FB239F">
            <w:pPr>
              <w:cnfStyle w:val="000000100000"/>
              <w:rPr>
                <w:bCs/>
                <w:color w:val="FF0000"/>
                <w:szCs w:val="22"/>
              </w:rPr>
            </w:pPr>
          </w:p>
        </w:tc>
        <w:tc>
          <w:tcPr>
            <w:tcW w:w="1441" w:type="dxa"/>
            <w:tcBorders>
              <w:top w:val="single" w:sz="8" w:space="0" w:color="990033"/>
              <w:bottom w:val="single" w:sz="8" w:space="0" w:color="990033"/>
            </w:tcBorders>
            <w:shd w:val="clear" w:color="auto" w:fill="EFD3D2"/>
            <w:vAlign w:val="center"/>
          </w:tcPr>
          <w:p w:rsidR="001B4EA4" w:rsidRPr="00C5494E" w:rsidRDefault="001B4EA4" w:rsidP="00FB239F">
            <w:pPr>
              <w:cnfStyle w:val="000000100000"/>
              <w:rPr>
                <w:bCs/>
                <w:color w:val="FF0000"/>
                <w:szCs w:val="22"/>
              </w:rPr>
            </w:pPr>
          </w:p>
        </w:tc>
        <w:tc>
          <w:tcPr>
            <w:tcW w:w="1223" w:type="dxa"/>
            <w:tcBorders>
              <w:top w:val="single" w:sz="8" w:space="0" w:color="990033"/>
              <w:bottom w:val="single" w:sz="8" w:space="0" w:color="990033"/>
            </w:tcBorders>
            <w:shd w:val="clear" w:color="auto" w:fill="EFD3D2"/>
          </w:tcPr>
          <w:p w:rsidR="001B4EA4" w:rsidRPr="00C5494E" w:rsidRDefault="001B4EA4" w:rsidP="00FB239F">
            <w:pPr>
              <w:jc w:val="center"/>
              <w:cnfStyle w:val="000000100000"/>
              <w:rPr>
                <w:bCs/>
                <w:szCs w:val="22"/>
              </w:rPr>
            </w:pPr>
          </w:p>
        </w:tc>
        <w:tc>
          <w:tcPr>
            <w:tcW w:w="1101" w:type="dxa"/>
            <w:tcBorders>
              <w:top w:val="single" w:sz="8" w:space="0" w:color="990033"/>
              <w:bottom w:val="single" w:sz="8" w:space="0" w:color="990033"/>
            </w:tcBorders>
            <w:shd w:val="clear" w:color="auto" w:fill="EFD3D2"/>
            <w:vAlign w:val="center"/>
          </w:tcPr>
          <w:p w:rsidR="001B4EA4" w:rsidRPr="00C5494E" w:rsidRDefault="001B4EA4" w:rsidP="00FB239F">
            <w:pPr>
              <w:jc w:val="center"/>
              <w:cnfStyle w:val="000000100000"/>
              <w:rPr>
                <w:bCs/>
                <w:szCs w:val="22"/>
              </w:rPr>
            </w:pPr>
          </w:p>
        </w:tc>
        <w:tc>
          <w:tcPr>
            <w:tcW w:w="824" w:type="dxa"/>
            <w:tcBorders>
              <w:top w:val="single" w:sz="8" w:space="0" w:color="990033"/>
              <w:bottom w:val="single" w:sz="8" w:space="0" w:color="990033"/>
            </w:tcBorders>
            <w:shd w:val="clear" w:color="auto" w:fill="EFD3D2"/>
          </w:tcPr>
          <w:p w:rsidR="001B4EA4" w:rsidRPr="00C5494E" w:rsidRDefault="001B4EA4" w:rsidP="00FB239F">
            <w:pPr>
              <w:cnfStyle w:val="000000100000"/>
              <w:rPr>
                <w:bCs/>
                <w:szCs w:val="22"/>
              </w:rPr>
            </w:pPr>
          </w:p>
        </w:tc>
        <w:tc>
          <w:tcPr>
            <w:tcW w:w="793" w:type="dxa"/>
            <w:tcBorders>
              <w:top w:val="single" w:sz="8" w:space="0" w:color="990033"/>
              <w:bottom w:val="single" w:sz="8" w:space="0" w:color="990033"/>
              <w:right w:val="single" w:sz="8" w:space="0" w:color="990033"/>
            </w:tcBorders>
            <w:shd w:val="clear" w:color="auto" w:fill="EFD3D2"/>
            <w:vAlign w:val="center"/>
          </w:tcPr>
          <w:p w:rsidR="001B4EA4" w:rsidRPr="00C5494E" w:rsidRDefault="001B4EA4" w:rsidP="00FB239F">
            <w:pPr>
              <w:cnfStyle w:val="000000100000"/>
              <w:rPr>
                <w:bCs/>
                <w:szCs w:val="22"/>
              </w:rPr>
            </w:pPr>
          </w:p>
        </w:tc>
      </w:tr>
      <w:tr w:rsidR="001B4EA4" w:rsidRPr="00C5494E" w:rsidTr="00527AA9">
        <w:trPr>
          <w:jc w:val="center"/>
        </w:trPr>
        <w:tc>
          <w:tcPr>
            <w:cnfStyle w:val="001000000000"/>
            <w:tcW w:w="131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A964DB">
            <w:pPr>
              <w:pStyle w:val="Tabletext"/>
              <w:rPr>
                <w:b w:val="0"/>
                <w:bCs w:val="0"/>
                <w:sz w:val="17"/>
                <w:szCs w:val="17"/>
              </w:rPr>
            </w:pPr>
            <w:r w:rsidRPr="00C5494E">
              <w:rPr>
                <w:b w:val="0"/>
                <w:bCs w:val="0"/>
                <w:sz w:val="17"/>
                <w:szCs w:val="17"/>
              </w:rPr>
              <w:t>Licence</w:t>
            </w:r>
          </w:p>
        </w:tc>
        <w:tc>
          <w:tcPr>
            <w:tcW w:w="93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Individual</w:t>
            </w:r>
          </w:p>
        </w:tc>
        <w:tc>
          <w:tcPr>
            <w:tcW w:w="69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Yes</w:t>
            </w:r>
          </w:p>
        </w:tc>
        <w:tc>
          <w:tcPr>
            <w:tcW w:w="65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jc w:val="center"/>
              <w:cnfStyle w:val="000000000000"/>
              <w:rPr>
                <w:sz w:val="17"/>
                <w:szCs w:val="17"/>
              </w:rPr>
            </w:pPr>
            <w:r w:rsidRPr="00C5494E">
              <w:rPr>
                <w:sz w:val="17"/>
                <w:szCs w:val="17"/>
              </w:rPr>
              <w:t>5</w:t>
            </w:r>
          </w:p>
        </w:tc>
        <w:tc>
          <w:tcPr>
            <w:tcW w:w="74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None</w:t>
            </w:r>
          </w:p>
        </w:tc>
        <w:tc>
          <w:tcPr>
            <w:tcW w:w="144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All services</w:t>
            </w:r>
          </w:p>
        </w:tc>
        <w:tc>
          <w:tcPr>
            <w:tcW w:w="122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USD 200</w:t>
            </w:r>
          </w:p>
        </w:tc>
        <w:tc>
          <w:tcPr>
            <w:tcW w:w="110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USD 200</w:t>
            </w:r>
          </w:p>
        </w:tc>
        <w:tc>
          <w:tcPr>
            <w:tcW w:w="82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1 month</w:t>
            </w:r>
          </w:p>
        </w:tc>
        <w:tc>
          <w:tcPr>
            <w:tcW w:w="79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10 years</w:t>
            </w:r>
          </w:p>
        </w:tc>
      </w:tr>
      <w:tr w:rsidR="001B4EA4" w:rsidRPr="00C5494E" w:rsidTr="004E2730">
        <w:trPr>
          <w:cnfStyle w:val="000000100000"/>
          <w:jc w:val="center"/>
        </w:trPr>
        <w:tc>
          <w:tcPr>
            <w:cnfStyle w:val="001000000000"/>
            <w:tcW w:w="1313" w:type="dxa"/>
            <w:tcBorders>
              <w:top w:val="single" w:sz="8" w:space="0" w:color="990033"/>
              <w:left w:val="single" w:sz="8" w:space="0" w:color="990033"/>
              <w:bottom w:val="single" w:sz="8" w:space="0" w:color="990033"/>
            </w:tcBorders>
            <w:shd w:val="clear" w:color="auto" w:fill="EFD3D2"/>
            <w:vAlign w:val="center"/>
          </w:tcPr>
          <w:p w:rsidR="001B4EA4" w:rsidRPr="00C5494E" w:rsidRDefault="001B4EA4" w:rsidP="002A2EDF">
            <w:pPr>
              <w:pStyle w:val="Tablehead"/>
              <w:jc w:val="left"/>
              <w:rPr>
                <w:lang w:val="en-GB"/>
              </w:rPr>
            </w:pPr>
            <w:r w:rsidRPr="00C5494E">
              <w:rPr>
                <w:lang w:val="en-GB"/>
              </w:rPr>
              <w:t>Maldives</w:t>
            </w:r>
          </w:p>
        </w:tc>
        <w:tc>
          <w:tcPr>
            <w:tcW w:w="934" w:type="dxa"/>
            <w:tcBorders>
              <w:top w:val="single" w:sz="8" w:space="0" w:color="990033"/>
              <w:bottom w:val="single" w:sz="8" w:space="0" w:color="990033"/>
            </w:tcBorders>
            <w:shd w:val="clear" w:color="auto" w:fill="EFD3D2"/>
          </w:tcPr>
          <w:p w:rsidR="001B4EA4" w:rsidRPr="00C5494E" w:rsidRDefault="001B4EA4" w:rsidP="002A2EDF">
            <w:pPr>
              <w:pStyle w:val="Tabletext"/>
              <w:cnfStyle w:val="000000100000"/>
              <w:rPr>
                <w:sz w:val="18"/>
                <w:szCs w:val="18"/>
              </w:rPr>
            </w:pPr>
          </w:p>
        </w:tc>
        <w:tc>
          <w:tcPr>
            <w:tcW w:w="691" w:type="dxa"/>
            <w:tcBorders>
              <w:top w:val="single" w:sz="8" w:space="0" w:color="990033"/>
              <w:bottom w:val="single" w:sz="8" w:space="0" w:color="990033"/>
            </w:tcBorders>
            <w:shd w:val="clear" w:color="auto" w:fill="EFD3D2"/>
            <w:vAlign w:val="center"/>
          </w:tcPr>
          <w:p w:rsidR="001B4EA4" w:rsidRPr="00C5494E" w:rsidRDefault="001B4EA4" w:rsidP="002A2EDF">
            <w:pPr>
              <w:pStyle w:val="Tabletext"/>
              <w:cnfStyle w:val="000000100000"/>
              <w:rPr>
                <w:sz w:val="18"/>
                <w:szCs w:val="18"/>
              </w:rPr>
            </w:pPr>
          </w:p>
        </w:tc>
        <w:tc>
          <w:tcPr>
            <w:tcW w:w="656" w:type="dxa"/>
            <w:tcBorders>
              <w:top w:val="single" w:sz="8" w:space="0" w:color="990033"/>
              <w:bottom w:val="single" w:sz="8" w:space="0" w:color="990033"/>
            </w:tcBorders>
            <w:shd w:val="clear" w:color="auto" w:fill="EFD3D2"/>
            <w:vAlign w:val="center"/>
          </w:tcPr>
          <w:p w:rsidR="001B4EA4" w:rsidRPr="00C5494E" w:rsidRDefault="001B4EA4" w:rsidP="002A2EDF">
            <w:pPr>
              <w:pStyle w:val="Tabletext"/>
              <w:cnfStyle w:val="000000100000"/>
              <w:rPr>
                <w:sz w:val="18"/>
                <w:szCs w:val="18"/>
              </w:rPr>
            </w:pPr>
          </w:p>
        </w:tc>
        <w:tc>
          <w:tcPr>
            <w:tcW w:w="746" w:type="dxa"/>
            <w:tcBorders>
              <w:top w:val="single" w:sz="8" w:space="0" w:color="990033"/>
              <w:bottom w:val="single" w:sz="8" w:space="0" w:color="990033"/>
            </w:tcBorders>
            <w:shd w:val="clear" w:color="auto" w:fill="EFD3D2"/>
          </w:tcPr>
          <w:p w:rsidR="001B4EA4" w:rsidRPr="00C5494E" w:rsidRDefault="001B4EA4" w:rsidP="002A2EDF">
            <w:pPr>
              <w:pStyle w:val="Tabletext"/>
              <w:cnfStyle w:val="000000100000"/>
              <w:rPr>
                <w:sz w:val="18"/>
                <w:szCs w:val="18"/>
              </w:rPr>
            </w:pPr>
          </w:p>
        </w:tc>
        <w:tc>
          <w:tcPr>
            <w:tcW w:w="1441" w:type="dxa"/>
            <w:tcBorders>
              <w:top w:val="single" w:sz="8" w:space="0" w:color="990033"/>
              <w:bottom w:val="single" w:sz="8" w:space="0" w:color="990033"/>
            </w:tcBorders>
            <w:shd w:val="clear" w:color="auto" w:fill="EFD3D2"/>
            <w:vAlign w:val="center"/>
          </w:tcPr>
          <w:p w:rsidR="001B4EA4" w:rsidRPr="00C5494E" w:rsidRDefault="001B4EA4" w:rsidP="002A2EDF">
            <w:pPr>
              <w:pStyle w:val="Tabletext"/>
              <w:cnfStyle w:val="000000100000"/>
              <w:rPr>
                <w:sz w:val="18"/>
                <w:szCs w:val="18"/>
              </w:rPr>
            </w:pPr>
          </w:p>
        </w:tc>
        <w:tc>
          <w:tcPr>
            <w:tcW w:w="1223" w:type="dxa"/>
            <w:tcBorders>
              <w:top w:val="single" w:sz="8" w:space="0" w:color="990033"/>
              <w:bottom w:val="single" w:sz="8" w:space="0" w:color="990033"/>
            </w:tcBorders>
            <w:shd w:val="clear" w:color="auto" w:fill="EFD3D2"/>
          </w:tcPr>
          <w:p w:rsidR="001B4EA4" w:rsidRPr="00C5494E" w:rsidRDefault="001B4EA4" w:rsidP="002A2EDF">
            <w:pPr>
              <w:pStyle w:val="Tabletext"/>
              <w:cnfStyle w:val="000000100000"/>
              <w:rPr>
                <w:sz w:val="18"/>
                <w:szCs w:val="18"/>
              </w:rPr>
            </w:pPr>
          </w:p>
        </w:tc>
        <w:tc>
          <w:tcPr>
            <w:tcW w:w="1101" w:type="dxa"/>
            <w:tcBorders>
              <w:top w:val="single" w:sz="8" w:space="0" w:color="990033"/>
              <w:bottom w:val="single" w:sz="8" w:space="0" w:color="990033"/>
            </w:tcBorders>
            <w:shd w:val="clear" w:color="auto" w:fill="EFD3D2"/>
            <w:vAlign w:val="center"/>
          </w:tcPr>
          <w:p w:rsidR="001B4EA4" w:rsidRPr="00C5494E" w:rsidRDefault="001B4EA4" w:rsidP="002A2EDF">
            <w:pPr>
              <w:pStyle w:val="Tabletext"/>
              <w:cnfStyle w:val="000000100000"/>
              <w:rPr>
                <w:sz w:val="18"/>
                <w:szCs w:val="18"/>
              </w:rPr>
            </w:pPr>
          </w:p>
        </w:tc>
        <w:tc>
          <w:tcPr>
            <w:tcW w:w="824" w:type="dxa"/>
            <w:tcBorders>
              <w:top w:val="single" w:sz="8" w:space="0" w:color="990033"/>
              <w:bottom w:val="single" w:sz="8" w:space="0" w:color="990033"/>
            </w:tcBorders>
            <w:shd w:val="clear" w:color="auto" w:fill="EFD3D2"/>
          </w:tcPr>
          <w:p w:rsidR="001B4EA4" w:rsidRPr="00C5494E" w:rsidRDefault="001B4EA4" w:rsidP="002A2EDF">
            <w:pPr>
              <w:pStyle w:val="Tabletext"/>
              <w:cnfStyle w:val="000000100000"/>
              <w:rPr>
                <w:sz w:val="18"/>
                <w:szCs w:val="18"/>
              </w:rPr>
            </w:pPr>
          </w:p>
        </w:tc>
        <w:tc>
          <w:tcPr>
            <w:tcW w:w="793" w:type="dxa"/>
            <w:tcBorders>
              <w:top w:val="single" w:sz="8" w:space="0" w:color="990033"/>
              <w:bottom w:val="single" w:sz="8" w:space="0" w:color="990033"/>
              <w:right w:val="single" w:sz="8" w:space="0" w:color="990033"/>
            </w:tcBorders>
            <w:shd w:val="clear" w:color="auto" w:fill="EFD3D2"/>
            <w:vAlign w:val="center"/>
          </w:tcPr>
          <w:p w:rsidR="001B4EA4" w:rsidRPr="00C5494E" w:rsidRDefault="001B4EA4" w:rsidP="002A2EDF">
            <w:pPr>
              <w:pStyle w:val="Tabletext"/>
              <w:cnfStyle w:val="000000100000"/>
              <w:rPr>
                <w:sz w:val="18"/>
                <w:szCs w:val="18"/>
              </w:rPr>
            </w:pPr>
          </w:p>
        </w:tc>
      </w:tr>
      <w:tr w:rsidR="001B4EA4" w:rsidRPr="00C5494E" w:rsidTr="00527AA9">
        <w:trPr>
          <w:jc w:val="center"/>
        </w:trPr>
        <w:tc>
          <w:tcPr>
            <w:cnfStyle w:val="001000000000"/>
            <w:tcW w:w="131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A964DB">
            <w:pPr>
              <w:pStyle w:val="Tabletext"/>
              <w:rPr>
                <w:b w:val="0"/>
                <w:bCs w:val="0"/>
                <w:sz w:val="17"/>
                <w:szCs w:val="17"/>
              </w:rPr>
            </w:pPr>
            <w:r w:rsidRPr="00C5494E">
              <w:rPr>
                <w:b w:val="0"/>
                <w:bCs w:val="0"/>
                <w:sz w:val="17"/>
                <w:szCs w:val="17"/>
              </w:rPr>
              <w:t>ISP licence</w:t>
            </w:r>
          </w:p>
        </w:tc>
        <w:tc>
          <w:tcPr>
            <w:tcW w:w="93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Individual</w:t>
            </w:r>
          </w:p>
        </w:tc>
        <w:tc>
          <w:tcPr>
            <w:tcW w:w="69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Yes</w:t>
            </w:r>
          </w:p>
        </w:tc>
        <w:tc>
          <w:tcPr>
            <w:tcW w:w="65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jc w:val="center"/>
              <w:cnfStyle w:val="000000000000"/>
              <w:rPr>
                <w:sz w:val="17"/>
                <w:szCs w:val="17"/>
              </w:rPr>
            </w:pPr>
            <w:r w:rsidRPr="00C5494E">
              <w:rPr>
                <w:sz w:val="17"/>
                <w:szCs w:val="17"/>
              </w:rPr>
              <w:t>2</w:t>
            </w:r>
          </w:p>
        </w:tc>
        <w:tc>
          <w:tcPr>
            <w:tcW w:w="74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Yes</w:t>
            </w:r>
          </w:p>
        </w:tc>
        <w:tc>
          <w:tcPr>
            <w:tcW w:w="144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Internet services</w:t>
            </w:r>
          </w:p>
        </w:tc>
        <w:tc>
          <w:tcPr>
            <w:tcW w:w="122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None</w:t>
            </w:r>
          </w:p>
        </w:tc>
        <w:tc>
          <w:tcPr>
            <w:tcW w:w="110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cnfStyle w:val="000000000000"/>
              <w:rPr>
                <w:sz w:val="17"/>
                <w:szCs w:val="17"/>
              </w:rPr>
            </w:pPr>
            <w:r w:rsidRPr="00C5494E">
              <w:rPr>
                <w:sz w:val="17"/>
                <w:szCs w:val="17"/>
              </w:rPr>
              <w:t>5% ISPs revenues</w:t>
            </w:r>
          </w:p>
        </w:tc>
        <w:tc>
          <w:tcPr>
            <w:tcW w:w="82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p>
        </w:tc>
        <w:tc>
          <w:tcPr>
            <w:tcW w:w="79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000000"/>
              <w:rPr>
                <w:sz w:val="17"/>
                <w:szCs w:val="17"/>
              </w:rPr>
            </w:pPr>
            <w:r w:rsidRPr="00C5494E">
              <w:rPr>
                <w:sz w:val="17"/>
                <w:szCs w:val="17"/>
              </w:rPr>
              <w:t>10-15 years</w:t>
            </w:r>
          </w:p>
        </w:tc>
      </w:tr>
      <w:tr w:rsidR="001B4EA4" w:rsidRPr="00C5494E" w:rsidTr="00527AA9">
        <w:trPr>
          <w:cnfStyle w:val="000000100000"/>
          <w:jc w:val="center"/>
        </w:trPr>
        <w:tc>
          <w:tcPr>
            <w:cnfStyle w:val="001000000000"/>
            <w:tcW w:w="131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A964DB">
            <w:pPr>
              <w:pStyle w:val="Tabletext"/>
              <w:rPr>
                <w:b w:val="0"/>
                <w:bCs w:val="0"/>
                <w:sz w:val="17"/>
                <w:szCs w:val="17"/>
              </w:rPr>
            </w:pPr>
            <w:r w:rsidRPr="00C5494E">
              <w:rPr>
                <w:b w:val="0"/>
                <w:bCs w:val="0"/>
                <w:sz w:val="17"/>
                <w:szCs w:val="17"/>
              </w:rPr>
              <w:t>Rural Internet retail licence</w:t>
            </w:r>
          </w:p>
        </w:tc>
        <w:tc>
          <w:tcPr>
            <w:tcW w:w="93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Individual</w:t>
            </w:r>
          </w:p>
        </w:tc>
        <w:tc>
          <w:tcPr>
            <w:tcW w:w="69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Yes</w:t>
            </w:r>
          </w:p>
        </w:tc>
        <w:tc>
          <w:tcPr>
            <w:tcW w:w="65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jc w:val="center"/>
              <w:cnfStyle w:val="000000100000"/>
              <w:rPr>
                <w:sz w:val="17"/>
                <w:szCs w:val="17"/>
              </w:rPr>
            </w:pPr>
            <w:r w:rsidRPr="00C5494E">
              <w:rPr>
                <w:sz w:val="17"/>
                <w:szCs w:val="17"/>
              </w:rPr>
              <w:t>10</w:t>
            </w:r>
          </w:p>
        </w:tc>
        <w:tc>
          <w:tcPr>
            <w:tcW w:w="74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None</w:t>
            </w:r>
          </w:p>
        </w:tc>
        <w:tc>
          <w:tcPr>
            <w:tcW w:w="144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Internet services</w:t>
            </w:r>
          </w:p>
        </w:tc>
        <w:tc>
          <w:tcPr>
            <w:tcW w:w="122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USD 20</w:t>
            </w:r>
          </w:p>
        </w:tc>
        <w:tc>
          <w:tcPr>
            <w:tcW w:w="110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None</w:t>
            </w:r>
          </w:p>
        </w:tc>
        <w:tc>
          <w:tcPr>
            <w:tcW w:w="82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Few weeks</w:t>
            </w:r>
          </w:p>
        </w:tc>
        <w:tc>
          <w:tcPr>
            <w:tcW w:w="79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3 years</w:t>
            </w:r>
          </w:p>
        </w:tc>
      </w:tr>
      <w:tr w:rsidR="001B4EA4" w:rsidRPr="00C5494E" w:rsidTr="004E2730">
        <w:trPr>
          <w:jc w:val="center"/>
        </w:trPr>
        <w:tc>
          <w:tcPr>
            <w:cnfStyle w:val="001000000000"/>
            <w:tcW w:w="1313" w:type="dxa"/>
            <w:tcBorders>
              <w:top w:val="single" w:sz="8" w:space="0" w:color="990033"/>
              <w:left w:val="single" w:sz="8" w:space="0" w:color="990033"/>
              <w:bottom w:val="single" w:sz="8" w:space="0" w:color="990033"/>
              <w:right w:val="nil"/>
            </w:tcBorders>
            <w:shd w:val="clear" w:color="auto" w:fill="EFD3D2"/>
            <w:vAlign w:val="center"/>
          </w:tcPr>
          <w:p w:rsidR="001B4EA4" w:rsidRPr="00C5494E" w:rsidRDefault="001B4EA4" w:rsidP="002A2EDF">
            <w:pPr>
              <w:pStyle w:val="Tablehead"/>
              <w:jc w:val="left"/>
              <w:rPr>
                <w:lang w:val="en-GB"/>
              </w:rPr>
            </w:pPr>
            <w:r w:rsidRPr="00C5494E">
              <w:rPr>
                <w:lang w:val="en-GB"/>
              </w:rPr>
              <w:t>Nepal</w:t>
            </w:r>
          </w:p>
        </w:tc>
        <w:tc>
          <w:tcPr>
            <w:tcW w:w="934" w:type="dxa"/>
            <w:tcBorders>
              <w:top w:val="single" w:sz="8" w:space="0" w:color="990033"/>
              <w:left w:val="nil"/>
              <w:bottom w:val="single" w:sz="8" w:space="0" w:color="990033"/>
              <w:right w:val="nil"/>
            </w:tcBorders>
            <w:shd w:val="clear" w:color="auto" w:fill="EFD3D2"/>
          </w:tcPr>
          <w:p w:rsidR="001B4EA4" w:rsidRPr="00C5494E" w:rsidRDefault="001B4EA4" w:rsidP="00FB239F">
            <w:pPr>
              <w:jc w:val="center"/>
              <w:cnfStyle w:val="000000000000"/>
              <w:rPr>
                <w:bCs/>
                <w:szCs w:val="22"/>
              </w:rPr>
            </w:pPr>
          </w:p>
        </w:tc>
        <w:tc>
          <w:tcPr>
            <w:tcW w:w="691" w:type="dxa"/>
            <w:tcBorders>
              <w:top w:val="single" w:sz="8" w:space="0" w:color="990033"/>
              <w:left w:val="nil"/>
              <w:bottom w:val="single" w:sz="8" w:space="0" w:color="990033"/>
              <w:right w:val="nil"/>
            </w:tcBorders>
            <w:shd w:val="clear" w:color="auto" w:fill="EFD3D2"/>
            <w:vAlign w:val="center"/>
          </w:tcPr>
          <w:p w:rsidR="001B4EA4" w:rsidRPr="00C5494E" w:rsidRDefault="001B4EA4" w:rsidP="00FB239F">
            <w:pPr>
              <w:jc w:val="center"/>
              <w:cnfStyle w:val="000000000000"/>
              <w:rPr>
                <w:bCs/>
                <w:szCs w:val="22"/>
              </w:rPr>
            </w:pPr>
          </w:p>
        </w:tc>
        <w:tc>
          <w:tcPr>
            <w:tcW w:w="656" w:type="dxa"/>
            <w:tcBorders>
              <w:top w:val="single" w:sz="8" w:space="0" w:color="990033"/>
              <w:left w:val="nil"/>
              <w:bottom w:val="single" w:sz="8" w:space="0" w:color="990033"/>
              <w:right w:val="nil"/>
            </w:tcBorders>
            <w:shd w:val="clear" w:color="auto" w:fill="EFD3D2"/>
            <w:vAlign w:val="center"/>
          </w:tcPr>
          <w:p w:rsidR="001B4EA4" w:rsidRPr="00C5494E" w:rsidRDefault="001B4EA4" w:rsidP="00FB239F">
            <w:pPr>
              <w:jc w:val="center"/>
              <w:cnfStyle w:val="000000000000"/>
              <w:rPr>
                <w:bCs/>
                <w:szCs w:val="22"/>
              </w:rPr>
            </w:pPr>
          </w:p>
        </w:tc>
        <w:tc>
          <w:tcPr>
            <w:tcW w:w="746" w:type="dxa"/>
            <w:tcBorders>
              <w:top w:val="single" w:sz="8" w:space="0" w:color="990033"/>
              <w:left w:val="nil"/>
              <w:bottom w:val="single" w:sz="8" w:space="0" w:color="990033"/>
              <w:right w:val="nil"/>
            </w:tcBorders>
            <w:shd w:val="clear" w:color="auto" w:fill="EFD3D2"/>
          </w:tcPr>
          <w:p w:rsidR="001B4EA4" w:rsidRPr="00C5494E" w:rsidRDefault="001B4EA4" w:rsidP="00FB239F">
            <w:pPr>
              <w:jc w:val="center"/>
              <w:cnfStyle w:val="000000000000"/>
              <w:rPr>
                <w:bCs/>
                <w:szCs w:val="22"/>
              </w:rPr>
            </w:pPr>
          </w:p>
        </w:tc>
        <w:tc>
          <w:tcPr>
            <w:tcW w:w="1441" w:type="dxa"/>
            <w:tcBorders>
              <w:top w:val="single" w:sz="8" w:space="0" w:color="990033"/>
              <w:left w:val="nil"/>
              <w:bottom w:val="single" w:sz="8" w:space="0" w:color="990033"/>
              <w:right w:val="nil"/>
            </w:tcBorders>
            <w:shd w:val="clear" w:color="auto" w:fill="EFD3D2"/>
            <w:vAlign w:val="center"/>
          </w:tcPr>
          <w:p w:rsidR="001B4EA4" w:rsidRPr="00C5494E" w:rsidRDefault="001B4EA4" w:rsidP="00FB239F">
            <w:pPr>
              <w:jc w:val="center"/>
              <w:cnfStyle w:val="000000000000"/>
              <w:rPr>
                <w:bCs/>
                <w:szCs w:val="22"/>
              </w:rPr>
            </w:pPr>
          </w:p>
        </w:tc>
        <w:tc>
          <w:tcPr>
            <w:tcW w:w="1223" w:type="dxa"/>
            <w:tcBorders>
              <w:top w:val="single" w:sz="8" w:space="0" w:color="990033"/>
              <w:left w:val="nil"/>
              <w:bottom w:val="single" w:sz="8" w:space="0" w:color="990033"/>
              <w:right w:val="nil"/>
            </w:tcBorders>
            <w:shd w:val="clear" w:color="auto" w:fill="EFD3D2"/>
          </w:tcPr>
          <w:p w:rsidR="001B4EA4" w:rsidRPr="00C5494E" w:rsidRDefault="001B4EA4" w:rsidP="00FB239F">
            <w:pPr>
              <w:jc w:val="center"/>
              <w:cnfStyle w:val="000000000000"/>
              <w:rPr>
                <w:bCs/>
                <w:szCs w:val="22"/>
              </w:rPr>
            </w:pPr>
          </w:p>
        </w:tc>
        <w:tc>
          <w:tcPr>
            <w:tcW w:w="1101" w:type="dxa"/>
            <w:tcBorders>
              <w:top w:val="single" w:sz="8" w:space="0" w:color="990033"/>
              <w:left w:val="nil"/>
              <w:bottom w:val="single" w:sz="8" w:space="0" w:color="990033"/>
              <w:right w:val="nil"/>
            </w:tcBorders>
            <w:shd w:val="clear" w:color="auto" w:fill="EFD3D2"/>
            <w:vAlign w:val="center"/>
          </w:tcPr>
          <w:p w:rsidR="001B4EA4" w:rsidRPr="00C5494E" w:rsidRDefault="001B4EA4" w:rsidP="00FB239F">
            <w:pPr>
              <w:jc w:val="center"/>
              <w:cnfStyle w:val="000000000000"/>
              <w:rPr>
                <w:bCs/>
                <w:szCs w:val="22"/>
              </w:rPr>
            </w:pPr>
          </w:p>
        </w:tc>
        <w:tc>
          <w:tcPr>
            <w:tcW w:w="824" w:type="dxa"/>
            <w:tcBorders>
              <w:top w:val="single" w:sz="8" w:space="0" w:color="990033"/>
              <w:left w:val="nil"/>
              <w:bottom w:val="single" w:sz="8" w:space="0" w:color="990033"/>
              <w:right w:val="nil"/>
            </w:tcBorders>
            <w:shd w:val="clear" w:color="auto" w:fill="EFD3D2"/>
          </w:tcPr>
          <w:p w:rsidR="001B4EA4" w:rsidRPr="00C5494E" w:rsidRDefault="001B4EA4" w:rsidP="00FB239F">
            <w:pPr>
              <w:cnfStyle w:val="000000000000"/>
              <w:rPr>
                <w:bCs/>
                <w:szCs w:val="22"/>
              </w:rPr>
            </w:pPr>
          </w:p>
        </w:tc>
        <w:tc>
          <w:tcPr>
            <w:tcW w:w="793" w:type="dxa"/>
            <w:tcBorders>
              <w:top w:val="single" w:sz="8" w:space="0" w:color="990033"/>
              <w:left w:val="nil"/>
              <w:bottom w:val="single" w:sz="8" w:space="0" w:color="990033"/>
              <w:right w:val="single" w:sz="8" w:space="0" w:color="990033"/>
            </w:tcBorders>
            <w:shd w:val="clear" w:color="auto" w:fill="EFD3D2"/>
            <w:vAlign w:val="center"/>
          </w:tcPr>
          <w:p w:rsidR="001B4EA4" w:rsidRPr="00C5494E" w:rsidRDefault="001B4EA4" w:rsidP="00FB239F">
            <w:pPr>
              <w:cnfStyle w:val="000000000000"/>
              <w:rPr>
                <w:bCs/>
                <w:szCs w:val="22"/>
              </w:rPr>
            </w:pPr>
          </w:p>
        </w:tc>
      </w:tr>
      <w:tr w:rsidR="001B4EA4" w:rsidRPr="00C5494E" w:rsidTr="00527AA9">
        <w:trPr>
          <w:cnfStyle w:val="000000100000"/>
          <w:jc w:val="center"/>
        </w:trPr>
        <w:tc>
          <w:tcPr>
            <w:cnfStyle w:val="001000000000"/>
            <w:tcW w:w="131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0F4A58">
            <w:pPr>
              <w:pStyle w:val="Tabletext"/>
              <w:rPr>
                <w:b w:val="0"/>
                <w:bCs w:val="0"/>
                <w:sz w:val="17"/>
                <w:szCs w:val="17"/>
              </w:rPr>
            </w:pPr>
            <w:r w:rsidRPr="00C5494E">
              <w:rPr>
                <w:b w:val="0"/>
                <w:bCs w:val="0"/>
                <w:sz w:val="17"/>
                <w:szCs w:val="17"/>
              </w:rPr>
              <w:t>ISP licence</w:t>
            </w:r>
          </w:p>
        </w:tc>
        <w:tc>
          <w:tcPr>
            <w:tcW w:w="93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General</w:t>
            </w:r>
          </w:p>
        </w:tc>
        <w:tc>
          <w:tcPr>
            <w:tcW w:w="69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Yes</w:t>
            </w:r>
          </w:p>
        </w:tc>
        <w:tc>
          <w:tcPr>
            <w:tcW w:w="65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jc w:val="center"/>
              <w:cnfStyle w:val="000000100000"/>
              <w:rPr>
                <w:sz w:val="17"/>
                <w:szCs w:val="17"/>
              </w:rPr>
            </w:pPr>
            <w:r w:rsidRPr="00C5494E">
              <w:rPr>
                <w:sz w:val="17"/>
                <w:szCs w:val="17"/>
              </w:rPr>
              <w:t>45</w:t>
            </w:r>
          </w:p>
        </w:tc>
        <w:tc>
          <w:tcPr>
            <w:tcW w:w="746"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None</w:t>
            </w:r>
          </w:p>
        </w:tc>
        <w:tc>
          <w:tcPr>
            <w:tcW w:w="144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Internet services</w:t>
            </w:r>
          </w:p>
        </w:tc>
        <w:tc>
          <w:tcPr>
            <w:tcW w:w="122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USD 1.50 for rural service</w:t>
            </w:r>
          </w:p>
        </w:tc>
        <w:tc>
          <w:tcPr>
            <w:tcW w:w="1101"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527AA9">
            <w:pPr>
              <w:pStyle w:val="Tabletext"/>
              <w:cnfStyle w:val="000000100000"/>
              <w:rPr>
                <w:sz w:val="17"/>
                <w:szCs w:val="17"/>
              </w:rPr>
            </w:pPr>
            <w:r w:rsidRPr="00C5494E">
              <w:rPr>
                <w:sz w:val="17"/>
                <w:szCs w:val="17"/>
              </w:rPr>
              <w:t>USD 4 000</w:t>
            </w:r>
          </w:p>
          <w:p w:rsidR="001B4EA4" w:rsidRPr="00C5494E" w:rsidRDefault="001B4EA4" w:rsidP="002A2EDF">
            <w:pPr>
              <w:pStyle w:val="Tabletext"/>
              <w:cnfStyle w:val="000000100000"/>
              <w:rPr>
                <w:sz w:val="17"/>
                <w:szCs w:val="17"/>
              </w:rPr>
            </w:pPr>
            <w:r w:rsidRPr="00C5494E">
              <w:rPr>
                <w:sz w:val="17"/>
                <w:szCs w:val="17"/>
              </w:rPr>
              <w:t>USD 1.50 per VDC for rural ISP</w:t>
            </w:r>
          </w:p>
        </w:tc>
        <w:tc>
          <w:tcPr>
            <w:tcW w:w="824"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1 month</w:t>
            </w:r>
          </w:p>
        </w:tc>
        <w:tc>
          <w:tcPr>
            <w:tcW w:w="793" w:type="dxa"/>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C5494E" w:rsidRDefault="001B4EA4" w:rsidP="002A2EDF">
            <w:pPr>
              <w:pStyle w:val="Tabletext"/>
              <w:cnfStyle w:val="000000100000"/>
              <w:rPr>
                <w:sz w:val="17"/>
                <w:szCs w:val="17"/>
              </w:rPr>
            </w:pPr>
            <w:r w:rsidRPr="00C5494E">
              <w:rPr>
                <w:sz w:val="17"/>
                <w:szCs w:val="17"/>
              </w:rPr>
              <w:t>5 years</w:t>
            </w:r>
          </w:p>
        </w:tc>
      </w:tr>
      <w:tr w:rsidR="001B4EA4" w:rsidRPr="00DC056F" w:rsidTr="00A1314A">
        <w:trPr>
          <w:jc w:val="center"/>
        </w:trPr>
        <w:tc>
          <w:tcPr>
            <w:cnfStyle w:val="001000000000"/>
            <w:tcW w:w="9722" w:type="dxa"/>
            <w:gridSpan w:val="10"/>
            <w:tcBorders>
              <w:top w:val="single" w:sz="8" w:space="0" w:color="990033"/>
              <w:left w:val="single" w:sz="8" w:space="0" w:color="990033"/>
              <w:bottom w:val="single" w:sz="8" w:space="0" w:color="990033"/>
              <w:right w:val="single" w:sz="8" w:space="0" w:color="990033"/>
            </w:tcBorders>
            <w:shd w:val="clear" w:color="auto" w:fill="auto"/>
            <w:vAlign w:val="center"/>
          </w:tcPr>
          <w:p w:rsidR="001B4EA4" w:rsidRPr="0048461C" w:rsidRDefault="001B4EA4" w:rsidP="00527AA9">
            <w:pPr>
              <w:pStyle w:val="Tabletext"/>
              <w:rPr>
                <w:b w:val="0"/>
                <w:bCs w:val="0"/>
                <w:szCs w:val="17"/>
                <w:lang w:val="fr-CH"/>
              </w:rPr>
            </w:pPr>
            <w:r w:rsidRPr="0048461C">
              <w:rPr>
                <w:b w:val="0"/>
                <w:bCs w:val="0"/>
                <w:i/>
                <w:iCs/>
                <w:lang w:val="fr-CH"/>
              </w:rPr>
              <w:t>Source</w:t>
            </w:r>
            <w:r w:rsidRPr="0048461C">
              <w:rPr>
                <w:b w:val="0"/>
                <w:bCs w:val="0"/>
                <w:lang w:val="fr-CH"/>
              </w:rPr>
              <w:t>: ITU ABBMN questionnaire (</w:t>
            </w:r>
            <w:proofErr w:type="spellStart"/>
            <w:r w:rsidRPr="0048461C">
              <w:rPr>
                <w:b w:val="0"/>
                <w:bCs w:val="0"/>
                <w:lang w:val="fr-CH"/>
              </w:rPr>
              <w:t>June</w:t>
            </w:r>
            <w:proofErr w:type="spellEnd"/>
            <w:r w:rsidRPr="0048461C">
              <w:rPr>
                <w:b w:val="0"/>
                <w:bCs w:val="0"/>
                <w:lang w:val="fr-CH"/>
              </w:rPr>
              <w:t xml:space="preserve"> 2010).</w:t>
            </w:r>
          </w:p>
        </w:tc>
      </w:tr>
    </w:tbl>
    <w:p w:rsidR="002A2EDF" w:rsidRPr="0048461C" w:rsidRDefault="002A2EDF" w:rsidP="002A2EDF">
      <w:pPr>
        <w:rPr>
          <w:lang w:val="fr-CH"/>
        </w:rPr>
      </w:pPr>
    </w:p>
    <w:p w:rsidR="00C33BC4" w:rsidRPr="00C5494E" w:rsidRDefault="00322A81" w:rsidP="00322A81">
      <w:pPr>
        <w:rPr>
          <w:bCs/>
        </w:rPr>
      </w:pPr>
      <w:r w:rsidRPr="00C5494E">
        <w:rPr>
          <w:bCs/>
        </w:rPr>
        <w:t xml:space="preserve">All ABBMN countries except </w:t>
      </w:r>
      <w:smartTag w:uri="urn:schemas-microsoft-com:office:smarttags" w:element="place">
        <w:smartTag w:uri="urn:schemas-microsoft-com:office:smarttags" w:element="country-region">
          <w:r w:rsidRPr="00C5494E">
            <w:rPr>
              <w:bCs/>
            </w:rPr>
            <w:t>Bangladesh</w:t>
          </w:r>
        </w:smartTag>
      </w:smartTag>
      <w:r w:rsidRPr="00C5494E">
        <w:rPr>
          <w:bCs/>
        </w:rPr>
        <w:t xml:space="preserve"> have technologically neutral licences. In the case of </w:t>
      </w:r>
      <w:smartTag w:uri="urn:schemas-microsoft-com:office:smarttags" w:element="place">
        <w:smartTag w:uri="urn:schemas-microsoft-com:office:smarttags" w:element="country-region">
          <w:r w:rsidRPr="00C5494E">
            <w:rPr>
              <w:bCs/>
            </w:rPr>
            <w:t>Bangladesh</w:t>
          </w:r>
        </w:smartTag>
      </w:smartTag>
      <w:r w:rsidRPr="00C5494E">
        <w:rPr>
          <w:bCs/>
        </w:rPr>
        <w:t xml:space="preserve">, the consequence is that quite different conditions apply to the provision of broadband services depending on the type of technology used. This may be partially justified in the case of the </w:t>
      </w:r>
      <w:r w:rsidR="00527AA9" w:rsidRPr="00C5494E">
        <w:rPr>
          <w:bCs/>
        </w:rPr>
        <w:t>broadband wireless access (</w:t>
      </w:r>
      <w:r w:rsidRPr="00C5494E">
        <w:rPr>
          <w:bCs/>
        </w:rPr>
        <w:t>BWA</w:t>
      </w:r>
      <w:r w:rsidR="00527AA9" w:rsidRPr="00C5494E">
        <w:rPr>
          <w:bCs/>
        </w:rPr>
        <w:t>)</w:t>
      </w:r>
      <w:r w:rsidRPr="00C5494E">
        <w:rPr>
          <w:bCs/>
        </w:rPr>
        <w:t xml:space="preserve"> licence, because it relies on a scarce resource (spectrum), but it is in general not consistent with the current context of technological convergence.</w:t>
      </w:r>
    </w:p>
    <w:p w:rsidR="002A2EDF" w:rsidRPr="00C5494E" w:rsidRDefault="00322A81" w:rsidP="00527AA9">
      <w:pPr>
        <w:rPr>
          <w:bCs/>
        </w:rPr>
      </w:pPr>
      <w:r w:rsidRPr="00C5494E">
        <w:rPr>
          <w:bCs/>
        </w:rPr>
        <w:t xml:space="preserve">Bhutan is the only ABBMN country with a unified licence (i.e. including all telecommunications services), which is a step forward towards simplifying the authorization process. Moreover, the country has the </w:t>
      </w:r>
      <w:r w:rsidRPr="00C5494E">
        <w:rPr>
          <w:bCs/>
        </w:rPr>
        <w:lastRenderedPageBreak/>
        <w:t xml:space="preserve">lowest licence fees of all ABBMN countries, except for special ones addressed to rural ISPs. Chart 4.6 shows a comparison of the cost of an ISP licence in ABBMN countries. The total annual cost is computed as the sum of the annual fee plus the one-time fee divided by the licence duration. Licence fees in ABBMN countries vary from </w:t>
      </w:r>
      <w:r w:rsidR="00262FB0" w:rsidRPr="00C5494E">
        <w:rPr>
          <w:bCs/>
        </w:rPr>
        <w:t>USD</w:t>
      </w:r>
      <w:r w:rsidRPr="00C5494E">
        <w:rPr>
          <w:bCs/>
        </w:rPr>
        <w:t xml:space="preserve"> </w:t>
      </w:r>
      <w:smartTag w:uri="urn:schemas-microsoft-com:office:smarttags" w:element="metricconverter">
        <w:smartTagPr>
          <w:attr w:name="ProductID" w:val="200 in"/>
        </w:smartTagPr>
        <w:r w:rsidRPr="00C5494E">
          <w:rPr>
            <w:bCs/>
          </w:rPr>
          <w:t>200 in</w:t>
        </w:r>
      </w:smartTag>
      <w:r w:rsidRPr="00C5494E">
        <w:rPr>
          <w:bCs/>
        </w:rPr>
        <w:t xml:space="preserve"> </w:t>
      </w:r>
      <w:smartTag w:uri="urn:schemas-microsoft-com:office:smarttags" w:element="country-region">
        <w:r w:rsidRPr="00C5494E">
          <w:rPr>
            <w:bCs/>
          </w:rPr>
          <w:t>Bhutan</w:t>
        </w:r>
      </w:smartTag>
      <w:r w:rsidRPr="00C5494E">
        <w:rPr>
          <w:bCs/>
        </w:rPr>
        <w:t xml:space="preserve"> to </w:t>
      </w:r>
      <w:r w:rsidR="00262FB0" w:rsidRPr="00C5494E">
        <w:rPr>
          <w:bCs/>
        </w:rPr>
        <w:t>USD</w:t>
      </w:r>
      <w:r w:rsidRPr="00C5494E">
        <w:rPr>
          <w:bCs/>
        </w:rPr>
        <w:t xml:space="preserve"> 13</w:t>
      </w:r>
      <w:r w:rsidR="00527AA9" w:rsidRPr="00C5494E">
        <w:rPr>
          <w:bCs/>
        </w:rPr>
        <w:t> </w:t>
      </w:r>
      <w:r w:rsidRPr="00C5494E">
        <w:rPr>
          <w:bCs/>
        </w:rPr>
        <w:t xml:space="preserve">333 for a national ISP licence in </w:t>
      </w:r>
      <w:smartTag w:uri="urn:schemas-microsoft-com:office:smarttags" w:element="place">
        <w:smartTag w:uri="urn:schemas-microsoft-com:office:smarttags" w:element="country-region">
          <w:r w:rsidRPr="00C5494E">
            <w:rPr>
              <w:bCs/>
            </w:rPr>
            <w:t>Afghanistan</w:t>
          </w:r>
        </w:smartTag>
      </w:smartTag>
      <w:r w:rsidRPr="00C5494E">
        <w:rPr>
          <w:bCs/>
        </w:rPr>
        <w:t>.</w:t>
      </w:r>
    </w:p>
    <w:p w:rsidR="00C33BC4" w:rsidRPr="00C5494E" w:rsidRDefault="00C33BC4" w:rsidP="00C33BC4">
      <w:pPr>
        <w:rPr>
          <w:bCs/>
        </w:rPr>
      </w:pPr>
    </w:p>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C33BC4" w:rsidRPr="00DC056F" w:rsidTr="00FB239F">
        <w:trPr>
          <w:jc w:val="center"/>
        </w:trPr>
        <w:tc>
          <w:tcPr>
            <w:tcW w:w="9424" w:type="dxa"/>
            <w:shd w:val="clear" w:color="auto" w:fill="D9D9D9" w:themeFill="background1" w:themeFillShade="D9"/>
          </w:tcPr>
          <w:p w:rsidR="00C33BC4" w:rsidRPr="00C5494E" w:rsidRDefault="00C33BC4" w:rsidP="00C33BC4">
            <w:pPr>
              <w:pStyle w:val="FigureNoTitle"/>
              <w:rPr>
                <w:lang w:val="en-GB"/>
              </w:rPr>
            </w:pPr>
            <w:r w:rsidRPr="00C5494E">
              <w:rPr>
                <w:lang w:val="en-GB"/>
              </w:rPr>
              <w:t>Chart 4</w:t>
            </w:r>
            <w:r w:rsidR="00322A81" w:rsidRPr="00C5494E">
              <w:rPr>
                <w:lang w:val="en-GB"/>
              </w:rPr>
              <w:t>.6: Annual cost of an ISP licenc</w:t>
            </w:r>
            <w:r w:rsidRPr="00C5494E">
              <w:rPr>
                <w:lang w:val="en-GB"/>
              </w:rPr>
              <w:t>e in ABBMN countries, 2010.</w:t>
            </w:r>
          </w:p>
          <w:p w:rsidR="00C33BC4" w:rsidRPr="00C5494E" w:rsidRDefault="00C33BC4" w:rsidP="00FB239F">
            <w:pPr>
              <w:pStyle w:val="Figure"/>
              <w:rPr>
                <w:lang w:val="en-GB"/>
              </w:rPr>
            </w:pPr>
            <w:r w:rsidRPr="00C5494E">
              <w:drawing>
                <wp:inline distT="0" distB="0" distL="0" distR="0">
                  <wp:extent cx="5600700" cy="2676525"/>
                  <wp:effectExtent l="0" t="0" r="0" b="0"/>
                  <wp:docPr id="13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cstate="print">
                            <a:duotone>
                              <a:schemeClr val="accent2">
                                <a:shade val="45000"/>
                                <a:satMod val="135000"/>
                              </a:schemeClr>
                              <a:prstClr val="white"/>
                            </a:duotone>
                          </a:blip>
                          <a:srcRect t="4321" b="8951"/>
                          <a:stretch>
                            <a:fillRect/>
                          </a:stretch>
                        </pic:blipFill>
                        <pic:spPr bwMode="auto">
                          <a:xfrm>
                            <a:off x="0" y="0"/>
                            <a:ext cx="5600700" cy="2676525"/>
                          </a:xfrm>
                          <a:prstGeom prst="rect">
                            <a:avLst/>
                          </a:prstGeom>
                          <a:noFill/>
                          <a:ln w="9525">
                            <a:noFill/>
                            <a:miter lim="800000"/>
                            <a:headEnd/>
                            <a:tailEnd/>
                          </a:ln>
                        </pic:spPr>
                      </pic:pic>
                    </a:graphicData>
                  </a:graphic>
                </wp:inline>
              </w:drawing>
            </w:r>
          </w:p>
          <w:p w:rsidR="00C33BC4" w:rsidRPr="0048461C" w:rsidRDefault="00C33BC4" w:rsidP="00C33BC4">
            <w:pPr>
              <w:pStyle w:val="Figurelegend"/>
              <w:rPr>
                <w:lang w:val="fr-CH"/>
              </w:rPr>
            </w:pPr>
            <w:r w:rsidRPr="0048461C">
              <w:rPr>
                <w:i/>
                <w:iCs/>
                <w:lang w:val="fr-CH"/>
              </w:rPr>
              <w:t>Source</w:t>
            </w:r>
            <w:r w:rsidRPr="0048461C">
              <w:rPr>
                <w:lang w:val="fr-CH"/>
              </w:rPr>
              <w:t>: ITU ABBMN questionnaire (</w:t>
            </w:r>
            <w:proofErr w:type="spellStart"/>
            <w:r w:rsidRPr="0048461C">
              <w:rPr>
                <w:lang w:val="fr-CH"/>
              </w:rPr>
              <w:t>June</w:t>
            </w:r>
            <w:proofErr w:type="spellEnd"/>
            <w:r w:rsidRPr="0048461C">
              <w:rPr>
                <w:lang w:val="fr-CH"/>
              </w:rPr>
              <w:t xml:space="preserve"> 2010).</w:t>
            </w:r>
          </w:p>
        </w:tc>
      </w:tr>
    </w:tbl>
    <w:p w:rsidR="00C33BC4" w:rsidRPr="0048461C" w:rsidRDefault="00C33BC4" w:rsidP="00C33BC4">
      <w:pPr>
        <w:rPr>
          <w:lang w:val="fr-CH"/>
        </w:rPr>
      </w:pPr>
    </w:p>
    <w:p w:rsidR="00C33BC4" w:rsidRPr="00C5494E" w:rsidRDefault="00322A81" w:rsidP="00527AA9">
      <w:pPr>
        <w:rPr>
          <w:bCs/>
        </w:rPr>
      </w:pPr>
      <w:r w:rsidRPr="00C5494E">
        <w:rPr>
          <w:bCs/>
        </w:rPr>
        <w:t xml:space="preserve">Moreover, in </w:t>
      </w:r>
      <w:smartTag w:uri="urn:schemas-microsoft-com:office:smarttags" w:element="place">
        <w:smartTag w:uri="urn:schemas-microsoft-com:office:smarttags" w:element="country-region">
          <w:r w:rsidRPr="00C5494E">
            <w:rPr>
              <w:bCs/>
            </w:rPr>
            <w:t>Bangladesh</w:t>
          </w:r>
        </w:smartTag>
      </w:smartTag>
      <w:r w:rsidRPr="00C5494E">
        <w:rPr>
          <w:bCs/>
        </w:rPr>
        <w:t xml:space="preserve"> a PSTN licence costs as much as </w:t>
      </w:r>
      <w:r w:rsidR="00262FB0" w:rsidRPr="00C5494E">
        <w:rPr>
          <w:bCs/>
        </w:rPr>
        <w:t>USD</w:t>
      </w:r>
      <w:r w:rsidRPr="00C5494E">
        <w:rPr>
          <w:bCs/>
        </w:rPr>
        <w:t xml:space="preserve"> 285</w:t>
      </w:r>
      <w:r w:rsidR="00527AA9" w:rsidRPr="00C5494E">
        <w:rPr>
          <w:bCs/>
        </w:rPr>
        <w:t> </w:t>
      </w:r>
      <w:r w:rsidRPr="00C5494E">
        <w:rPr>
          <w:bCs/>
        </w:rPr>
        <w:t>715 per year, while a BWA licence costs USD 428</w:t>
      </w:r>
      <w:r w:rsidR="00527AA9" w:rsidRPr="00C5494E">
        <w:rPr>
          <w:bCs/>
        </w:rPr>
        <w:t> </w:t>
      </w:r>
      <w:r w:rsidRPr="00C5494E">
        <w:rPr>
          <w:bCs/>
        </w:rPr>
        <w:t xml:space="preserve">500 (without counting the one-time fee derived from the competitive selection procedure). These licence fees taken at face value seem quite high, but in order to determine whether they are reasonable or not, a broader study would need to be carried out comprising all the different fiscal obligations imposed on operators. For example, in several countries a tax applied to operators’ revenues is levied to finance the administrative charges related to the regulation of the market. Therefore, very low authorization fees but high taxes on operators’ revenues may be more burdensome than high authorization taxes but no tax on operators’ revenues. This also applies to </w:t>
      </w:r>
      <w:smartTag w:uri="urn:schemas-microsoft-com:office:smarttags" w:element="place">
        <w:smartTag w:uri="urn:schemas-microsoft-com:office:smarttags" w:element="country-region">
          <w:r w:rsidRPr="00C5494E">
            <w:rPr>
              <w:bCs/>
            </w:rPr>
            <w:t>Maldives</w:t>
          </w:r>
        </w:smartTag>
      </w:smartTag>
      <w:r w:rsidRPr="00C5494E">
        <w:rPr>
          <w:bCs/>
        </w:rPr>
        <w:t xml:space="preserve">, whose licence fees (5 </w:t>
      </w:r>
      <w:r w:rsidR="000F4A58" w:rsidRPr="00C5494E">
        <w:rPr>
          <w:bCs/>
        </w:rPr>
        <w:t>per cent</w:t>
      </w:r>
      <w:r w:rsidRPr="00C5494E">
        <w:rPr>
          <w:bCs/>
        </w:rPr>
        <w:t xml:space="preserve"> ISPs revenues) seem also relatively high (e.g. the whole budget of the Spanish regulator is financed by a tax levied on operators’ revenues, which is limited to a maximum of 2 per thousand).</w:t>
      </w:r>
    </w:p>
    <w:p w:rsidR="00C33BC4" w:rsidRPr="00C5494E" w:rsidRDefault="00C33BC4" w:rsidP="00C33BC4">
      <w:pPr>
        <w:rPr>
          <w:bCs/>
        </w:rPr>
      </w:pPr>
      <w:r w:rsidRPr="00C5494E">
        <w:rPr>
          <w:bCs/>
        </w:rPr>
        <w:t xml:space="preserve">It is worth mentioning the initiatives in </w:t>
      </w:r>
      <w:smartTag w:uri="urn:schemas-microsoft-com:office:smarttags" w:element="country-region">
        <w:r w:rsidRPr="00C5494E">
          <w:rPr>
            <w:bCs/>
          </w:rPr>
          <w:t>Maldives</w:t>
        </w:r>
      </w:smartTag>
      <w:r w:rsidRPr="00C5494E">
        <w:rPr>
          <w:bCs/>
        </w:rPr>
        <w:t xml:space="preserve"> and </w:t>
      </w:r>
      <w:smartTag w:uri="urn:schemas-microsoft-com:office:smarttags" w:element="place">
        <w:smartTag w:uri="urn:schemas-microsoft-com:office:smarttags" w:element="country-region">
          <w:r w:rsidRPr="00C5494E">
            <w:rPr>
              <w:bCs/>
            </w:rPr>
            <w:t>Nepal</w:t>
          </w:r>
        </w:smartTag>
      </w:smartTag>
      <w:r w:rsidRPr="00C5494E">
        <w:rPr>
          <w:bCs/>
        </w:rPr>
        <w:t xml:space="preserve"> of having special licensing conditions for rural ISP. Indeed, </w:t>
      </w:r>
      <w:r w:rsidR="00834B63" w:rsidRPr="00C5494E">
        <w:rPr>
          <w:bCs/>
        </w:rPr>
        <w:t>favourable</w:t>
      </w:r>
      <w:r w:rsidRPr="00C5494E">
        <w:rPr>
          <w:bCs/>
        </w:rPr>
        <w:t xml:space="preserve"> licensing conditions for rural ISP may incentivize the entrance of new ISP in rural areas. Such initiatives could be also extended to other ABBMN countries. </w:t>
      </w:r>
    </w:p>
    <w:p w:rsidR="00C33BC4" w:rsidRPr="00C5494E" w:rsidRDefault="00322A81" w:rsidP="00322A81">
      <w:pPr>
        <w:rPr>
          <w:bCs/>
        </w:rPr>
      </w:pPr>
      <w:r w:rsidRPr="00C5494E">
        <w:rPr>
          <w:bCs/>
        </w:rPr>
        <w:t xml:space="preserve">Concerning the time an undertaking may have to wait to be granted a licence, in the case of ISP licences, where no competitive selection is involved, the process should be short. In </w:t>
      </w:r>
      <w:smartTag w:uri="urn:schemas-microsoft-com:office:smarttags" w:element="place">
        <w:smartTag w:uri="urn:schemas-microsoft-com:office:smarttags" w:element="country-region">
          <w:r w:rsidRPr="00C5494E">
            <w:rPr>
              <w:bCs/>
            </w:rPr>
            <w:t>Afghanistan</w:t>
          </w:r>
        </w:smartTag>
      </w:smartTag>
      <w:r w:rsidRPr="00C5494E">
        <w:rPr>
          <w:bCs/>
        </w:rPr>
        <w:t xml:space="preserve"> the time bracket seems to be too wide (from three weeks to more than three months), which opens the door to discretionary response times. The remaining ABBMN countries have reasonable time lapses.</w:t>
      </w:r>
    </w:p>
    <w:p w:rsidR="00C33BC4" w:rsidRPr="00C5494E" w:rsidRDefault="00322A81" w:rsidP="00322A81">
      <w:pPr>
        <w:rPr>
          <w:bCs/>
        </w:rPr>
      </w:pPr>
      <w:r w:rsidRPr="00C5494E">
        <w:rPr>
          <w:bCs/>
        </w:rPr>
        <w:t>In addition to expeditious authorization for the provision of broadband services, licensing of mobile broadband spectrum plays a crucial role in broadband development. Chart 4.7 shows the number of mobile broadband licences by type of technology (3G and WiMAX) issued in ABBMN countries.</w:t>
      </w:r>
    </w:p>
    <w:p w:rsidR="00C33BC4" w:rsidRPr="00C5494E" w:rsidRDefault="00C33BC4" w:rsidP="00C33BC4"/>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C33BC4" w:rsidRPr="00DC056F" w:rsidTr="00FB239F">
        <w:trPr>
          <w:jc w:val="center"/>
        </w:trPr>
        <w:tc>
          <w:tcPr>
            <w:tcW w:w="9424" w:type="dxa"/>
            <w:shd w:val="clear" w:color="auto" w:fill="D9D9D9" w:themeFill="background1" w:themeFillShade="D9"/>
          </w:tcPr>
          <w:p w:rsidR="00C33BC4" w:rsidRPr="00C5494E" w:rsidRDefault="00C33BC4" w:rsidP="00C33BC4">
            <w:pPr>
              <w:pStyle w:val="FigureNoTitle"/>
              <w:rPr>
                <w:lang w:val="en-GB"/>
              </w:rPr>
            </w:pPr>
            <w:r w:rsidRPr="00C5494E">
              <w:rPr>
                <w:lang w:val="en-GB"/>
              </w:rPr>
              <w:lastRenderedPageBreak/>
              <w:t>Chart 4.7: Number of mobil</w:t>
            </w:r>
            <w:r w:rsidR="00322A81" w:rsidRPr="00C5494E">
              <w:rPr>
                <w:lang w:val="en-GB"/>
              </w:rPr>
              <w:t>e broadband licenc</w:t>
            </w:r>
            <w:r w:rsidRPr="00C5494E">
              <w:rPr>
                <w:lang w:val="en-GB"/>
              </w:rPr>
              <w:t>es issued in ABBMN countries, June 2010.</w:t>
            </w:r>
          </w:p>
          <w:p w:rsidR="00C33BC4" w:rsidRPr="00C5494E" w:rsidRDefault="00C33BC4" w:rsidP="00FB239F">
            <w:pPr>
              <w:pStyle w:val="Figure"/>
              <w:rPr>
                <w:lang w:val="en-GB"/>
              </w:rPr>
            </w:pPr>
            <w:r w:rsidRPr="00C5494E">
              <w:drawing>
                <wp:inline distT="0" distB="0" distL="0" distR="0">
                  <wp:extent cx="5600700" cy="3086100"/>
                  <wp:effectExtent l="0" t="0" r="0" b="0"/>
                  <wp:docPr id="14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cstate="print">
                            <a:clrChange>
                              <a:clrFrom>
                                <a:srgbClr val="969696"/>
                              </a:clrFrom>
                              <a:clrTo>
                                <a:srgbClr val="969696">
                                  <a:alpha val="0"/>
                                </a:srgbClr>
                              </a:clrTo>
                            </a:clrChange>
                            <a:duotone>
                              <a:schemeClr val="accent2">
                                <a:shade val="45000"/>
                                <a:satMod val="135000"/>
                              </a:schemeClr>
                              <a:prstClr val="white"/>
                            </a:duotone>
                            <a:lum/>
                          </a:blip>
                          <a:srcRect/>
                          <a:stretch>
                            <a:fillRect/>
                          </a:stretch>
                        </pic:blipFill>
                        <pic:spPr bwMode="auto">
                          <a:xfrm>
                            <a:off x="0" y="0"/>
                            <a:ext cx="5600700" cy="3086100"/>
                          </a:xfrm>
                          <a:prstGeom prst="rect">
                            <a:avLst/>
                          </a:prstGeom>
                          <a:noFill/>
                          <a:ln w="9525">
                            <a:noFill/>
                            <a:miter lim="800000"/>
                            <a:headEnd/>
                            <a:tailEnd/>
                          </a:ln>
                        </pic:spPr>
                      </pic:pic>
                    </a:graphicData>
                  </a:graphic>
                </wp:inline>
              </w:drawing>
            </w:r>
          </w:p>
          <w:p w:rsidR="00C33BC4" w:rsidRPr="00C5494E" w:rsidRDefault="00C33BC4" w:rsidP="000F4A58">
            <w:pPr>
              <w:pStyle w:val="Figurelegend"/>
            </w:pPr>
            <w:r w:rsidRPr="00C5494E">
              <w:t>* WiMAX licen</w:t>
            </w:r>
            <w:r w:rsidR="000F4A58" w:rsidRPr="00C5494E">
              <w:t>c</w:t>
            </w:r>
            <w:r w:rsidRPr="00C5494E">
              <w:t>es granted on a temporary basis, while the bidding process is ongoing.</w:t>
            </w:r>
          </w:p>
          <w:p w:rsidR="00C33BC4" w:rsidRPr="0048461C" w:rsidRDefault="00C33BC4" w:rsidP="00C33BC4">
            <w:pPr>
              <w:pStyle w:val="Figurelegend"/>
              <w:spacing w:before="0"/>
              <w:rPr>
                <w:lang w:val="fr-CH"/>
              </w:rPr>
            </w:pPr>
            <w:r w:rsidRPr="0048461C">
              <w:rPr>
                <w:i/>
                <w:iCs/>
                <w:lang w:val="fr-CH"/>
              </w:rPr>
              <w:t>Source</w:t>
            </w:r>
            <w:r w:rsidRPr="0048461C">
              <w:rPr>
                <w:lang w:val="fr-CH"/>
              </w:rPr>
              <w:t>: ITU ABBMN questionnaire (</w:t>
            </w:r>
            <w:proofErr w:type="spellStart"/>
            <w:r w:rsidRPr="0048461C">
              <w:rPr>
                <w:lang w:val="fr-CH"/>
              </w:rPr>
              <w:t>June</w:t>
            </w:r>
            <w:proofErr w:type="spellEnd"/>
            <w:r w:rsidRPr="0048461C">
              <w:rPr>
                <w:lang w:val="fr-CH"/>
              </w:rPr>
              <w:t xml:space="preserve"> 2010).</w:t>
            </w:r>
          </w:p>
        </w:tc>
      </w:tr>
    </w:tbl>
    <w:p w:rsidR="00C33BC4" w:rsidRPr="0048461C" w:rsidRDefault="00C33BC4" w:rsidP="00C33BC4">
      <w:pPr>
        <w:rPr>
          <w:bCs/>
          <w:lang w:val="fr-CH"/>
        </w:rPr>
      </w:pPr>
    </w:p>
    <w:p w:rsidR="00C33BC4" w:rsidRPr="00C5494E" w:rsidRDefault="00322A81" w:rsidP="00322A81">
      <w:pPr>
        <w:rPr>
          <w:bCs/>
        </w:rPr>
      </w:pPr>
      <w:smartTag w:uri="urn:schemas-microsoft-com:office:smarttags" w:element="place">
        <w:smartTag w:uri="urn:schemas-microsoft-com:office:smarttags" w:element="country-region">
          <w:r w:rsidRPr="00C5494E">
            <w:rPr>
              <w:bCs/>
            </w:rPr>
            <w:t>Maldives</w:t>
          </w:r>
        </w:smartTag>
      </w:smartTag>
      <w:r w:rsidRPr="00C5494E">
        <w:rPr>
          <w:bCs/>
        </w:rPr>
        <w:t xml:space="preserve"> is the only ABBMN country that has issued both 3G and WiMAX licences.</w:t>
      </w:r>
      <w:r w:rsidRPr="00C5494E">
        <w:rPr>
          <w:bCs/>
          <w:vertAlign w:val="superscript"/>
        </w:rPr>
        <w:footnoteReference w:id="64"/>
      </w:r>
      <w:r w:rsidRPr="00C5494E">
        <w:rPr>
          <w:bCs/>
        </w:rPr>
        <w:t xml:space="preserve"> In </w:t>
      </w:r>
      <w:smartTag w:uri="urn:schemas-microsoft-com:office:smarttags" w:element="country-region">
        <w:r w:rsidRPr="00C5494E">
          <w:rPr>
            <w:bCs/>
          </w:rPr>
          <w:t>Bhutan</w:t>
        </w:r>
      </w:smartTag>
      <w:r w:rsidRPr="00C5494E">
        <w:rPr>
          <w:bCs/>
        </w:rPr>
        <w:t xml:space="preserve"> and </w:t>
      </w:r>
      <w:smartTag w:uri="urn:schemas-microsoft-com:office:smarttags" w:element="country-region">
        <w:smartTag w:uri="urn:schemas-microsoft-com:office:smarttags" w:element="place">
          <w:r w:rsidRPr="00C5494E">
            <w:rPr>
              <w:bCs/>
            </w:rPr>
            <w:t>Nepal</w:t>
          </w:r>
        </w:smartTag>
      </w:smartTag>
      <w:r w:rsidRPr="00C5494E">
        <w:rPr>
          <w:bCs/>
        </w:rPr>
        <w:t xml:space="preserve"> only one 3G licence has been awarded, in both cases to the incumbent. In </w:t>
      </w:r>
      <w:smartTag w:uri="urn:schemas-microsoft-com:office:smarttags" w:element="country-region">
        <w:r w:rsidRPr="00C5494E">
          <w:rPr>
            <w:bCs/>
          </w:rPr>
          <w:t>Maldives</w:t>
        </w:r>
      </w:smartTag>
      <w:r w:rsidRPr="00C5494E">
        <w:rPr>
          <w:bCs/>
        </w:rPr>
        <w:t xml:space="preserve"> one 3G licence has been awarded to a fully private firm (</w:t>
      </w:r>
      <w:proofErr w:type="spellStart"/>
      <w:r w:rsidRPr="00C5494E">
        <w:rPr>
          <w:bCs/>
        </w:rPr>
        <w:t>Wataniya</w:t>
      </w:r>
      <w:proofErr w:type="spellEnd"/>
      <w:r w:rsidRPr="00C5494E">
        <w:rPr>
          <w:bCs/>
        </w:rPr>
        <w:t xml:space="preserve">), while the other 3G licence and a WiMAX one have been granted to </w:t>
      </w:r>
      <w:proofErr w:type="spellStart"/>
      <w:r w:rsidRPr="00C5494E">
        <w:rPr>
          <w:bCs/>
        </w:rPr>
        <w:t>Dhiraagu</w:t>
      </w:r>
      <w:proofErr w:type="spellEnd"/>
      <w:r w:rsidRPr="00C5494E">
        <w:rPr>
          <w:bCs/>
        </w:rPr>
        <w:t xml:space="preserve">, the historical national telecommunications carrier of </w:t>
      </w:r>
      <w:smartTag w:uri="urn:schemas-microsoft-com:office:smarttags" w:element="country-region">
        <w:smartTag w:uri="urn:schemas-microsoft-com:office:smarttags" w:element="place">
          <w:r w:rsidRPr="00C5494E">
            <w:rPr>
              <w:bCs/>
            </w:rPr>
            <w:t>Maldives</w:t>
          </w:r>
        </w:smartTag>
      </w:smartTag>
      <w:r w:rsidRPr="00C5494E">
        <w:rPr>
          <w:bCs/>
        </w:rPr>
        <w:t xml:space="preserve">. This highlights the limited involvement of private investment in IMT-2000 licensing processes in </w:t>
      </w:r>
      <w:smartTag w:uri="urn:schemas-microsoft-com:office:smarttags" w:element="country-region">
        <w:r w:rsidRPr="00C5494E">
          <w:rPr>
            <w:bCs/>
          </w:rPr>
          <w:t>Bhutan</w:t>
        </w:r>
      </w:smartTag>
      <w:r w:rsidRPr="00C5494E">
        <w:rPr>
          <w:bCs/>
        </w:rPr>
        <w:t xml:space="preserve">, </w:t>
      </w:r>
      <w:smartTag w:uri="urn:schemas-microsoft-com:office:smarttags" w:element="country-region">
        <w:r w:rsidRPr="00C5494E">
          <w:rPr>
            <w:bCs/>
          </w:rPr>
          <w:t>Maldives</w:t>
        </w:r>
      </w:smartTag>
      <w:r w:rsidRPr="00C5494E">
        <w:rPr>
          <w:bCs/>
        </w:rPr>
        <w:t xml:space="preserve"> and </w:t>
      </w:r>
      <w:smartTag w:uri="urn:schemas-microsoft-com:office:smarttags" w:element="country-region">
        <w:smartTag w:uri="urn:schemas-microsoft-com:office:smarttags" w:element="place">
          <w:r w:rsidRPr="00C5494E">
            <w:rPr>
              <w:bCs/>
            </w:rPr>
            <w:t>Nepal</w:t>
          </w:r>
        </w:smartTag>
      </w:smartTag>
      <w:r w:rsidRPr="00C5494E">
        <w:rPr>
          <w:bCs/>
        </w:rPr>
        <w:t xml:space="preserve">. In contrast, </w:t>
      </w:r>
      <w:smartTag w:uri="urn:schemas-microsoft-com:office:smarttags" w:element="country-region">
        <w:r w:rsidRPr="00C5494E">
          <w:rPr>
            <w:bCs/>
          </w:rPr>
          <w:t>Afghanistan</w:t>
        </w:r>
      </w:smartTag>
      <w:r w:rsidRPr="00C5494E">
        <w:rPr>
          <w:bCs/>
        </w:rPr>
        <w:t xml:space="preserve"> and </w:t>
      </w:r>
      <w:smartTag w:uri="urn:schemas-microsoft-com:office:smarttags" w:element="place">
        <w:smartTag w:uri="urn:schemas-microsoft-com:office:smarttags" w:element="country-region">
          <w:r w:rsidRPr="00C5494E">
            <w:rPr>
              <w:bCs/>
            </w:rPr>
            <w:t>Bangladesh</w:t>
          </w:r>
        </w:smartTag>
      </w:smartTag>
      <w:r w:rsidRPr="00C5494E">
        <w:rPr>
          <w:bCs/>
        </w:rPr>
        <w:t xml:space="preserve"> have awarded their WiMAX licences to fully private investors.</w:t>
      </w:r>
    </w:p>
    <w:p w:rsidR="00C33BC4" w:rsidRPr="00C5494E" w:rsidRDefault="00322A81" w:rsidP="00527AA9">
      <w:pPr>
        <w:rPr>
          <w:bCs/>
        </w:rPr>
      </w:pPr>
      <w:r w:rsidRPr="00C5494E">
        <w:rPr>
          <w:bCs/>
        </w:rPr>
        <w:t xml:space="preserve">In the case of </w:t>
      </w:r>
      <w:smartTag w:uri="urn:schemas-microsoft-com:office:smarttags" w:element="country-region">
        <w:r w:rsidRPr="00C5494E">
          <w:rPr>
            <w:bCs/>
          </w:rPr>
          <w:t>Afghanistan</w:t>
        </w:r>
      </w:smartTag>
      <w:r w:rsidRPr="00C5494E">
        <w:rPr>
          <w:bCs/>
        </w:rPr>
        <w:t xml:space="preserve"> and </w:t>
      </w:r>
      <w:smartTag w:uri="urn:schemas-microsoft-com:office:smarttags" w:element="country-region">
        <w:smartTag w:uri="urn:schemas-microsoft-com:office:smarttags" w:element="place">
          <w:r w:rsidRPr="00C5494E">
            <w:rPr>
              <w:bCs/>
            </w:rPr>
            <w:t>Bangladesh</w:t>
          </w:r>
        </w:smartTag>
      </w:smartTag>
      <w:r w:rsidRPr="00C5494E">
        <w:rPr>
          <w:bCs/>
        </w:rPr>
        <w:t>, where 3G licences have not yet been awarded, it is important to keep in mind that operators will only have interest in rolling out the new 3G networks in those zones where it makes economic sense. Without some public support, there will probably be some rural/remote areas excluded from the roll-out. Indeed, rural areas have (i) higher roll-out costs, and (ii) in most developing countries, lower average revenue per user (ARPU), that is, people spend less money in telecommunication services. Both factors make the 3G business case more difficult in these areas, especially in developing countries, where ARPU is already low when compared to that of the developed world. Additionally, the demand for mobile data services</w:t>
      </w:r>
      <w:r w:rsidR="00527AA9" w:rsidRPr="00C5494E">
        <w:rPr>
          <w:bCs/>
        </w:rPr>
        <w:t>,</w:t>
      </w:r>
      <w:r w:rsidRPr="00C5494E">
        <w:rPr>
          <w:bCs/>
        </w:rPr>
        <w:t xml:space="preserve"> which should ultimately drive the 3G business case</w:t>
      </w:r>
      <w:r w:rsidR="00527AA9" w:rsidRPr="00C5494E">
        <w:rPr>
          <w:bCs/>
        </w:rPr>
        <w:t>,</w:t>
      </w:r>
      <w:r w:rsidRPr="00C5494E">
        <w:rPr>
          <w:bCs/>
        </w:rPr>
        <w:t xml:space="preserve"> is not as strong in developing countries as in developed ones. As a first step to deal with these issues, </w:t>
      </w:r>
      <w:smartTag w:uri="urn:schemas-microsoft-com:office:smarttags" w:element="country-region">
        <w:r w:rsidRPr="00C5494E">
          <w:rPr>
            <w:bCs/>
          </w:rPr>
          <w:t>Afghanistan</w:t>
        </w:r>
      </w:smartTag>
      <w:r w:rsidRPr="00C5494E">
        <w:rPr>
          <w:bCs/>
        </w:rPr>
        <w:t xml:space="preserve"> and </w:t>
      </w:r>
      <w:smartTag w:uri="urn:schemas-microsoft-com:office:smarttags" w:element="country-region">
        <w:smartTag w:uri="urn:schemas-microsoft-com:office:smarttags" w:element="place">
          <w:r w:rsidRPr="00C5494E">
            <w:rPr>
              <w:bCs/>
            </w:rPr>
            <w:t>Bangladesh</w:t>
          </w:r>
        </w:smartTag>
      </w:smartTag>
      <w:r w:rsidRPr="00C5494E">
        <w:rPr>
          <w:bCs/>
        </w:rPr>
        <w:t xml:space="preserve"> could elaborate a study on the estimated costs of 3G roll</w:t>
      </w:r>
      <w:r w:rsidR="00527AA9" w:rsidRPr="00C5494E">
        <w:rPr>
          <w:bCs/>
        </w:rPr>
        <w:t>-</w:t>
      </w:r>
      <w:r w:rsidRPr="00C5494E">
        <w:rPr>
          <w:bCs/>
        </w:rPr>
        <w:t>out, and benchmark them against different revenue scenarios. The results of such a study could set the reasonable expectations for 3G roll-out, and be a starting point for the discussion between policy</w:t>
      </w:r>
      <w:r w:rsidR="00527AA9" w:rsidRPr="00C5494E">
        <w:rPr>
          <w:bCs/>
        </w:rPr>
        <w:t>-</w:t>
      </w:r>
      <w:r w:rsidRPr="00C5494E">
        <w:rPr>
          <w:bCs/>
        </w:rPr>
        <w:t>makers and operators on how to cooperate in order to bring 3G coverage to rural/remote areas.</w:t>
      </w:r>
    </w:p>
    <w:p w:rsidR="006423A3" w:rsidRPr="00C5494E" w:rsidRDefault="006423A3" w:rsidP="000F4A58">
      <w:pPr>
        <w:rPr>
          <w:bCs/>
        </w:rPr>
      </w:pPr>
      <w:r w:rsidRPr="00C5494E">
        <w:rPr>
          <w:bCs/>
        </w:rPr>
        <w:t>In most cases, IMT-2000 licen</w:t>
      </w:r>
      <w:r w:rsidR="000F4A58" w:rsidRPr="00C5494E">
        <w:rPr>
          <w:bCs/>
        </w:rPr>
        <w:t>c</w:t>
      </w:r>
      <w:r w:rsidRPr="00C5494E">
        <w:rPr>
          <w:bCs/>
        </w:rPr>
        <w:t xml:space="preserve">es in ABBMN countries impose some coverage obligations, although they do not refer specifically to rural/underserved areas. In the case of </w:t>
      </w:r>
      <w:smartTag w:uri="urn:schemas-microsoft-com:office:smarttags" w:element="place">
        <w:smartTag w:uri="urn:schemas-microsoft-com:office:smarttags" w:element="country-region">
          <w:r w:rsidRPr="00C5494E">
            <w:rPr>
              <w:bCs/>
            </w:rPr>
            <w:t>Bangladesh</w:t>
          </w:r>
        </w:smartTag>
      </w:smartTag>
      <w:r w:rsidRPr="00C5494E">
        <w:rPr>
          <w:bCs/>
        </w:rPr>
        <w:t xml:space="preserve">, obligations are also imposed on </w:t>
      </w:r>
      <w:r w:rsidRPr="00C5494E">
        <w:rPr>
          <w:bCs/>
        </w:rPr>
        <w:lastRenderedPageBreak/>
        <w:t xml:space="preserve">the minimum number of subscriptions to be achieved by WiMAX licensees. </w:t>
      </w:r>
      <w:smartTag w:uri="urn:schemas-microsoft-com:office:smarttags" w:element="place">
        <w:smartTag w:uri="urn:schemas-microsoft-com:office:smarttags" w:element="country-region">
          <w:r w:rsidRPr="00C5494E">
            <w:rPr>
              <w:bCs/>
            </w:rPr>
            <w:t>Maldives</w:t>
          </w:r>
        </w:smartTag>
      </w:smartTag>
      <w:r w:rsidRPr="00C5494E">
        <w:rPr>
          <w:bCs/>
        </w:rPr>
        <w:t xml:space="preserve"> is the only ABBMN country with neither geographic nor population coverage obligations attached to its mobile broadband licences.</w:t>
      </w:r>
    </w:p>
    <w:p w:rsidR="006423A3" w:rsidRPr="00C5494E" w:rsidRDefault="006423A3" w:rsidP="006423A3">
      <w:pPr>
        <w:rPr>
          <w:bCs/>
        </w:rPr>
      </w:pPr>
      <w:r w:rsidRPr="00C5494E">
        <w:rPr>
          <w:bCs/>
        </w:rPr>
        <w:t xml:space="preserve">All countries except </w:t>
      </w:r>
      <w:smartTag w:uri="urn:schemas-microsoft-com:office:smarttags" w:element="place">
        <w:smartTag w:uri="urn:schemas-microsoft-com:office:smarttags" w:element="country-region">
          <w:r w:rsidRPr="00C5494E">
            <w:rPr>
              <w:bCs/>
            </w:rPr>
            <w:t>Bhutan</w:t>
          </w:r>
        </w:smartTag>
      </w:smartTag>
      <w:r w:rsidRPr="00C5494E">
        <w:rPr>
          <w:bCs/>
        </w:rPr>
        <w:t xml:space="preserve"> have carried out or are planning spectrum </w:t>
      </w:r>
      <w:proofErr w:type="spellStart"/>
      <w:r w:rsidRPr="00C5494E">
        <w:rPr>
          <w:bCs/>
        </w:rPr>
        <w:t>refarming</w:t>
      </w:r>
      <w:proofErr w:type="spellEnd"/>
      <w:r w:rsidRPr="00C5494E">
        <w:rPr>
          <w:bCs/>
        </w:rPr>
        <w:t xml:space="preserve"> to reassign new bands to wireless broadband services. This will open new opportunities for further competition in wireless broadband markets, in some cases entailing the release of premium bands for extended rural coverage (e.g. the 700 MHz band of the digital dividend will be freed in </w:t>
      </w:r>
      <w:smartTag w:uri="urn:schemas-microsoft-com:office:smarttags" w:element="place">
        <w:smartTag w:uri="urn:schemas-microsoft-com:office:smarttags" w:element="country-region">
          <w:r w:rsidRPr="00C5494E">
            <w:rPr>
              <w:bCs/>
            </w:rPr>
            <w:t>Bangladesh</w:t>
          </w:r>
        </w:smartTag>
      </w:smartTag>
      <w:r w:rsidRPr="00C5494E">
        <w:rPr>
          <w:bCs/>
        </w:rPr>
        <w:t>, and allocated</w:t>
      </w:r>
      <w:r w:rsidRPr="00C5494E">
        <w:rPr>
          <w:bCs/>
          <w:vertAlign w:val="superscript"/>
        </w:rPr>
        <w:footnoteReference w:id="65"/>
      </w:r>
      <w:r w:rsidRPr="00C5494E">
        <w:rPr>
          <w:bCs/>
        </w:rPr>
        <w:t xml:space="preserve"> for LTE services).</w:t>
      </w:r>
    </w:p>
    <w:p w:rsidR="006423A3" w:rsidRPr="00C5494E" w:rsidRDefault="006423A3" w:rsidP="00011BA4">
      <w:pPr>
        <w:rPr>
          <w:bCs/>
        </w:rPr>
      </w:pPr>
      <w:r w:rsidRPr="00C5494E">
        <w:rPr>
          <w:bCs/>
        </w:rPr>
        <w:t xml:space="preserve">Lastly, </w:t>
      </w:r>
      <w:smartTag w:uri="urn:schemas-microsoft-com:office:smarttags" w:element="place">
        <w:smartTag w:uri="urn:schemas-microsoft-com:office:smarttags" w:element="country-region">
          <w:r w:rsidRPr="00C5494E">
            <w:rPr>
              <w:bCs/>
            </w:rPr>
            <w:t>Maldives</w:t>
          </w:r>
        </w:smartTag>
      </w:smartTag>
      <w:r w:rsidRPr="00C5494E">
        <w:rPr>
          <w:bCs/>
        </w:rPr>
        <w:t xml:space="preserve"> is the only country where no licen</w:t>
      </w:r>
      <w:r w:rsidR="000F4A58" w:rsidRPr="00C5494E">
        <w:rPr>
          <w:bCs/>
        </w:rPr>
        <w:t>c</w:t>
      </w:r>
      <w:r w:rsidRPr="00C5494E">
        <w:rPr>
          <w:bCs/>
        </w:rPr>
        <w:t xml:space="preserve">e-free </w:t>
      </w:r>
      <w:r w:rsidR="000F4A58" w:rsidRPr="00C5494E">
        <w:rPr>
          <w:bCs/>
        </w:rPr>
        <w:t>Wi-Fi</w:t>
      </w:r>
      <w:r w:rsidRPr="00C5494E">
        <w:rPr>
          <w:bCs/>
        </w:rPr>
        <w:t xml:space="preserve"> bands have been allocated. </w:t>
      </w:r>
      <w:r w:rsidR="000F4A58" w:rsidRPr="00C5494E">
        <w:rPr>
          <w:bCs/>
        </w:rPr>
        <w:t>Wi-Fi</w:t>
      </w:r>
      <w:r w:rsidRPr="00C5494E">
        <w:rPr>
          <w:bCs/>
        </w:rPr>
        <w:t xml:space="preserve"> hotspots are a good complement to mobile broadband networks, because they can discharge part of their traffic to fixed networks with much bigger backhaul capacity.</w:t>
      </w:r>
    </w:p>
    <w:p w:rsidR="00C33BC4" w:rsidRPr="00C5494E" w:rsidRDefault="00C33BC4" w:rsidP="00C33BC4">
      <w:pPr>
        <w:pStyle w:val="Heading2"/>
      </w:pPr>
      <w:bookmarkStart w:id="55" w:name="_Toc273517405"/>
      <w:bookmarkStart w:id="56" w:name="_Toc273623639"/>
      <w:r w:rsidRPr="00C5494E">
        <w:t>4.7</w:t>
      </w:r>
      <w:r w:rsidRPr="00C5494E">
        <w:tab/>
        <w:t>COMPETITION</w:t>
      </w:r>
      <w:bookmarkEnd w:id="55"/>
      <w:bookmarkEnd w:id="56"/>
      <w:r w:rsidRPr="00C5494E">
        <w:t xml:space="preserve"> </w:t>
      </w:r>
    </w:p>
    <w:p w:rsidR="00C33BC4" w:rsidRPr="00C5494E" w:rsidRDefault="00C33BC4" w:rsidP="00527AA9">
      <w:r w:rsidRPr="00C5494E">
        <w:t>Competition is one of the main drivers of broadband uptake. A strong competitive environment will create incentives for different players to offer reduced prices and innovative services. The liberalization of telecommunication markets has provided evidence of the beneficial effects of stronger competition. The most flagrant example of the impact of competition in ICT uptake is the case of mobile cellular markets worldwide, which have witnessed in the last decade the highest penetration increase of any ICT service up to date. Indeed, the opening of national mobile cellular markets to new competing players has been one of the main factors to spur the reduction of prices of handsets and calls, as well as to incentivize the creation of innovative services.</w:t>
      </w:r>
      <w:r w:rsidRPr="00C5494E">
        <w:rPr>
          <w:vertAlign w:val="superscript"/>
        </w:rPr>
        <w:footnoteReference w:id="66"/>
      </w:r>
      <w:r w:rsidRPr="00C5494E">
        <w:t xml:space="preserve"> </w:t>
      </w:r>
    </w:p>
    <w:p w:rsidR="00C33BC4" w:rsidRPr="00C5494E" w:rsidRDefault="00C33BC4" w:rsidP="00C33BC4">
      <w:r w:rsidRPr="00C5494E">
        <w:t>ITU has highlighted the importance of strengthening competition in broadband markets in order to increase broadband penetration and bridge the broadband divide in Asia and the Pacific (ITU, 2010b, 2009b). In the case of ABBMN countries, the promotion of competition in both fixed and mobile broadband markets should be one of the main regulatory objectives. As it has been mentioned in Section 4.5, a gradual approach would focus first on creating an enabling environment for operators to offer broadband services in a competitive environment, and concentrate public funds in those rural/underserved areas where there are not enough incentives for undertakings to offer their services.</w:t>
      </w:r>
    </w:p>
    <w:p w:rsidR="00C33BC4" w:rsidRPr="00C5494E" w:rsidRDefault="00C33BC4" w:rsidP="00C33BC4">
      <w:r w:rsidRPr="00C5494E">
        <w:t xml:space="preserve">The following section analyzes competition in ABBMN broadband markets. Bhutan and Maldives are not included in the </w:t>
      </w:r>
      <w:r w:rsidR="00527AA9" w:rsidRPr="00C5494E">
        <w:t>analyzis</w:t>
      </w:r>
      <w:r w:rsidRPr="00C5494E">
        <w:t xml:space="preserve"> due to lack of data.</w:t>
      </w:r>
    </w:p>
    <w:p w:rsidR="00C33BC4" w:rsidRPr="00C5494E" w:rsidRDefault="00C33BC4" w:rsidP="00C33BC4">
      <w:pPr>
        <w:pStyle w:val="Headingb"/>
        <w:rPr>
          <w:lang w:val="en-GB"/>
        </w:rPr>
      </w:pPr>
      <w:r w:rsidRPr="00C5494E">
        <w:rPr>
          <w:lang w:val="en-GB"/>
        </w:rPr>
        <w:t xml:space="preserve">Afghanistan </w:t>
      </w:r>
    </w:p>
    <w:p w:rsidR="00C33BC4" w:rsidRPr="00C5494E" w:rsidRDefault="00C33BC4" w:rsidP="00C33BC4">
      <w:pPr>
        <w:rPr>
          <w:bCs/>
        </w:rPr>
      </w:pPr>
      <w:r w:rsidRPr="00C5494E">
        <w:rPr>
          <w:bCs/>
        </w:rPr>
        <w:t xml:space="preserve">In Afghanistan, fixed broadband providers offer their services through VSAT, WiMAX, and </w:t>
      </w:r>
      <w:r w:rsidR="000F4A58" w:rsidRPr="00C5494E">
        <w:rPr>
          <w:bCs/>
        </w:rPr>
        <w:t>Wi-Fi</w:t>
      </w:r>
      <w:r w:rsidRPr="00C5494E">
        <w:rPr>
          <w:bCs/>
        </w:rPr>
        <w:t xml:space="preserve"> technologies. Due to the lack of separate data on narrowband and broadband subscriptions, the </w:t>
      </w:r>
      <w:r w:rsidR="00527AA9" w:rsidRPr="00C5494E">
        <w:rPr>
          <w:bCs/>
        </w:rPr>
        <w:t>analyzis</w:t>
      </w:r>
      <w:r w:rsidRPr="00C5494E">
        <w:rPr>
          <w:bCs/>
        </w:rPr>
        <w:t xml:space="preserve"> is limited to the competitive situation of ISPs, regardless of whether they offer narrowband or broadband services. </w:t>
      </w:r>
    </w:p>
    <w:p w:rsidR="00C33BC4" w:rsidRPr="00C5494E" w:rsidRDefault="00322A81" w:rsidP="00527AA9">
      <w:pPr>
        <w:rPr>
          <w:bCs/>
        </w:rPr>
      </w:pPr>
      <w:r w:rsidRPr="00C5494E">
        <w:rPr>
          <w:bCs/>
        </w:rPr>
        <w:t xml:space="preserve">Chart 4.8 shows the distribution of Internet subscriptions to VSAT, WiMAX, </w:t>
      </w:r>
      <w:r w:rsidR="000F4A58" w:rsidRPr="00C5494E">
        <w:rPr>
          <w:bCs/>
        </w:rPr>
        <w:t>Wi-Fi</w:t>
      </w:r>
      <w:r w:rsidRPr="00C5494E">
        <w:rPr>
          <w:bCs/>
        </w:rPr>
        <w:t xml:space="preserve">, and dial-up services in </w:t>
      </w:r>
      <w:smartTag w:uri="urn:schemas-microsoft-com:office:smarttags" w:element="place">
        <w:smartTag w:uri="urn:schemas-microsoft-com:office:smarttags" w:element="country-region">
          <w:r w:rsidRPr="00C5494E">
            <w:rPr>
              <w:bCs/>
            </w:rPr>
            <w:t>Afghanistan</w:t>
          </w:r>
        </w:smartTag>
      </w:smartTag>
      <w:r w:rsidRPr="00C5494E">
        <w:rPr>
          <w:bCs/>
        </w:rPr>
        <w:t xml:space="preserve">. Although New </w:t>
      </w:r>
      <w:proofErr w:type="spellStart"/>
      <w:r w:rsidRPr="00C5494E">
        <w:rPr>
          <w:bCs/>
        </w:rPr>
        <w:t>Dunya</w:t>
      </w:r>
      <w:proofErr w:type="spellEnd"/>
      <w:r w:rsidRPr="00C5494E">
        <w:rPr>
          <w:bCs/>
        </w:rPr>
        <w:t xml:space="preserve"> Telecom has the biggest market share by far, it corresponds to 23 </w:t>
      </w:r>
      <w:r w:rsidR="000F4A58" w:rsidRPr="00C5494E">
        <w:rPr>
          <w:bCs/>
        </w:rPr>
        <w:t>per cent</w:t>
      </w:r>
      <w:r w:rsidRPr="00C5494E">
        <w:rPr>
          <w:bCs/>
        </w:rPr>
        <w:t xml:space="preserve"> of the total, which is less than the usual thresholds that signal a dominant position (e.g. according to European competition law, single dominance concerns arise in the case of undertakings with market shares </w:t>
      </w:r>
      <w:r w:rsidRPr="00C5494E">
        <w:rPr>
          <w:bCs/>
        </w:rPr>
        <w:lastRenderedPageBreak/>
        <w:t xml:space="preserve">above 40 </w:t>
      </w:r>
      <w:r w:rsidR="000F4A58" w:rsidRPr="00C5494E">
        <w:rPr>
          <w:bCs/>
        </w:rPr>
        <w:t>per cent</w:t>
      </w:r>
      <w:r w:rsidRPr="00C5494E">
        <w:rPr>
          <w:bCs/>
        </w:rPr>
        <w:t>).</w:t>
      </w:r>
      <w:r w:rsidRPr="00C5494E">
        <w:rPr>
          <w:bCs/>
          <w:vertAlign w:val="superscript"/>
        </w:rPr>
        <w:footnoteReference w:id="67"/>
      </w:r>
      <w:r w:rsidRPr="00C5494E">
        <w:rPr>
          <w:bCs/>
        </w:rPr>
        <w:t xml:space="preserve"> Moreover, the market is quite fragmented, as proven by the fact that it is approximately equally divided into three shares: the mobile broadband providers, the main four fixed broadband providers, and the remaining 20 fixed broadband providers.</w:t>
      </w:r>
    </w:p>
    <w:p w:rsidR="00C927B0" w:rsidRPr="00C5494E" w:rsidRDefault="00C927B0" w:rsidP="00C927B0">
      <w:pPr>
        <w:rPr>
          <w:bCs/>
        </w:rPr>
      </w:pPr>
      <w:r w:rsidRPr="00C5494E">
        <w:rPr>
          <w:bCs/>
        </w:rPr>
        <w:t xml:space="preserve">In </w:t>
      </w:r>
      <w:smartTag w:uri="urn:schemas-microsoft-com:office:smarttags" w:element="place">
        <w:smartTag w:uri="urn:schemas-microsoft-com:office:smarttags" w:element="country-region">
          <w:r w:rsidRPr="00C5494E">
            <w:rPr>
              <w:bCs/>
            </w:rPr>
            <w:t>Afghanistan</w:t>
          </w:r>
        </w:smartTag>
      </w:smartTag>
      <w:r w:rsidRPr="00C5494E">
        <w:rPr>
          <w:bCs/>
        </w:rPr>
        <w:t xml:space="preserve"> symmetric obligations exists concerning mobile infrastructure sharing, although they are not extended to fixed broadband infrastructure.</w:t>
      </w:r>
    </w:p>
    <w:p w:rsidR="00C33BC4" w:rsidRPr="00C5494E" w:rsidRDefault="00C33BC4" w:rsidP="00011BA4"/>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C927B0" w:rsidRPr="00DC056F" w:rsidTr="00FB239F">
        <w:trPr>
          <w:jc w:val="center"/>
        </w:trPr>
        <w:tc>
          <w:tcPr>
            <w:tcW w:w="9424" w:type="dxa"/>
            <w:shd w:val="clear" w:color="auto" w:fill="D9D9D9" w:themeFill="background1" w:themeFillShade="D9"/>
          </w:tcPr>
          <w:p w:rsidR="00C927B0" w:rsidRPr="00C5494E" w:rsidRDefault="00C927B0" w:rsidP="00C927B0">
            <w:pPr>
              <w:pStyle w:val="FigureNoTitle"/>
              <w:rPr>
                <w:lang w:val="en-GB"/>
              </w:rPr>
            </w:pPr>
            <w:r w:rsidRPr="00C5494E">
              <w:rPr>
                <w:lang w:val="en-GB"/>
              </w:rPr>
              <w:t>Chart 4.8: Market share of ISPs in Afghanistan, May 2010.</w:t>
            </w:r>
          </w:p>
          <w:p w:rsidR="00C927B0" w:rsidRPr="00C5494E" w:rsidRDefault="00C927B0" w:rsidP="00FB239F">
            <w:pPr>
              <w:pStyle w:val="Figure"/>
              <w:rPr>
                <w:lang w:val="en-GB"/>
              </w:rPr>
            </w:pPr>
            <w:r w:rsidRPr="00C5494E">
              <w:drawing>
                <wp:inline distT="0" distB="0" distL="0" distR="0">
                  <wp:extent cx="4895850" cy="2819400"/>
                  <wp:effectExtent l="0" t="0" r="0" b="0"/>
                  <wp:docPr id="14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cstate="print">
                            <a:duotone>
                              <a:schemeClr val="accent2">
                                <a:shade val="45000"/>
                                <a:satMod val="135000"/>
                              </a:schemeClr>
                              <a:prstClr val="white"/>
                            </a:duotone>
                          </a:blip>
                          <a:srcRect t="14943" r="6545"/>
                          <a:stretch>
                            <a:fillRect/>
                          </a:stretch>
                        </pic:blipFill>
                        <pic:spPr bwMode="auto">
                          <a:xfrm>
                            <a:off x="0" y="0"/>
                            <a:ext cx="4895850" cy="2819400"/>
                          </a:xfrm>
                          <a:prstGeom prst="rect">
                            <a:avLst/>
                          </a:prstGeom>
                          <a:noFill/>
                          <a:ln w="9525">
                            <a:noFill/>
                            <a:miter lim="800000"/>
                            <a:headEnd/>
                            <a:tailEnd/>
                          </a:ln>
                        </pic:spPr>
                      </pic:pic>
                    </a:graphicData>
                  </a:graphic>
                </wp:inline>
              </w:drawing>
            </w:r>
          </w:p>
          <w:p w:rsidR="00C927B0" w:rsidRPr="0048461C" w:rsidRDefault="00C927B0" w:rsidP="00C927B0">
            <w:pPr>
              <w:pStyle w:val="Figurelegend"/>
              <w:spacing w:before="240"/>
              <w:rPr>
                <w:lang w:val="fr-CH"/>
              </w:rPr>
            </w:pPr>
            <w:r w:rsidRPr="0048461C">
              <w:rPr>
                <w:i/>
                <w:iCs/>
                <w:lang w:val="fr-CH"/>
              </w:rPr>
              <w:t>Source</w:t>
            </w:r>
            <w:r w:rsidRPr="0048461C">
              <w:rPr>
                <w:lang w:val="fr-CH"/>
              </w:rPr>
              <w:t>: ITU ABBMN questionnaire (</w:t>
            </w:r>
            <w:proofErr w:type="spellStart"/>
            <w:r w:rsidRPr="0048461C">
              <w:rPr>
                <w:lang w:val="fr-CH"/>
              </w:rPr>
              <w:t>June</w:t>
            </w:r>
            <w:proofErr w:type="spellEnd"/>
            <w:r w:rsidRPr="0048461C">
              <w:rPr>
                <w:lang w:val="fr-CH"/>
              </w:rPr>
              <w:t xml:space="preserve"> 2010).</w:t>
            </w:r>
          </w:p>
        </w:tc>
      </w:tr>
    </w:tbl>
    <w:p w:rsidR="00C33BC4" w:rsidRPr="0048461C" w:rsidRDefault="00C33BC4" w:rsidP="00C927B0">
      <w:pPr>
        <w:spacing w:before="0"/>
        <w:rPr>
          <w:bCs/>
          <w:lang w:val="fr-CH"/>
        </w:rPr>
      </w:pPr>
    </w:p>
    <w:p w:rsidR="00C927B0" w:rsidRPr="00C5494E" w:rsidRDefault="00C927B0" w:rsidP="00C927B0">
      <w:pPr>
        <w:pStyle w:val="Headingb"/>
        <w:rPr>
          <w:lang w:val="en-GB"/>
        </w:rPr>
      </w:pPr>
      <w:r w:rsidRPr="00C5494E">
        <w:rPr>
          <w:lang w:val="en-GB"/>
        </w:rPr>
        <w:t xml:space="preserve">Bangladesh </w:t>
      </w:r>
    </w:p>
    <w:p w:rsidR="00C927B0" w:rsidRDefault="00322A81" w:rsidP="00527AA9">
      <w:pPr>
        <w:rPr>
          <w:bCs/>
        </w:rPr>
      </w:pPr>
      <w:r w:rsidRPr="00C5494E">
        <w:t>The country has a unique</w:t>
      </w:r>
      <w:r w:rsidRPr="00C5494E">
        <w:rPr>
          <w:bCs/>
        </w:rPr>
        <w:t xml:space="preserve"> broadband market. The incumbent (BTCL) has a little market share, due to its late entering into the broadband market (its xDSL services were commercially launched in 2009). The two mobile WiMAX licensees are yet in the early stages of their network deployment, which limits their coverage to some parts of Dhaka and </w:t>
      </w:r>
      <w:smartTag w:uri="urn:schemas-microsoft-com:office:smarttags" w:element="place">
        <w:smartTag w:uri="urn:schemas-microsoft-com:office:smarttags" w:element="City">
          <w:r w:rsidRPr="00C5494E">
            <w:rPr>
              <w:bCs/>
            </w:rPr>
            <w:t>Chittagong</w:t>
          </w:r>
        </w:smartTag>
      </w:smartTag>
      <w:r w:rsidRPr="00C5494E">
        <w:rPr>
          <w:bCs/>
        </w:rPr>
        <w:t xml:space="preserve">. Therefore the major part of the broadband market is atomized and divided into relatively small players, none of them with more than 3 </w:t>
      </w:r>
      <w:r w:rsidR="000F4A58" w:rsidRPr="00C5494E">
        <w:rPr>
          <w:bCs/>
        </w:rPr>
        <w:t>per cent</w:t>
      </w:r>
      <w:r w:rsidRPr="00C5494E">
        <w:rPr>
          <w:bCs/>
        </w:rPr>
        <w:t xml:space="preserve"> of the total market share (Chart 4.9).</w:t>
      </w:r>
    </w:p>
    <w:p w:rsidR="00011BA4" w:rsidRPr="00C5494E" w:rsidRDefault="00011BA4" w:rsidP="00527AA9"/>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C927B0" w:rsidRPr="00DC056F" w:rsidTr="00FB239F">
        <w:trPr>
          <w:jc w:val="center"/>
        </w:trPr>
        <w:tc>
          <w:tcPr>
            <w:tcW w:w="9424" w:type="dxa"/>
            <w:shd w:val="clear" w:color="auto" w:fill="D9D9D9" w:themeFill="background1" w:themeFillShade="D9"/>
          </w:tcPr>
          <w:p w:rsidR="00C927B0" w:rsidRPr="00C5494E" w:rsidRDefault="00C927B0" w:rsidP="00C927B0">
            <w:pPr>
              <w:pStyle w:val="FigureNoTitle"/>
              <w:rPr>
                <w:lang w:val="en-GB"/>
              </w:rPr>
            </w:pPr>
            <w:r w:rsidRPr="00C5494E">
              <w:rPr>
                <w:lang w:val="en-GB"/>
              </w:rPr>
              <w:lastRenderedPageBreak/>
              <w:t>Chart 4.9: Market share of broadband providers in Bangladesh, May 2010.</w:t>
            </w:r>
          </w:p>
          <w:p w:rsidR="00C927B0" w:rsidRPr="00C5494E" w:rsidRDefault="00C927B0" w:rsidP="00FB239F">
            <w:pPr>
              <w:pStyle w:val="Figure"/>
              <w:rPr>
                <w:lang w:val="en-GB"/>
              </w:rPr>
            </w:pPr>
            <w:r w:rsidRPr="00C5494E">
              <w:drawing>
                <wp:inline distT="0" distB="0" distL="0" distR="0">
                  <wp:extent cx="4962525" cy="2838450"/>
                  <wp:effectExtent l="0" t="0" r="9525" b="0"/>
                  <wp:docPr id="14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 cstate="print">
                            <a:duotone>
                              <a:schemeClr val="accent2">
                                <a:shade val="45000"/>
                                <a:satMod val="135000"/>
                              </a:schemeClr>
                              <a:prstClr val="white"/>
                            </a:duotone>
                          </a:blip>
                          <a:srcRect t="5187" r="5100" b="8934"/>
                          <a:stretch>
                            <a:fillRect/>
                          </a:stretch>
                        </pic:blipFill>
                        <pic:spPr bwMode="auto">
                          <a:xfrm>
                            <a:off x="0" y="0"/>
                            <a:ext cx="4962525" cy="2838450"/>
                          </a:xfrm>
                          <a:prstGeom prst="rect">
                            <a:avLst/>
                          </a:prstGeom>
                          <a:noFill/>
                          <a:ln w="9525">
                            <a:noFill/>
                            <a:miter lim="800000"/>
                            <a:headEnd/>
                            <a:tailEnd/>
                          </a:ln>
                        </pic:spPr>
                      </pic:pic>
                    </a:graphicData>
                  </a:graphic>
                </wp:inline>
              </w:drawing>
            </w:r>
          </w:p>
          <w:p w:rsidR="00C927B0" w:rsidRPr="0048461C" w:rsidRDefault="00C927B0" w:rsidP="00FB239F">
            <w:pPr>
              <w:pStyle w:val="Figurelegend"/>
              <w:spacing w:before="240"/>
              <w:rPr>
                <w:lang w:val="fr-CH"/>
              </w:rPr>
            </w:pPr>
            <w:r w:rsidRPr="0048461C">
              <w:rPr>
                <w:i/>
                <w:iCs/>
                <w:lang w:val="fr-CH"/>
              </w:rPr>
              <w:t>Source</w:t>
            </w:r>
            <w:r w:rsidRPr="0048461C">
              <w:rPr>
                <w:lang w:val="fr-CH"/>
              </w:rPr>
              <w:t>: ITU ABBMN questionnaire (</w:t>
            </w:r>
            <w:proofErr w:type="spellStart"/>
            <w:r w:rsidRPr="0048461C">
              <w:rPr>
                <w:lang w:val="fr-CH"/>
              </w:rPr>
              <w:t>June</w:t>
            </w:r>
            <w:proofErr w:type="spellEnd"/>
            <w:r w:rsidRPr="0048461C">
              <w:rPr>
                <w:lang w:val="fr-CH"/>
              </w:rPr>
              <w:t xml:space="preserve"> 2010).</w:t>
            </w:r>
          </w:p>
        </w:tc>
      </w:tr>
    </w:tbl>
    <w:p w:rsidR="00C927B0" w:rsidRPr="0048461C" w:rsidRDefault="00C927B0" w:rsidP="00C927B0">
      <w:pPr>
        <w:rPr>
          <w:lang w:val="fr-CH"/>
        </w:rPr>
      </w:pPr>
    </w:p>
    <w:p w:rsidR="00C927B0" w:rsidRPr="00C5494E" w:rsidRDefault="00C927B0" w:rsidP="00C927B0">
      <w:r w:rsidRPr="00C5494E">
        <w:t>This singular competitive situation makes economies of scope and scale very limited in the country. Moreover, it is uncertain that any operator has reached the minimum efficient scale of operation (at least nationwide), which suggests that the consolidation of larger broadband operators could lead to a more efficient provision of broadband services.</w:t>
      </w:r>
    </w:p>
    <w:p w:rsidR="00C927B0" w:rsidRPr="00C5494E" w:rsidRDefault="00C927B0" w:rsidP="00C927B0">
      <w:r w:rsidRPr="00C5494E">
        <w:rPr>
          <w:bCs/>
        </w:rPr>
        <w:t xml:space="preserve">Retail broadband tariffs are subject to the approval of the regulator in </w:t>
      </w:r>
      <w:smartTag w:uri="urn:schemas-microsoft-com:office:smarttags" w:element="place">
        <w:smartTag w:uri="urn:schemas-microsoft-com:office:smarttags" w:element="country-region">
          <w:r w:rsidRPr="00C5494E">
            <w:rPr>
              <w:bCs/>
            </w:rPr>
            <w:t>Bangladesh</w:t>
          </w:r>
        </w:smartTag>
      </w:smartTag>
      <w:r w:rsidRPr="00C5494E">
        <w:rPr>
          <w:bCs/>
        </w:rPr>
        <w:t>, while no obligations in wholesale broadband markets are enforced (neither access obligations, nor price controls). A more gradual approach would on the contrary be based on wholesale broadband regulation, and only apply retail regulation as a last resort. The rationale behind such an approach is that retail regulation, although it is the shortest way to produce the desired benefits to end users (e.g. lower prices), seldom promotes competition. On the other hand, effective wholesale regulation will create a level playing field for all operators, because it affects directly competition rules between them, and thus lead to more competition, and ultimately to lower prices and other benefits for end users. That is, effective wholesale regulation corrects competition and structural problems.</w:t>
      </w:r>
    </w:p>
    <w:p w:rsidR="00C927B0" w:rsidRPr="00C5494E" w:rsidRDefault="00322A81" w:rsidP="00527AA9">
      <w:r w:rsidRPr="00C5494E">
        <w:rPr>
          <w:bCs/>
        </w:rPr>
        <w:t xml:space="preserve">Concerning infrastructure sharing, </w:t>
      </w:r>
      <w:r w:rsidR="00527AA9" w:rsidRPr="00C5494E">
        <w:rPr>
          <w:bCs/>
        </w:rPr>
        <w:t xml:space="preserve">the Regulatory Authority of Bangladesh </w:t>
      </w:r>
      <w:r w:rsidRPr="00C5494E">
        <w:rPr>
          <w:bCs/>
        </w:rPr>
        <w:t>(</w:t>
      </w:r>
      <w:r w:rsidR="00527AA9" w:rsidRPr="00C5494E">
        <w:rPr>
          <w:bCs/>
        </w:rPr>
        <w:t>BTRC</w:t>
      </w:r>
      <w:r w:rsidRPr="00C5494E">
        <w:rPr>
          <w:bCs/>
        </w:rPr>
        <w:t>) has published a set of guidelines (BTRC, 2008), and the country has already had several successful examples of mobile infrastructure sharing.</w:t>
      </w:r>
      <w:r w:rsidRPr="00C5494E">
        <w:rPr>
          <w:bCs/>
          <w:vertAlign w:val="superscript"/>
        </w:rPr>
        <w:footnoteReference w:id="68"/>
      </w:r>
      <w:r w:rsidRPr="00C5494E">
        <w:rPr>
          <w:bCs/>
        </w:rPr>
        <w:t xml:space="preserve"> The guidelines are</w:t>
      </w:r>
      <w:r w:rsidR="00527AA9" w:rsidRPr="00C5494E">
        <w:rPr>
          <w:bCs/>
        </w:rPr>
        <w:t>,</w:t>
      </w:r>
      <w:r w:rsidRPr="00C5494E">
        <w:rPr>
          <w:bCs/>
        </w:rPr>
        <w:t xml:space="preserve"> however</w:t>
      </w:r>
      <w:r w:rsidR="00527AA9" w:rsidRPr="00C5494E">
        <w:rPr>
          <w:bCs/>
        </w:rPr>
        <w:t>,</w:t>
      </w:r>
      <w:r w:rsidRPr="00C5494E">
        <w:rPr>
          <w:bCs/>
        </w:rPr>
        <w:t xml:space="preserve"> not limited to passive mobile infrastructure sharing, but include also optical fibre/wired access and backbone transmission networks. Moreover, they give BTRC the power to issue the last binding decision in the case of disputes between infrastructure providers and infrastructure seekers, which is a good mechanism to ensure expeditious solutions in the case of conflict.</w:t>
      </w:r>
    </w:p>
    <w:p w:rsidR="00C927B0" w:rsidRPr="00C5494E" w:rsidRDefault="00C927B0" w:rsidP="00C927B0"/>
    <w:p w:rsidR="00527AA9" w:rsidRPr="00C5494E" w:rsidRDefault="00527AA9" w:rsidP="00C927B0"/>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C927B0" w:rsidRPr="00C5494E" w:rsidTr="00FB239F">
        <w:trPr>
          <w:jc w:val="center"/>
        </w:trPr>
        <w:tc>
          <w:tcPr>
            <w:tcW w:w="9424" w:type="dxa"/>
            <w:shd w:val="clear" w:color="auto" w:fill="D9D9D9" w:themeFill="background1" w:themeFillShade="D9"/>
          </w:tcPr>
          <w:p w:rsidR="00C927B0" w:rsidRPr="00C5494E" w:rsidRDefault="00C927B0" w:rsidP="00527AA9">
            <w:pPr>
              <w:pStyle w:val="BoxTitle"/>
              <w:keepNext w:val="0"/>
              <w:keepLines w:val="0"/>
              <w:tabs>
                <w:tab w:val="clear" w:pos="1191"/>
                <w:tab w:val="left" w:pos="1061"/>
              </w:tabs>
              <w:ind w:left="1061" w:hanging="1061"/>
            </w:pPr>
            <w:bookmarkStart w:id="57" w:name="_Toc273623640"/>
            <w:r w:rsidRPr="00C5494E">
              <w:rPr>
                <w:bCs/>
              </w:rPr>
              <w:lastRenderedPageBreak/>
              <w:t xml:space="preserve">Box 4.5: </w:t>
            </w:r>
            <w:r w:rsidR="00527AA9" w:rsidRPr="00C5494E">
              <w:rPr>
                <w:bCs/>
              </w:rPr>
              <w:tab/>
            </w:r>
            <w:r w:rsidRPr="00C5494E">
              <w:rPr>
                <w:bCs/>
              </w:rPr>
              <w:t xml:space="preserve">Informed </w:t>
            </w:r>
            <w:r w:rsidR="00527AA9" w:rsidRPr="00C5494E">
              <w:rPr>
                <w:bCs/>
              </w:rPr>
              <w:t>regulatory decision-making</w:t>
            </w:r>
            <w:r w:rsidRPr="00C5494E">
              <w:rPr>
                <w:bCs/>
              </w:rPr>
              <w:t xml:space="preserve">: </w:t>
            </w:r>
            <w:r w:rsidR="00527AA9" w:rsidRPr="00C5494E">
              <w:rPr>
                <w:bCs/>
              </w:rPr>
              <w:t>a management information system (</w:t>
            </w:r>
            <w:r w:rsidRPr="00C5494E">
              <w:rPr>
                <w:bCs/>
              </w:rPr>
              <w:t>MIS</w:t>
            </w:r>
            <w:r w:rsidR="00527AA9" w:rsidRPr="00C5494E">
              <w:rPr>
                <w:bCs/>
              </w:rPr>
              <w:t>)</w:t>
            </w:r>
            <w:r w:rsidRPr="00C5494E">
              <w:rPr>
                <w:bCs/>
              </w:rPr>
              <w:t xml:space="preserve"> for BTRC, Bangladesh</w:t>
            </w:r>
            <w:bookmarkEnd w:id="57"/>
          </w:p>
          <w:p w:rsidR="00C927B0" w:rsidRPr="00C5494E" w:rsidRDefault="00322A81" w:rsidP="00527AA9">
            <w:pPr>
              <w:pStyle w:val="BoxText"/>
            </w:pPr>
            <w:r w:rsidRPr="00C5494E">
              <w:rPr>
                <w:bCs/>
              </w:rPr>
              <w:t xml:space="preserve">The Bangladesh telecommunications sector is undergoing rapid growth. The number of users of mobile services, Internet services and other telecom services is rapidly increasing. As a regulator, BTRC needs to furnish various indicators and data </w:t>
            </w:r>
            <w:r w:rsidR="00527AA9" w:rsidRPr="00C5494E">
              <w:rPr>
                <w:bCs/>
              </w:rPr>
              <w:t xml:space="preserve">that </w:t>
            </w:r>
            <w:r w:rsidRPr="00C5494E">
              <w:rPr>
                <w:bCs/>
              </w:rPr>
              <w:t>represent ICT growth, the expansion of telecommunications and ICT services, penetration, and the macro</w:t>
            </w:r>
            <w:r w:rsidR="00527AA9" w:rsidRPr="00C5494E">
              <w:rPr>
                <w:bCs/>
              </w:rPr>
              <w:t>-</w:t>
            </w:r>
            <w:r w:rsidRPr="00C5494E">
              <w:rPr>
                <w:bCs/>
              </w:rPr>
              <w:t>level situation of the sectors. BTRC is also required to submit data to ITU for different types of indicators and data that need different formats and approaches to gather them. The data formats that are currently used are repetitive and not optimized</w:t>
            </w:r>
            <w:r w:rsidR="00527AA9" w:rsidRPr="00C5494E">
              <w:rPr>
                <w:bCs/>
              </w:rPr>
              <w:t>,</w:t>
            </w:r>
            <w:r w:rsidRPr="00C5494E">
              <w:rPr>
                <w:bCs/>
              </w:rPr>
              <w:t xml:space="preserve"> putting the burden on the operators. ITU provided technical assistance to set up a central </w:t>
            </w:r>
            <w:r w:rsidR="00527AA9" w:rsidRPr="00C5494E">
              <w:rPr>
                <w:bCs/>
              </w:rPr>
              <w:t>“</w:t>
            </w:r>
            <w:r w:rsidRPr="00C5494E">
              <w:rPr>
                <w:bCs/>
              </w:rPr>
              <w:t>Database and MIS System</w:t>
            </w:r>
            <w:r w:rsidR="00527AA9" w:rsidRPr="00C5494E">
              <w:rPr>
                <w:bCs/>
              </w:rPr>
              <w:t>”</w:t>
            </w:r>
            <w:r w:rsidRPr="00C5494E">
              <w:rPr>
                <w:bCs/>
              </w:rPr>
              <w:t xml:space="preserve"> for BTRC where the required data and indicators will be automatically captured and processed so that informed regulatory decisions could be taken by the BTRC.</w:t>
            </w:r>
          </w:p>
          <w:p w:rsidR="00C927B0" w:rsidRPr="00C5494E" w:rsidRDefault="00C927B0" w:rsidP="00C927B0">
            <w:pPr>
              <w:pStyle w:val="BoxText"/>
              <w:jc w:val="center"/>
              <w:rPr>
                <w:szCs w:val="20"/>
              </w:rPr>
            </w:pPr>
            <w:r w:rsidRPr="00C5494E">
              <w:rPr>
                <w:noProof/>
                <w:szCs w:val="20"/>
                <w:lang w:val="en-US" w:eastAsia="zh-CN"/>
              </w:rPr>
              <w:drawing>
                <wp:inline distT="0" distB="0" distL="0" distR="0">
                  <wp:extent cx="2550297" cy="1908000"/>
                  <wp:effectExtent l="19050" t="0" r="2403" b="0"/>
                  <wp:docPr id="153" name="Picture 102" descr="DSC0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SC06559"/>
                          <pic:cNvPicPr>
                            <a:picLocks noChangeAspect="1" noChangeArrowheads="1"/>
                          </pic:cNvPicPr>
                        </pic:nvPicPr>
                        <pic:blipFill>
                          <a:blip r:embed="rId50" cstate="print"/>
                          <a:srcRect/>
                          <a:stretch>
                            <a:fillRect/>
                          </a:stretch>
                        </pic:blipFill>
                        <pic:spPr bwMode="auto">
                          <a:xfrm>
                            <a:off x="0" y="0"/>
                            <a:ext cx="2550297" cy="1908000"/>
                          </a:xfrm>
                          <a:prstGeom prst="rect">
                            <a:avLst/>
                          </a:prstGeom>
                          <a:noFill/>
                          <a:ln w="9525">
                            <a:noFill/>
                            <a:miter lim="800000"/>
                            <a:headEnd/>
                            <a:tailEnd/>
                          </a:ln>
                        </pic:spPr>
                      </pic:pic>
                    </a:graphicData>
                  </a:graphic>
                </wp:inline>
              </w:drawing>
            </w:r>
            <w:r w:rsidRPr="00C5494E">
              <w:rPr>
                <w:szCs w:val="20"/>
              </w:rPr>
              <w:tab/>
            </w:r>
            <w:r w:rsidRPr="00C5494E">
              <w:rPr>
                <w:noProof/>
                <w:szCs w:val="20"/>
                <w:lang w:val="en-US" w:eastAsia="zh-CN"/>
              </w:rPr>
              <w:drawing>
                <wp:inline distT="0" distB="0" distL="0" distR="0">
                  <wp:extent cx="2693647" cy="1908000"/>
                  <wp:effectExtent l="19050" t="0" r="0" b="0"/>
                  <wp:docPr id="15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1" cstate="print"/>
                          <a:srcRect/>
                          <a:stretch>
                            <a:fillRect/>
                          </a:stretch>
                        </pic:blipFill>
                        <pic:spPr bwMode="auto">
                          <a:xfrm>
                            <a:off x="0" y="0"/>
                            <a:ext cx="2693647" cy="1908000"/>
                          </a:xfrm>
                          <a:prstGeom prst="rect">
                            <a:avLst/>
                          </a:prstGeom>
                          <a:noFill/>
                          <a:ln w="9525">
                            <a:noFill/>
                            <a:miter lim="800000"/>
                            <a:headEnd/>
                            <a:tailEnd/>
                          </a:ln>
                        </pic:spPr>
                      </pic:pic>
                    </a:graphicData>
                  </a:graphic>
                </wp:inline>
              </w:drawing>
            </w:r>
          </w:p>
          <w:p w:rsidR="00C927B0" w:rsidRPr="00C5494E" w:rsidRDefault="00322A81" w:rsidP="00527AA9">
            <w:pPr>
              <w:pStyle w:val="BoxText"/>
              <w:rPr>
                <w:bCs/>
              </w:rPr>
            </w:pPr>
            <w:r w:rsidRPr="00C5494E">
              <w:rPr>
                <w:bCs/>
              </w:rPr>
              <w:t>This assistance was provided in two stages</w:t>
            </w:r>
            <w:r w:rsidR="00527AA9" w:rsidRPr="00C5494E">
              <w:rPr>
                <w:bCs/>
              </w:rPr>
              <w:t>:</w:t>
            </w:r>
            <w:r w:rsidRPr="00C5494E">
              <w:rPr>
                <w:bCs/>
              </w:rPr>
              <w:t xml:space="preserve"> during 2009, for the first phase, ITU carried out an assessment of the data needs of BTRC, in consultation with stakeholders </w:t>
            </w:r>
            <w:r w:rsidR="00527AA9" w:rsidRPr="00C5494E">
              <w:rPr>
                <w:bCs/>
              </w:rPr>
              <w:t>(</w:t>
            </w:r>
            <w:r w:rsidRPr="00C5494E">
              <w:rPr>
                <w:bCs/>
              </w:rPr>
              <w:t>including access providers, international gateway providers, Internet service providers as well as the Bangladesh Bureau of Statistics</w:t>
            </w:r>
            <w:r w:rsidR="00527AA9" w:rsidRPr="00C5494E">
              <w:rPr>
                <w:bCs/>
              </w:rPr>
              <w:t>)</w:t>
            </w:r>
            <w:r w:rsidRPr="00C5494E">
              <w:rPr>
                <w:bCs/>
              </w:rPr>
              <w:t>, and developed the optimized data formats. In the second phase</w:t>
            </w:r>
            <w:r w:rsidR="00527AA9" w:rsidRPr="00C5494E">
              <w:rPr>
                <w:bCs/>
              </w:rPr>
              <w:t>,</w:t>
            </w:r>
            <w:r w:rsidRPr="00C5494E">
              <w:rPr>
                <w:bCs/>
              </w:rPr>
              <w:t xml:space="preserve"> carried out in the first quarter of 2010, the recommendation and formats were prepared by developing a web</w:t>
            </w:r>
            <w:r w:rsidR="00527AA9" w:rsidRPr="00C5494E">
              <w:rPr>
                <w:bCs/>
              </w:rPr>
              <w:t>-</w:t>
            </w:r>
            <w:r w:rsidRPr="00C5494E">
              <w:rPr>
                <w:bCs/>
              </w:rPr>
              <w:t xml:space="preserve">based interactive database system that is capable of accepting online data submission by the operators. BTRC will be able to generate the desired reports, make queries and take informed regulatory decisions. ITU also organized a training workshop on 22 May 2009 to share knowledge on ICT statistical indicators and the IDI. A suitable framework </w:t>
            </w:r>
            <w:r w:rsidR="00527AA9" w:rsidRPr="00C5494E">
              <w:rPr>
                <w:bCs/>
              </w:rPr>
              <w:t xml:space="preserve">was </w:t>
            </w:r>
            <w:r w:rsidRPr="00C5494E">
              <w:rPr>
                <w:bCs/>
              </w:rPr>
              <w:t xml:space="preserve">recommended for ensuring accuracy and correctness of the data submitted by service providers and revenue assurance for payments receivable by BTRC. The MIS system is expected to help in gap </w:t>
            </w:r>
            <w:r w:rsidR="00527AA9" w:rsidRPr="00C5494E">
              <w:rPr>
                <w:bCs/>
              </w:rPr>
              <w:t>analyzis</w:t>
            </w:r>
            <w:r w:rsidRPr="00C5494E">
              <w:rPr>
                <w:bCs/>
              </w:rPr>
              <w:t xml:space="preserve"> and will work as an effective tool for the empowerment of the regulator. Projection of key indicators will definitely encourage serious investment in the sector and enhance competition.</w:t>
            </w:r>
          </w:p>
          <w:p w:rsidR="00C927B0" w:rsidRPr="00C5494E" w:rsidRDefault="00E82816" w:rsidP="00E82816">
            <w:pPr>
              <w:pStyle w:val="Figurelegend"/>
            </w:pPr>
            <w:r w:rsidRPr="00E82816">
              <w:rPr>
                <w:i/>
                <w:iCs/>
                <w:lang w:val="en-US"/>
              </w:rPr>
              <w:t>Source</w:t>
            </w:r>
            <w:r w:rsidRPr="00E82816">
              <w:rPr>
                <w:lang w:val="en-US"/>
              </w:rPr>
              <w:t>: ITU Regional Office for Asia and the Pacific.</w:t>
            </w:r>
          </w:p>
        </w:tc>
      </w:tr>
    </w:tbl>
    <w:p w:rsidR="00C927B0" w:rsidRPr="00C5494E" w:rsidRDefault="00C927B0" w:rsidP="00527AA9">
      <w:pPr>
        <w:spacing w:before="0"/>
      </w:pPr>
    </w:p>
    <w:p w:rsidR="00C927B0" w:rsidRPr="00C5494E" w:rsidRDefault="00C927B0" w:rsidP="00C927B0">
      <w:pPr>
        <w:pStyle w:val="Headingb"/>
        <w:rPr>
          <w:lang w:val="en-GB"/>
        </w:rPr>
      </w:pPr>
      <w:r w:rsidRPr="00C5494E">
        <w:rPr>
          <w:lang w:val="en-GB"/>
        </w:rPr>
        <w:t xml:space="preserve">Nepal </w:t>
      </w:r>
    </w:p>
    <w:p w:rsidR="00C927B0" w:rsidRPr="00C5494E" w:rsidRDefault="00322A81" w:rsidP="00322A81">
      <w:r w:rsidRPr="00C5494E">
        <w:t xml:space="preserve">The country has one broadband operator providing full national coverage: the incumbent Nepal Telecom (91.5 </w:t>
      </w:r>
      <w:r w:rsidR="000F4A58" w:rsidRPr="00C5494E">
        <w:t>per cent</w:t>
      </w:r>
      <w:r w:rsidRPr="00C5494E">
        <w:t xml:space="preserve"> public ownership). It faces competition from cable companies (fully private), which have a similar market share, and offer their services in the </w:t>
      </w:r>
      <w:proofErr w:type="spellStart"/>
      <w:smartTag w:uri="urn:schemas-microsoft-com:office:smarttags" w:element="City">
        <w:smartTag w:uri="urn:schemas-microsoft-com:office:smarttags" w:element="place">
          <w:r w:rsidRPr="00C5494E">
            <w:t>Katmandu</w:t>
          </w:r>
        </w:smartTag>
      </w:smartTag>
      <w:proofErr w:type="spellEnd"/>
      <w:r w:rsidRPr="00C5494E">
        <w:t xml:space="preserve"> valley and some selected big cities. The remaining share of the broadband market is taken by regional ISPs (fully private), different ones covering different regions (Chart 4.10)</w:t>
      </w:r>
    </w:p>
    <w:p w:rsidR="00C927B0" w:rsidRPr="00C5494E" w:rsidRDefault="00C927B0" w:rsidP="00C927B0">
      <w:r w:rsidRPr="00C5494E">
        <w:t xml:space="preserve">This distribution of market shares reflects the typical situation in most broadband markets, where the fixed line incumbent, which owns the assets necessary for xDSL broadband provision, has a major part of the market. In the case of Nepal, this is balanced by a very significant number of subscriptions to cable modem broadband. This is even more beneficial for competition, because it creates a counterbalance to the incumbent, and does it based on an independent infrastructure. Niche regional players cover the remaining part of the market. </w:t>
      </w:r>
    </w:p>
    <w:p w:rsidR="00C927B0" w:rsidRPr="00C5494E" w:rsidRDefault="008C540D" w:rsidP="008C540D">
      <w:r w:rsidRPr="00C5494E">
        <w:lastRenderedPageBreak/>
        <w:t>Further competition could come in the future from mobile broadband providers (to date</w:t>
      </w:r>
      <w:r w:rsidR="00527AA9" w:rsidRPr="00C5494E">
        <w:t>,</w:t>
      </w:r>
      <w:r w:rsidRPr="00C5494E">
        <w:t xml:space="preserve"> only one licence </w:t>
      </w:r>
      <w:r w:rsidR="00527AA9" w:rsidRPr="00C5494E">
        <w:t xml:space="preserve">has been </w:t>
      </w:r>
      <w:r w:rsidRPr="00C5494E">
        <w:t xml:space="preserve">awarded to the incumbent), and maybe through local loop unbundling and </w:t>
      </w:r>
      <w:proofErr w:type="spellStart"/>
      <w:r w:rsidRPr="00C5494E">
        <w:t>bitstream</w:t>
      </w:r>
      <w:proofErr w:type="spellEnd"/>
      <w:r w:rsidRPr="00C5494E">
        <w:t xml:space="preserve"> access, as well as other forms of opening up the incumbent network to competition.</w:t>
      </w:r>
    </w:p>
    <w:p w:rsidR="00C927B0" w:rsidRPr="00C5494E" w:rsidRDefault="00C927B0" w:rsidP="00011BA4"/>
    <w:tbl>
      <w:tblPr>
        <w:tblStyle w:val="TableGrid"/>
        <w:tblW w:w="0" w:type="auto"/>
        <w:jc w:val="center"/>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D9D9D9" w:themeFill="background1" w:themeFillShade="D9"/>
        <w:tblLook w:val="04A0"/>
      </w:tblPr>
      <w:tblGrid>
        <w:gridCol w:w="9424"/>
      </w:tblGrid>
      <w:tr w:rsidR="00C927B0" w:rsidRPr="00DC056F" w:rsidTr="00FB239F">
        <w:trPr>
          <w:jc w:val="center"/>
        </w:trPr>
        <w:tc>
          <w:tcPr>
            <w:tcW w:w="9424" w:type="dxa"/>
            <w:shd w:val="clear" w:color="auto" w:fill="D9D9D9" w:themeFill="background1" w:themeFillShade="D9"/>
          </w:tcPr>
          <w:p w:rsidR="00C927B0" w:rsidRPr="00C5494E" w:rsidRDefault="00C927B0" w:rsidP="00FB239F">
            <w:pPr>
              <w:pStyle w:val="FigureNoTitle"/>
              <w:rPr>
                <w:lang w:val="en-GB"/>
              </w:rPr>
            </w:pPr>
            <w:r w:rsidRPr="00C5494E">
              <w:rPr>
                <w:lang w:val="en-GB"/>
              </w:rPr>
              <w:t xml:space="preserve">Chart 4.10: Market share of broadband providers in </w:t>
            </w:r>
            <w:smartTag w:uri="urn:schemas-microsoft-com:office:smarttags" w:element="place">
              <w:smartTag w:uri="urn:schemas-microsoft-com:office:smarttags" w:element="country-region">
                <w:r w:rsidRPr="00C5494E">
                  <w:rPr>
                    <w:lang w:val="en-GB"/>
                  </w:rPr>
                  <w:t>Nepal</w:t>
                </w:r>
              </w:smartTag>
            </w:smartTag>
            <w:r w:rsidRPr="00C5494E">
              <w:rPr>
                <w:lang w:val="en-GB"/>
              </w:rPr>
              <w:t>, May 2010.</w:t>
            </w:r>
          </w:p>
          <w:p w:rsidR="00C927B0" w:rsidRPr="00C5494E" w:rsidRDefault="00C927B0" w:rsidP="00C55197">
            <w:pPr>
              <w:pStyle w:val="Figure"/>
              <w:spacing w:before="120"/>
              <w:rPr>
                <w:lang w:val="en-GB"/>
              </w:rPr>
            </w:pPr>
            <w:r w:rsidRPr="00C5494E">
              <w:drawing>
                <wp:inline distT="0" distB="0" distL="0" distR="0">
                  <wp:extent cx="4238625" cy="2000250"/>
                  <wp:effectExtent l="19050" t="0" r="9525" b="0"/>
                  <wp:docPr id="15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duotone>
                              <a:schemeClr val="accent2">
                                <a:shade val="45000"/>
                                <a:satMod val="135000"/>
                              </a:schemeClr>
                              <a:prstClr val="white"/>
                            </a:duotone>
                          </a:blip>
                          <a:srcRect l="4182" t="27586" r="14909" b="12069"/>
                          <a:stretch>
                            <a:fillRect/>
                          </a:stretch>
                        </pic:blipFill>
                        <pic:spPr bwMode="auto">
                          <a:xfrm>
                            <a:off x="0" y="0"/>
                            <a:ext cx="4238625" cy="2000250"/>
                          </a:xfrm>
                          <a:prstGeom prst="rect">
                            <a:avLst/>
                          </a:prstGeom>
                          <a:noFill/>
                          <a:ln w="9525">
                            <a:noFill/>
                            <a:miter lim="800000"/>
                            <a:headEnd/>
                            <a:tailEnd/>
                          </a:ln>
                        </pic:spPr>
                      </pic:pic>
                    </a:graphicData>
                  </a:graphic>
                </wp:inline>
              </w:drawing>
            </w:r>
          </w:p>
          <w:p w:rsidR="00C927B0" w:rsidRPr="0048461C" w:rsidRDefault="00C927B0" w:rsidP="00FB239F">
            <w:pPr>
              <w:pStyle w:val="Figurelegend"/>
              <w:spacing w:before="240"/>
              <w:rPr>
                <w:lang w:val="fr-CH"/>
              </w:rPr>
            </w:pPr>
            <w:r w:rsidRPr="0048461C">
              <w:rPr>
                <w:i/>
                <w:iCs/>
                <w:lang w:val="fr-CH"/>
              </w:rPr>
              <w:t>Source</w:t>
            </w:r>
            <w:r w:rsidRPr="0048461C">
              <w:rPr>
                <w:lang w:val="fr-CH"/>
              </w:rPr>
              <w:t>: ITU ABBMN questionnaire (</w:t>
            </w:r>
            <w:proofErr w:type="spellStart"/>
            <w:r w:rsidRPr="0048461C">
              <w:rPr>
                <w:lang w:val="fr-CH"/>
              </w:rPr>
              <w:t>June</w:t>
            </w:r>
            <w:proofErr w:type="spellEnd"/>
            <w:r w:rsidRPr="0048461C">
              <w:rPr>
                <w:lang w:val="fr-CH"/>
              </w:rPr>
              <w:t xml:space="preserve"> 2010).</w:t>
            </w:r>
          </w:p>
        </w:tc>
      </w:tr>
    </w:tbl>
    <w:p w:rsidR="00011BA4" w:rsidRPr="00475020" w:rsidRDefault="00011BA4" w:rsidP="00F75B07">
      <w:pPr>
        <w:pStyle w:val="Heading1"/>
        <w:rPr>
          <w:lang w:val="fr-CH"/>
        </w:rPr>
      </w:pPr>
      <w:bookmarkStart w:id="58" w:name="_Toc273517406"/>
      <w:bookmarkStart w:id="59" w:name="_Toc273623642"/>
    </w:p>
    <w:p w:rsidR="00011BA4" w:rsidRPr="00475020" w:rsidRDefault="00011BA4" w:rsidP="00011BA4">
      <w:pPr>
        <w:rPr>
          <w:color w:val="990033"/>
          <w:sz w:val="28"/>
          <w:lang w:val="fr-CH"/>
        </w:rPr>
      </w:pPr>
      <w:r w:rsidRPr="00475020">
        <w:rPr>
          <w:lang w:val="fr-CH"/>
        </w:rPr>
        <w:br w:type="page"/>
      </w:r>
    </w:p>
    <w:p w:rsidR="00F75B07" w:rsidRPr="00C5494E" w:rsidRDefault="00F75B07" w:rsidP="00F75B07">
      <w:pPr>
        <w:pStyle w:val="Heading1"/>
      </w:pPr>
      <w:r w:rsidRPr="00C5494E">
        <w:lastRenderedPageBreak/>
        <w:t>5</w:t>
      </w:r>
      <w:r w:rsidRPr="00C5494E">
        <w:tab/>
        <w:t>RECOMMENDATIONS</w:t>
      </w:r>
      <w:bookmarkEnd w:id="58"/>
      <w:bookmarkEnd w:id="59"/>
    </w:p>
    <w:p w:rsidR="00F75B07" w:rsidRPr="00C5494E" w:rsidRDefault="00F75B07" w:rsidP="00E82816">
      <w:r w:rsidRPr="00C5494E">
        <w:t>The deployment of broadband networks and the increase in the use of the services they provide</w:t>
      </w:r>
      <w:r w:rsidR="00E82816">
        <w:t>,</w:t>
      </w:r>
      <w:r w:rsidRPr="00C5494E">
        <w:t xml:space="preserve"> have a major impact </w:t>
      </w:r>
      <w:r w:rsidR="00E82816">
        <w:t>o</w:t>
      </w:r>
      <w:r w:rsidRPr="00C5494E">
        <w:t xml:space="preserve">n </w:t>
      </w:r>
      <w:r w:rsidR="00E82816">
        <w:t>socio-</w:t>
      </w:r>
      <w:r w:rsidRPr="00C5494E">
        <w:t>economic development</w:t>
      </w:r>
      <w:r w:rsidR="00E82816">
        <w:t xml:space="preserve"> of nations</w:t>
      </w:r>
      <w:r w:rsidRPr="00C5494E">
        <w:t>. Moreover, broadband development leads towards advanced information societies, where citizens benefit from increased access to information and social development tools.</w:t>
      </w:r>
    </w:p>
    <w:p w:rsidR="00F75B07" w:rsidRPr="00C5494E" w:rsidRDefault="00262FB0" w:rsidP="00262FB0">
      <w:r w:rsidRPr="00C5494E">
        <w:rPr>
          <w:bCs/>
        </w:rPr>
        <w:t xml:space="preserve">ABBMN countries have experienced in the last </w:t>
      </w:r>
      <w:r w:rsidR="00E82816">
        <w:rPr>
          <w:bCs/>
        </w:rPr>
        <w:t xml:space="preserve">few </w:t>
      </w:r>
      <w:r w:rsidRPr="00C5494E">
        <w:rPr>
          <w:bCs/>
        </w:rPr>
        <w:t xml:space="preserve">years unprecedented ICT growth, based mainly on the development of mobile cellular telephony. For instance, </w:t>
      </w:r>
      <w:smartTag w:uri="urn:schemas-microsoft-com:office:smarttags" w:element="country-region">
        <w:r w:rsidRPr="00C5494E">
          <w:rPr>
            <w:bCs/>
          </w:rPr>
          <w:t>Afghanistan</w:t>
        </w:r>
      </w:smartTag>
      <w:r w:rsidRPr="00C5494E">
        <w:rPr>
          <w:bCs/>
        </w:rPr>
        <w:t xml:space="preserve">, </w:t>
      </w:r>
      <w:smartTag w:uri="urn:schemas-microsoft-com:office:smarttags" w:element="country-region">
        <w:r w:rsidRPr="00C5494E">
          <w:rPr>
            <w:bCs/>
          </w:rPr>
          <w:t>Bhutan</w:t>
        </w:r>
      </w:smartTag>
      <w:r w:rsidRPr="00C5494E">
        <w:rPr>
          <w:bCs/>
        </w:rPr>
        <w:t xml:space="preserve"> and </w:t>
      </w:r>
      <w:smartTag w:uri="urn:schemas-microsoft-com:office:smarttags" w:element="place">
        <w:smartTag w:uri="urn:schemas-microsoft-com:office:smarttags" w:element="country-region">
          <w:r w:rsidRPr="00C5494E">
            <w:rPr>
              <w:bCs/>
            </w:rPr>
            <w:t>Nepal</w:t>
          </w:r>
        </w:smartTag>
      </w:smartTag>
      <w:r w:rsidRPr="00C5494E">
        <w:rPr>
          <w:bCs/>
        </w:rPr>
        <w:t xml:space="preserve"> increased by more than 10 percentage points their mobile cellular penetration between 2008 and 2009. </w:t>
      </w:r>
      <w:smartTag w:uri="urn:schemas-microsoft-com:office:smarttags" w:element="place">
        <w:smartTag w:uri="urn:schemas-microsoft-com:office:smarttags" w:element="country-region">
          <w:r w:rsidRPr="00C5494E">
            <w:rPr>
              <w:bCs/>
            </w:rPr>
            <w:t>Maldives</w:t>
          </w:r>
        </w:smartTag>
      </w:smartTag>
      <w:r w:rsidRPr="00C5494E">
        <w:rPr>
          <w:bCs/>
        </w:rPr>
        <w:t xml:space="preserve"> achieved a record mobile cellular penetration in 2009, with 148 mobile cellular subscriptions per 100 inhabitants.</w:t>
      </w:r>
    </w:p>
    <w:p w:rsidR="00F75B07" w:rsidRPr="00C5494E" w:rsidRDefault="00262FB0" w:rsidP="00262FB0">
      <w:r w:rsidRPr="00C5494E">
        <w:rPr>
          <w:bCs/>
        </w:rPr>
        <w:t xml:space="preserve">Despite progress in specific ICT areas, broadband development remains very limited in all ABBMN countries except </w:t>
      </w:r>
      <w:smartTag w:uri="urn:schemas-microsoft-com:office:smarttags" w:element="place">
        <w:smartTag w:uri="urn:schemas-microsoft-com:office:smarttags" w:element="country-region">
          <w:r w:rsidRPr="00C5494E">
            <w:rPr>
              <w:bCs/>
            </w:rPr>
            <w:t>Maldives</w:t>
          </w:r>
        </w:smartTag>
      </w:smartTag>
      <w:r w:rsidRPr="00C5494E">
        <w:rPr>
          <w:bCs/>
        </w:rPr>
        <w:t xml:space="preserve">. In 2009, fixed broadband penetration was negligible in </w:t>
      </w:r>
      <w:smartTag w:uri="urn:schemas-microsoft-com:office:smarttags" w:element="country-region">
        <w:r w:rsidRPr="00C5494E">
          <w:rPr>
            <w:bCs/>
          </w:rPr>
          <w:t>Afghanistan</w:t>
        </w:r>
      </w:smartTag>
      <w:r w:rsidRPr="00C5494E">
        <w:rPr>
          <w:bCs/>
        </w:rPr>
        <w:t xml:space="preserve"> and </w:t>
      </w:r>
      <w:smartTag w:uri="urn:schemas-microsoft-com:office:smarttags" w:element="place">
        <w:smartTag w:uri="urn:schemas-microsoft-com:office:smarttags" w:element="country-region">
          <w:r w:rsidRPr="00C5494E">
            <w:rPr>
              <w:bCs/>
            </w:rPr>
            <w:t>Bangladesh</w:t>
          </w:r>
        </w:smartTag>
      </w:smartTag>
      <w:r w:rsidRPr="00C5494E">
        <w:rPr>
          <w:bCs/>
        </w:rPr>
        <w:t xml:space="preserve">. In </w:t>
      </w:r>
      <w:smartTag w:uri="urn:schemas-microsoft-com:office:smarttags" w:element="country-region">
        <w:r w:rsidRPr="00C5494E">
          <w:rPr>
            <w:bCs/>
          </w:rPr>
          <w:t>Nepal</w:t>
        </w:r>
      </w:smartTag>
      <w:r w:rsidRPr="00C5494E">
        <w:rPr>
          <w:bCs/>
        </w:rPr>
        <w:t xml:space="preserve"> it was barely 0.3 </w:t>
      </w:r>
      <w:r w:rsidR="000F4A58" w:rsidRPr="00C5494E">
        <w:rPr>
          <w:bCs/>
        </w:rPr>
        <w:t>per cent</w:t>
      </w:r>
      <w:r w:rsidRPr="00C5494E">
        <w:rPr>
          <w:bCs/>
        </w:rPr>
        <w:t xml:space="preserve">, in </w:t>
      </w:r>
      <w:smartTag w:uri="urn:schemas-microsoft-com:office:smarttags" w:element="country-region">
        <w:r w:rsidRPr="00C5494E">
          <w:rPr>
            <w:bCs/>
          </w:rPr>
          <w:t>Bhutan</w:t>
        </w:r>
      </w:smartTag>
      <w:r w:rsidRPr="00C5494E">
        <w:rPr>
          <w:bCs/>
        </w:rPr>
        <w:t xml:space="preserve"> 0.4 </w:t>
      </w:r>
      <w:r w:rsidR="000F4A58" w:rsidRPr="00C5494E">
        <w:rPr>
          <w:bCs/>
        </w:rPr>
        <w:t>per cent</w:t>
      </w:r>
      <w:r w:rsidRPr="00C5494E">
        <w:rPr>
          <w:bCs/>
        </w:rPr>
        <w:t xml:space="preserve">, and 5.8 </w:t>
      </w:r>
      <w:r w:rsidR="000F4A58" w:rsidRPr="00C5494E">
        <w:rPr>
          <w:bCs/>
        </w:rPr>
        <w:t>per cent</w:t>
      </w:r>
      <w:r w:rsidRPr="00C5494E">
        <w:rPr>
          <w:bCs/>
        </w:rPr>
        <w:t xml:space="preserve"> in </w:t>
      </w:r>
      <w:smartTag w:uri="urn:schemas-microsoft-com:office:smarttags" w:element="country-region">
        <w:smartTag w:uri="urn:schemas-microsoft-com:office:smarttags" w:element="place">
          <w:r w:rsidRPr="00C5494E">
            <w:rPr>
              <w:bCs/>
            </w:rPr>
            <w:t>Maldives</w:t>
          </w:r>
        </w:smartTag>
      </w:smartTag>
      <w:r w:rsidRPr="00C5494E">
        <w:rPr>
          <w:bCs/>
        </w:rPr>
        <w:t xml:space="preserve">. The situation of mobile broadband uptake was similar: not available or negligible in </w:t>
      </w:r>
      <w:smartTag w:uri="urn:schemas-microsoft-com:office:smarttags" w:element="country-region">
        <w:r w:rsidRPr="00C5494E">
          <w:rPr>
            <w:bCs/>
          </w:rPr>
          <w:t>Afghanistan</w:t>
        </w:r>
      </w:smartTag>
      <w:r w:rsidRPr="00C5494E">
        <w:rPr>
          <w:bCs/>
        </w:rPr>
        <w:t xml:space="preserve">, </w:t>
      </w:r>
      <w:smartTag w:uri="urn:schemas-microsoft-com:office:smarttags" w:element="country-region">
        <w:r w:rsidRPr="00C5494E">
          <w:rPr>
            <w:bCs/>
          </w:rPr>
          <w:t>Bangladesh</w:t>
        </w:r>
      </w:smartTag>
      <w:r w:rsidRPr="00C5494E">
        <w:rPr>
          <w:bCs/>
        </w:rPr>
        <w:t xml:space="preserve"> and </w:t>
      </w:r>
      <w:smartTag w:uri="urn:schemas-microsoft-com:office:smarttags" w:element="country-region">
        <w:r w:rsidRPr="00C5494E">
          <w:rPr>
            <w:bCs/>
          </w:rPr>
          <w:t>Nepal</w:t>
        </w:r>
      </w:smartTag>
      <w:r w:rsidRPr="00C5494E">
        <w:rPr>
          <w:bCs/>
        </w:rPr>
        <w:t>; and 1.7 </w:t>
      </w:r>
      <w:r w:rsidR="000F4A58" w:rsidRPr="00C5494E">
        <w:rPr>
          <w:bCs/>
        </w:rPr>
        <w:t>per cent</w:t>
      </w:r>
      <w:r w:rsidRPr="00C5494E">
        <w:rPr>
          <w:bCs/>
        </w:rPr>
        <w:t xml:space="preserve"> in </w:t>
      </w:r>
      <w:smartTag w:uri="urn:schemas-microsoft-com:office:smarttags" w:element="country-region">
        <w:smartTag w:uri="urn:schemas-microsoft-com:office:smarttags" w:element="place">
          <w:r w:rsidRPr="00C5494E">
            <w:rPr>
              <w:bCs/>
            </w:rPr>
            <w:t>Bhutan</w:t>
          </w:r>
        </w:smartTag>
      </w:smartTag>
      <w:r w:rsidRPr="00C5494E">
        <w:rPr>
          <w:bCs/>
        </w:rPr>
        <w:t xml:space="preserve">. </w:t>
      </w:r>
      <w:smartTag w:uri="urn:schemas-microsoft-com:office:smarttags" w:element="country-region">
        <w:smartTag w:uri="urn:schemas-microsoft-com:office:smarttags" w:element="place">
          <w:r w:rsidRPr="00C5494E">
            <w:rPr>
              <w:bCs/>
            </w:rPr>
            <w:t>Maldives</w:t>
          </w:r>
        </w:smartTag>
      </w:smartTag>
      <w:r w:rsidRPr="00C5494E">
        <w:rPr>
          <w:bCs/>
        </w:rPr>
        <w:t xml:space="preserve"> was the only ABBMN country with a remarkably high uptake, with 33 mobile broadband subscriptions per 100 inhabitants.</w:t>
      </w:r>
    </w:p>
    <w:p w:rsidR="00F75B07" w:rsidRPr="00C5494E" w:rsidRDefault="00F75B07" w:rsidP="00C5494E">
      <w:r w:rsidRPr="00C5494E">
        <w:t>The fact that ABBMN countries have some of the lowest broadband penetration levels worldwide is partly explained by socio-economic, geographic and demographic conditions. All of them are classified by the United Nations as least developed countries. In terms of income, Bhutan and Maldives have significantly higher income per capita than Afghanistan, Bangladesh and Nepal, which is partly reflected in their different levels of broadband development. Population density and especially the percentage of urban population are also determining factors for broadband development. Maldives has clearly more advantageous demographic conditions (high population density and high percentage of urban population, most of it concentrated in Male), while on the other hand Afghanistan and especially Nepal have relatively adverse conditions (e.g. high percentage of rural population).</w:t>
      </w:r>
    </w:p>
    <w:p w:rsidR="00F75B07" w:rsidRPr="00C5494E" w:rsidRDefault="00F75B07" w:rsidP="00C5494E">
      <w:r w:rsidRPr="00C5494E">
        <w:t xml:space="preserve">Geography is also a major determinant for the deployment of new broadband networks, which may influence the type of technology, and ultimately the prices paid by end users. Indeed, the challenges to promote access to broadband technologies are not the same in the rugged mountains and the hills of Nepal as in the densely-populated lowlands of the Ganges delta, in Bangladesh. They are neither the same in the </w:t>
      </w:r>
      <w:r w:rsidR="00C5494E" w:rsidRPr="00C5494E">
        <w:t xml:space="preserve">26 </w:t>
      </w:r>
      <w:r w:rsidRPr="00C5494E">
        <w:t xml:space="preserve">small though geographically spread atolls of Maldives, nor in the isolated forestland of Bhutan, nor in highlands and plains of Afghanistan, the largest </w:t>
      </w:r>
      <w:r w:rsidR="000F4A58" w:rsidRPr="00C5494E">
        <w:t>ABBMN</w:t>
      </w:r>
      <w:r w:rsidRPr="00C5494E">
        <w:t xml:space="preserve"> country. </w:t>
      </w:r>
    </w:p>
    <w:p w:rsidR="00F75B07" w:rsidRPr="00C5494E" w:rsidRDefault="00F75B07" w:rsidP="00C5494E">
      <w:r w:rsidRPr="00C5494E">
        <w:t xml:space="preserve">Despite some adverse socio-economic, geographic and demographic conditions (such as those </w:t>
      </w:r>
      <w:r w:rsidR="00C5494E" w:rsidRPr="00C5494E">
        <w:t xml:space="preserve">that </w:t>
      </w:r>
      <w:r w:rsidRPr="00C5494E">
        <w:t>ABBMN countries may have), ITU analy</w:t>
      </w:r>
      <w:r w:rsidR="00C5494E" w:rsidRPr="00C5494E">
        <w:t>zi</w:t>
      </w:r>
      <w:r w:rsidRPr="00C5494E">
        <w:t>s (ITU 2009a, 2010b) have shown that some countries have been able to overcome them and outperform</w:t>
      </w:r>
      <w:r w:rsidR="00C5494E" w:rsidRPr="00C5494E">
        <w:t>,</w:t>
      </w:r>
      <w:r w:rsidRPr="00C5494E">
        <w:t xml:space="preserve"> in terms of ICT development</w:t>
      </w:r>
      <w:r w:rsidR="00C5494E" w:rsidRPr="00C5494E">
        <w:t>,</w:t>
      </w:r>
      <w:r w:rsidRPr="00C5494E">
        <w:t xml:space="preserve"> other countries with more favo</w:t>
      </w:r>
      <w:r w:rsidR="00C5494E" w:rsidRPr="00C5494E">
        <w:t>u</w:t>
      </w:r>
      <w:r w:rsidRPr="00C5494E">
        <w:t xml:space="preserve">rable conditions. A mixture of factors may lead to such achievements, being some of the most relevant ones: enabling regulatory measures, efficient public policy initiatives, and the involvement of the private sector. </w:t>
      </w:r>
    </w:p>
    <w:p w:rsidR="00C927B0" w:rsidRPr="00C5494E" w:rsidRDefault="00E82816" w:rsidP="00E82816">
      <w:r>
        <w:t xml:space="preserve">Based on the analysis carried out in </w:t>
      </w:r>
      <w:r w:rsidR="00F75B07" w:rsidRPr="00C5494E">
        <w:t xml:space="preserve">Chapter 4 </w:t>
      </w:r>
      <w:r>
        <w:t>taking into account</w:t>
      </w:r>
      <w:r w:rsidR="00F75B07" w:rsidRPr="00C5494E">
        <w:t xml:space="preserve"> seven priority areas of regulatory and policy action in ABBMN countries, </w:t>
      </w:r>
      <w:r>
        <w:t>following</w:t>
      </w:r>
      <w:r w:rsidR="00F75B07" w:rsidRPr="00C5494E">
        <w:t xml:space="preserve"> recommendations </w:t>
      </w:r>
      <w:r>
        <w:t>are proposed</w:t>
      </w:r>
      <w:r w:rsidR="00F75B07" w:rsidRPr="00C5494E">
        <w:t xml:space="preserve"> to </w:t>
      </w:r>
      <w:r>
        <w:t>stimulate</w:t>
      </w:r>
      <w:r w:rsidR="00F75B07" w:rsidRPr="00C5494E">
        <w:t xml:space="preserve"> broadband development:</w:t>
      </w:r>
    </w:p>
    <w:p w:rsidR="00F75B07" w:rsidRPr="00C5494E" w:rsidRDefault="00F75B07" w:rsidP="00C5494E">
      <w:pPr>
        <w:pStyle w:val="Heading9"/>
        <w:rPr>
          <w:shd w:val="pct15" w:color="auto" w:fill="FFFFFF"/>
          <w:lang w:val="en-GB"/>
        </w:rPr>
      </w:pPr>
      <w:bookmarkStart w:id="60" w:name="_Toc273623643"/>
      <w:r w:rsidRPr="00C5494E">
        <w:rPr>
          <w:lang w:val="en-GB"/>
        </w:rPr>
        <w:t>1.</w:t>
      </w:r>
      <w:r w:rsidRPr="00C5494E">
        <w:rPr>
          <w:lang w:val="en-GB"/>
        </w:rPr>
        <w:tab/>
        <w:t xml:space="preserve">National </w:t>
      </w:r>
      <w:r w:rsidR="00C5494E" w:rsidRPr="00C5494E">
        <w:rPr>
          <w:lang w:val="en-GB"/>
        </w:rPr>
        <w:t xml:space="preserve">regulatory authorities </w:t>
      </w:r>
      <w:bookmarkEnd w:id="60"/>
    </w:p>
    <w:p w:rsidR="00F75B07" w:rsidRPr="00C5494E" w:rsidRDefault="00F75B07" w:rsidP="00C5494E">
      <w:r w:rsidRPr="00C5494E">
        <w:t xml:space="preserve">All ABBMN countries have an independent regulatory authority. However, in Bhutan and Maldives the regulator has not </w:t>
      </w:r>
      <w:r w:rsidR="00C5494E" w:rsidRPr="00C5494E">
        <w:t>been given specific</w:t>
      </w:r>
      <w:r w:rsidRPr="00C5494E">
        <w:t xml:space="preserve"> power</w:t>
      </w:r>
      <w:r w:rsidR="00C5494E" w:rsidRPr="00C5494E">
        <w:t>s</w:t>
      </w:r>
      <w:r w:rsidRPr="00C5494E">
        <w:t xml:space="preserve"> to issue binding decisions to solve disputes among operators. In the context of broadband, this is important to solve conflicts about infrastructure sharing, and in general about access to broadband inputs. Bhutan and Maldives should consider including that among the regulatory authority’s tasks, either covering all kind of dispute resolutions or specifically infrastructure</w:t>
      </w:r>
      <w:r w:rsidR="00C5494E" w:rsidRPr="00C5494E">
        <w:t>-</w:t>
      </w:r>
      <w:r w:rsidRPr="00C5494E">
        <w:t xml:space="preserve">sharing ones (see for an example §5.8 of Bangladesh’s guidelines for infrastructure sharing: BTRC, 2008). </w:t>
      </w:r>
    </w:p>
    <w:p w:rsidR="00F75B07" w:rsidRPr="00C5494E" w:rsidRDefault="00F75B07" w:rsidP="00C5494E">
      <w:r w:rsidRPr="00C5494E">
        <w:lastRenderedPageBreak/>
        <w:t>In order to provide further legal certainty to incentivize long-term investment in broadband networks, Afghanistan, Bhutan and Maldives should consider reviewing the process to overturn the regulator’s decisions regarding broadband markets. To be aligned with the common practice in developed countries, the last decision should lie in a judiciary organ, not in a political one (this is especially advisable in the case of Bhutan and Maldives, where the main fixed broadband operator has a significant share of public ownership).</w:t>
      </w:r>
    </w:p>
    <w:p w:rsidR="00F75B07" w:rsidRPr="00C5494E" w:rsidRDefault="00F75B07" w:rsidP="00F75B07">
      <w:pPr>
        <w:pStyle w:val="Heading9"/>
        <w:rPr>
          <w:lang w:val="en-GB"/>
        </w:rPr>
      </w:pPr>
      <w:r w:rsidRPr="00C5494E">
        <w:rPr>
          <w:lang w:val="en-GB"/>
        </w:rPr>
        <w:t>2.</w:t>
      </w:r>
      <w:r w:rsidRPr="00C5494E">
        <w:rPr>
          <w:lang w:val="en-GB"/>
        </w:rPr>
        <w:tab/>
        <w:t>Fixed network infrastructure</w:t>
      </w:r>
    </w:p>
    <w:p w:rsidR="00F75B07" w:rsidRPr="00C5494E" w:rsidRDefault="00F75B07" w:rsidP="00C5494E">
      <w:r w:rsidRPr="00C5494E">
        <w:t>ABBMN countries could significantly improve their fixed broadband penetration by using the fixed telephone infrastructure already in place to provide data services at broadband speeds. This is especially true for Afghanistan, Bangladesh, Bhutan and Nepal, because these countries make a low usage of their fixed telephone network to provide fixed broadband services.</w:t>
      </w:r>
    </w:p>
    <w:p w:rsidR="00F75B07" w:rsidRPr="00C5494E" w:rsidRDefault="00F75B07" w:rsidP="00C5494E">
      <w:r w:rsidRPr="00C5494E">
        <w:t xml:space="preserve">Bangladesh, Bhutan and Nepal should consider reviewing the deployment plans of the main (public) fixed broadband operator, in order to include ambitious targets concerning the extension of xDSL services to more nodes of the fixed telephone network. In Afghanistan and Maldives, where the main fixed broadband operator is fully or partially privatized, tax rebates for the import of ICT equipment could be considered, among other incentives. These incentives should be technologically neutral and cover all fixed broadband technologies. </w:t>
      </w:r>
    </w:p>
    <w:p w:rsidR="00F75B07" w:rsidRPr="00C5494E" w:rsidRDefault="00F75B07" w:rsidP="00C5494E">
      <w:r w:rsidRPr="00C5494E">
        <w:t>Additionally to supply-side initiatives, all ABBMN countries should consider measures to promote demand, such as those aimed at improving affordability, local content, e-literacy and e-government services for stimulating take up of broadband applications. Demand-side policies will be necessary in order to create the right incentives for a fixed broadband business case, especially in underserved areas and/or among vulnerable groups.</w:t>
      </w:r>
    </w:p>
    <w:p w:rsidR="00F75B07" w:rsidRPr="00C5494E" w:rsidRDefault="00F75B07" w:rsidP="00F75B07">
      <w:pPr>
        <w:pStyle w:val="Heading9"/>
        <w:rPr>
          <w:lang w:val="en-GB"/>
        </w:rPr>
      </w:pPr>
      <w:r w:rsidRPr="00C5494E">
        <w:rPr>
          <w:lang w:val="en-GB"/>
        </w:rPr>
        <w:t>3.</w:t>
      </w:r>
      <w:r w:rsidRPr="00C5494E">
        <w:rPr>
          <w:lang w:val="en-GB"/>
        </w:rPr>
        <w:tab/>
        <w:t>Personal computer penetration</w:t>
      </w:r>
    </w:p>
    <w:p w:rsidR="00F75B07" w:rsidRPr="00C5494E" w:rsidRDefault="00F75B07" w:rsidP="00C5494E">
      <w:r w:rsidRPr="00C5494E">
        <w:t xml:space="preserve">Low personal computer penetration may be a major obstacle for further fixed broadband development in Afghanistan, Bangladesh and Bhutan. In Nepal, although there may be other bigger barriers for broadband uptake, there is also a need to improve personal computer penetration. </w:t>
      </w:r>
    </w:p>
    <w:p w:rsidR="00F75B07" w:rsidRPr="00C5494E" w:rsidRDefault="00F75B07" w:rsidP="00F75B07">
      <w:r w:rsidRPr="00C5494E">
        <w:t>ABBMN countries should consider defining national program</w:t>
      </w:r>
      <w:r w:rsidR="00C5494E" w:rsidRPr="00C5494E">
        <w:t>me</w:t>
      </w:r>
      <w:r w:rsidRPr="00C5494E">
        <w:t>s for the distribution of low-cost computing devices (LCCD) among students and other high-usage groups with no access to PCs. Plans should identify the priority groups for LCCD distribution and follow a scalable approach: starting with pilot projects and evolving to larger-scale deployments, with clearly defined time frames. LCCD program</w:t>
      </w:r>
      <w:r w:rsidR="00C5494E" w:rsidRPr="00C5494E">
        <w:t>me</w:t>
      </w:r>
      <w:r w:rsidRPr="00C5494E">
        <w:t xml:space="preserve">s should be leveraged by public-private partnerships involving private funding. Additionally, international donors (such as NGOs, multi-lateral development agencies, or LCCD vendors) could contribute to the funding. Universal Service Funds could also be used for this purpose. </w:t>
      </w:r>
    </w:p>
    <w:p w:rsidR="00F75B07" w:rsidRPr="00C5494E" w:rsidRDefault="00F75B07" w:rsidP="00C5494E">
      <w:r w:rsidRPr="00C5494E">
        <w:t xml:space="preserve">A complementary approach that ABBMN countries should consider would be that of fostering different types of (both public and private) community </w:t>
      </w:r>
      <w:r w:rsidR="000F4A58" w:rsidRPr="00C5494E">
        <w:t>centre</w:t>
      </w:r>
      <w:r w:rsidRPr="00C5494E">
        <w:t>s equipped with broadband Internet connections. ABBMN countries should focus on connecting schools and communities leveraging on initiatives such as ITU’s “Connect a School, Connect a Community”. The first step would be defining a well structured and realistic school</w:t>
      </w:r>
      <w:r w:rsidR="00C5494E" w:rsidRPr="00C5494E">
        <w:t xml:space="preserve"> </w:t>
      </w:r>
      <w:r w:rsidRPr="00C5494E">
        <w:t>connectivity plan, with medium-, short- and long-term objectives.</w:t>
      </w:r>
    </w:p>
    <w:p w:rsidR="00F75B07" w:rsidRPr="00C5494E" w:rsidRDefault="00F75B07" w:rsidP="00C5494E">
      <w:r w:rsidRPr="00C5494E">
        <w:t xml:space="preserve">ABBMN countries should also consider additional forms of promotion of community access to broadband. An example of this is the initiative “Extend e-services through post offices in Bhutan”. Similar projects could be considered in the remaining ABBMN countries, and in Bhutan a second phase of it could be envisaged, targeting the lower tier of the Bhutan Post structure (70 </w:t>
      </w:r>
      <w:r w:rsidR="00C5494E" w:rsidRPr="00C5494E">
        <w:t>community mail offices</w:t>
      </w:r>
      <w:r w:rsidRPr="00C5494E">
        <w:t>).</w:t>
      </w:r>
    </w:p>
    <w:p w:rsidR="00F75B07" w:rsidRPr="00C5494E" w:rsidRDefault="00F75B07" w:rsidP="00F75B07">
      <w:pPr>
        <w:pStyle w:val="Heading9"/>
        <w:rPr>
          <w:lang w:val="en-GB"/>
        </w:rPr>
      </w:pPr>
      <w:r w:rsidRPr="00C5494E">
        <w:rPr>
          <w:lang w:val="en-GB"/>
        </w:rPr>
        <w:lastRenderedPageBreak/>
        <w:t>4.</w:t>
      </w:r>
      <w:r w:rsidRPr="00C5494E">
        <w:rPr>
          <w:lang w:val="en-GB"/>
        </w:rPr>
        <w:tab/>
        <w:t>Broadband prices</w:t>
      </w:r>
    </w:p>
    <w:p w:rsidR="00F75B07" w:rsidRPr="00C5494E" w:rsidRDefault="00F75B07" w:rsidP="00C5494E">
      <w:r w:rsidRPr="00C5494E">
        <w:t>Afghanistan should consider the promotion of alternative technologies to VSAT for fixed broadband provision, in order to promote more cost-efficient technologies in those areas where it is economically feasible. This could involve speeding-up WiMAX licensing, and including coverage requirements in the l</w:t>
      </w:r>
      <w:r w:rsidR="000F4A58" w:rsidRPr="00C5494E">
        <w:t>icenc</w:t>
      </w:r>
      <w:r w:rsidRPr="00C5494E">
        <w:t xml:space="preserve">es. Additionally, an </w:t>
      </w:r>
      <w:r w:rsidR="00527AA9" w:rsidRPr="00C5494E">
        <w:t>analyzis</w:t>
      </w:r>
      <w:r w:rsidRPr="00C5494E">
        <w:t xml:space="preserve"> of the current status of the fixed telephone network should identify those areas where xDSL technologies could be used to provide cost-efficient fixed broadband services. These initiatives should be complemented by measures to promote demand (e.g. among SMEs or vulnerable groups). The country should revise its needs of international connectivity, and set a plan for maintaining and upgrading the current international connections. Aggregation of domestic demand for international bandwidth should be sought in order to obtain lower international connectivity prices. Agreements with neighbo</w:t>
      </w:r>
      <w:r w:rsidR="00C5494E" w:rsidRPr="00C5494E">
        <w:t>u</w:t>
      </w:r>
      <w:r w:rsidRPr="00C5494E">
        <w:t>ring count</w:t>
      </w:r>
      <w:r w:rsidR="00C5494E" w:rsidRPr="00C5494E">
        <w:t>ries could also help consolidate</w:t>
      </w:r>
      <w:r w:rsidRPr="00C5494E">
        <w:t xml:space="preserve"> demand for international bandwidth, and could be a means of assuring access to international hubs at reasonable bandwidth prices.</w:t>
      </w:r>
    </w:p>
    <w:p w:rsidR="00F75B07" w:rsidRPr="00C5494E" w:rsidRDefault="00F75B07" w:rsidP="00F75B07">
      <w:r w:rsidRPr="00C5494E">
        <w:t>In order to make low fixed broadband prices available to a larger part of the population, Bangladesh should consolidate the offer of xDSL services in the main cities, and extend it to other areas in the country. This could be done by reviewing the plans of the incumbent for upgrading the fixed telephone network to provide xDSL services, as well as by analyzing the possibility of opening-up the incumbent’s network to other fixed broadband providers (e.g. by mandating access obligations to wholesale inputs). Additionally, the state monopoly in the backhaul segment of international connections should be revised, in order to eliminate artificial constraints to international Internet bandwidth prices. As in the case of Afghanistan, regional agreements with neighbo</w:t>
      </w:r>
      <w:r w:rsidR="00C5494E">
        <w:t>u</w:t>
      </w:r>
      <w:r w:rsidRPr="00C5494E">
        <w:t>ring countries could help consolidating demand, and thus lowering international bandwidth prices.</w:t>
      </w:r>
    </w:p>
    <w:p w:rsidR="00F75B07" w:rsidRPr="00C5494E" w:rsidRDefault="00F75B07" w:rsidP="00440688">
      <w:r w:rsidRPr="00C5494E">
        <w:t xml:space="preserve">Bhutan could review the incumbent’s xDSL deployment plan in order to extend the benefits of low fixed broadband prices to more areas in the country. This should be complemented by measures to promote demand among vulnerable groups, such as tax exemption for the purchase of ICT devices or subsidies to low-income groups for fixed broadband subscriptions. Additionally, a market </w:t>
      </w:r>
      <w:r w:rsidR="00527AA9" w:rsidRPr="00C5494E">
        <w:t>analy</w:t>
      </w:r>
      <w:r w:rsidR="00440688">
        <w:t>s</w:t>
      </w:r>
      <w:r w:rsidR="00527AA9" w:rsidRPr="00C5494E">
        <w:t>is</w:t>
      </w:r>
      <w:r w:rsidRPr="00C5494E">
        <w:t xml:space="preserve"> should be carried out to assess the possibility of opening up the incumbent’s fixed broadband access network to competition, which could help reduce fixed broadband prices in areas with sufficient demand. </w:t>
      </w:r>
    </w:p>
    <w:p w:rsidR="00F75B07" w:rsidRPr="00C5494E" w:rsidRDefault="00440688" w:rsidP="00440688">
      <w:r>
        <w:t>In order to overcome the</w:t>
      </w:r>
      <w:r w:rsidR="00F75B07" w:rsidRPr="00C5494E">
        <w:t xml:space="preserve"> shortage of international connectivity, which constrains fixed broadband prices, </w:t>
      </w:r>
      <w:r>
        <w:t xml:space="preserve">Nepal should </w:t>
      </w:r>
      <w:r w:rsidR="00F75B07" w:rsidRPr="00C5494E">
        <w:t xml:space="preserve">develop a mid-term deployment plan of new international fibre connections. The incumbent’s xDSL deployment plan should be reviewed in order to extend the availability of xDSL connections. Taking into account the special geography of the country, Nepal should study what areas of the country will have to be covered by alternative technologies, such as WiMAX and VSAT. In these areas, demand-side subsidies should be envisaged in order to compensate the higher cost of broadband provision. </w:t>
      </w:r>
    </w:p>
    <w:p w:rsidR="00F75B07" w:rsidRPr="00C5494E" w:rsidRDefault="00F75B07" w:rsidP="00F75B07">
      <w:r w:rsidRPr="00C5494E">
        <w:t>Maldives should finalize the interconnection of the two main networks in the country, and monitor whether that rules out the need of an IXP. Unlike other ABBMN countries, the affordability of fixed broadband services in Maldives is comparable to that of developed countries. In order to ensure that this benefits a significant part of the population, it would be good to carry out a study of fixed broadband prices in the different regions within the country, to detect any unbalance (especially in rural and remote areas).</w:t>
      </w:r>
    </w:p>
    <w:p w:rsidR="00F75B07" w:rsidRPr="00C5494E" w:rsidRDefault="00F75B07" w:rsidP="00F75B07">
      <w:pPr>
        <w:pStyle w:val="Heading9"/>
        <w:rPr>
          <w:lang w:val="en-GB"/>
        </w:rPr>
      </w:pPr>
      <w:r w:rsidRPr="00C5494E">
        <w:rPr>
          <w:lang w:val="en-GB"/>
        </w:rPr>
        <w:t>5.</w:t>
      </w:r>
      <w:r w:rsidRPr="00C5494E">
        <w:rPr>
          <w:lang w:val="en-GB"/>
        </w:rPr>
        <w:tab/>
        <w:t>National broadband plan and funding</w:t>
      </w:r>
    </w:p>
    <w:p w:rsidR="00F75B07" w:rsidRPr="00C5494E" w:rsidRDefault="00F75B07" w:rsidP="00F75B07">
      <w:r w:rsidRPr="00C5494E">
        <w:t>There is no one-size-fits-all policy approach to universal access to broadband. However, the development of a national broadband plan, such as the National Broadband Policy of Bangladesh, may help align national efforts towards achieving a common set of targets.</w:t>
      </w:r>
    </w:p>
    <w:p w:rsidR="00F75B07" w:rsidRPr="00C5494E" w:rsidRDefault="00F75B07" w:rsidP="00F75B07">
      <w:r w:rsidRPr="00C5494E">
        <w:t xml:space="preserve">Maldives, which is the only ABBMN country that has not yet started developing a national broadband plan, should do so. Afghanistan and Nepal should continue their ongoing efforts to define their national broadband strategies. All ABBMN countries should have an operational national broadband plan in the short term (i.e. operative by 2012). </w:t>
      </w:r>
    </w:p>
    <w:p w:rsidR="00F75B07" w:rsidRPr="00C5494E" w:rsidRDefault="00F75B07" w:rsidP="00C5494E">
      <w:r w:rsidRPr="00C5494E">
        <w:lastRenderedPageBreak/>
        <w:t xml:space="preserve">National broadband strategies should consider, </w:t>
      </w:r>
      <w:r w:rsidRPr="00C5494E">
        <w:rPr>
          <w:i/>
          <w:iCs/>
        </w:rPr>
        <w:t>inter alia</w:t>
      </w:r>
      <w:r w:rsidRPr="00C5494E">
        <w:t xml:space="preserve">, the following issues: the inclusion of broadband in the universal service and, if so, the definition of a transparent funding mechanism; alternative financing mechanisms for broadband, such as tax incentives and the use of rural development funds for broadband promotion in rural areas; public deployments of broadband infrastructure (e.g. shared backbone/backhaul networks, open access networks, public-private network deployments, etc.); general connectivity needs (both national, i.e. IXPs, and international); compliance with WSIS targets, if possible with broadband connections; and spectrum allocation and assignment for wireless broadband services. </w:t>
      </w:r>
    </w:p>
    <w:p w:rsidR="00F75B07" w:rsidRPr="00C5494E" w:rsidRDefault="00F75B07" w:rsidP="00F75B07">
      <w:r w:rsidRPr="00C5494E">
        <w:t xml:space="preserve">A first step towards including broadband in universal service policies would be to revise the policy documents to include “broadband Internet provision” in the new funded projects, instead of just mandating “Internet provision”. </w:t>
      </w:r>
    </w:p>
    <w:p w:rsidR="00F75B07" w:rsidRPr="00C5494E" w:rsidRDefault="00F75B07" w:rsidP="00C5494E">
      <w:r w:rsidRPr="00C5494E">
        <w:t xml:space="preserve">Bangladesh should continue developing the policy initiatives necessary to achieve the targets set in its National Broadband Policy, especially those related with short-term objectives (to be achieved by the end of 2010). These include the creation of a universal service fund, assuring the existence of at least one IXP in each divisional headquarter, and establishing broadband connections in all public libraries. Additionally, Bangladesh should consider carrying out comprehensive monitoring reports at the end of each implementation phase of the National Broadband Policy (end 2010, end 2012, and end 2015), which could provide practical feedback to the development of the targets set </w:t>
      </w:r>
      <w:r w:rsidR="00C5494E">
        <w:t>for</w:t>
      </w:r>
      <w:r w:rsidRPr="00C5494E">
        <w:t xml:space="preserve"> the next phase, and at the end of the plan.</w:t>
      </w:r>
    </w:p>
    <w:p w:rsidR="00F75B07" w:rsidRPr="00C5494E" w:rsidRDefault="00F75B07" w:rsidP="00011BA4">
      <w:r w:rsidRPr="00C5494E">
        <w:t>Bhutan should consider developing a policy document defining the implementation targets to be achieved concerning all the broadband recommendations and considerations analyzed in the Broadband Master Plan. This document would contain targets systematically ordered with their corresponding time frames, and quantifiable objectives. The document could also include concrete proposal for meeting the WSIS targets. Bhutan could also monitor the evolution of the forecasts set in the Master Plan (e.g. international traffic needs after introduction of ADSL), and the level of achievement of the targets set (roll</w:t>
      </w:r>
      <w:r w:rsidR="00011BA4">
        <w:t>-</w:t>
      </w:r>
      <w:r w:rsidRPr="00C5494E">
        <w:t xml:space="preserve">out of community information </w:t>
      </w:r>
      <w:r w:rsidR="000F4A58" w:rsidRPr="00C5494E">
        <w:t>centre</w:t>
      </w:r>
      <w:r w:rsidRPr="00C5494E">
        <w:t xml:space="preserve">s, fixed broadband network deployment in </w:t>
      </w:r>
      <w:proofErr w:type="spellStart"/>
      <w:r w:rsidRPr="00C5494E">
        <w:t>Gewogs</w:t>
      </w:r>
      <w:proofErr w:type="spellEnd"/>
      <w:r w:rsidRPr="00C5494E">
        <w:t>, etc.).</w:t>
      </w:r>
    </w:p>
    <w:p w:rsidR="00F75B07" w:rsidRPr="00C5494E" w:rsidRDefault="00F75B07" w:rsidP="00F75B07">
      <w:pPr>
        <w:pStyle w:val="Heading9"/>
        <w:rPr>
          <w:lang w:val="en-GB"/>
        </w:rPr>
      </w:pPr>
      <w:r w:rsidRPr="00C5494E">
        <w:rPr>
          <w:lang w:val="en-GB"/>
        </w:rPr>
        <w:t>6.</w:t>
      </w:r>
      <w:r w:rsidRPr="00C5494E">
        <w:rPr>
          <w:lang w:val="en-GB"/>
        </w:rPr>
        <w:tab/>
        <w:t>Authorization/licensing</w:t>
      </w:r>
    </w:p>
    <w:p w:rsidR="00F75B07" w:rsidRPr="00C5494E" w:rsidRDefault="00F75B07" w:rsidP="00C5494E">
      <w:r w:rsidRPr="00C5494E">
        <w:t xml:space="preserve">ABBMN countries should assess whether </w:t>
      </w:r>
      <w:r w:rsidR="00C5494E" w:rsidRPr="00C5494E">
        <w:t>time</w:t>
      </w:r>
      <w:r w:rsidR="00C5494E">
        <w:t xml:space="preserve"> </w:t>
      </w:r>
      <w:r w:rsidRPr="00C5494E">
        <w:t>has come to advance towards authorization regimes based on general authorization and unified licen</w:t>
      </w:r>
      <w:r w:rsidR="000F4A58" w:rsidRPr="00C5494E">
        <w:t>c</w:t>
      </w:r>
      <w:r w:rsidRPr="00C5494E">
        <w:t>es, with individual licen</w:t>
      </w:r>
      <w:r w:rsidR="000F4A58" w:rsidRPr="00C5494E">
        <w:t>c</w:t>
      </w:r>
      <w:r w:rsidRPr="00C5494E">
        <w:t>es awarded additionally for the use of limited resources, such as numbers and some frequency bands. A further step to be considered would be a regime based only on administrative notification.</w:t>
      </w:r>
    </w:p>
    <w:p w:rsidR="00F75B07" w:rsidRPr="00C5494E" w:rsidRDefault="00F75B07" w:rsidP="00011BA4">
      <w:r w:rsidRPr="00C5494E">
        <w:t>Licen</w:t>
      </w:r>
      <w:r w:rsidR="000F4A58" w:rsidRPr="00C5494E">
        <w:t>c</w:t>
      </w:r>
      <w:r w:rsidRPr="00C5494E">
        <w:t>e fees should be determined in order to reflect as much as possible only the administrative costs incurred and</w:t>
      </w:r>
      <w:r w:rsidR="00011BA4">
        <w:t>,</w:t>
      </w:r>
      <w:r w:rsidRPr="00C5494E">
        <w:t xml:space="preserve"> in the case of frequency bands</w:t>
      </w:r>
      <w:r w:rsidR="00011BA4">
        <w:t>,</w:t>
      </w:r>
      <w:r w:rsidRPr="00C5494E">
        <w:t xml:space="preserve"> its value and availability. Licen</w:t>
      </w:r>
      <w:r w:rsidR="000F4A58" w:rsidRPr="00C5494E">
        <w:t>c</w:t>
      </w:r>
      <w:r w:rsidRPr="00C5494E">
        <w:t>e fees including unjustified costs are burdensome for operators and will deter the entry of new players in the market, which ultimately will have a negative impact on the choices (both in terms of price and quality) available to end users.</w:t>
      </w:r>
    </w:p>
    <w:p w:rsidR="00F75B07" w:rsidRPr="00C5494E" w:rsidRDefault="00F75B07" w:rsidP="00F75B07">
      <w:r w:rsidRPr="00C5494E">
        <w:t>Reasonable maximum periods for decisions on granting authorizations should be clearly defined in laws or policy documents (e.g. three weeks).</w:t>
      </w:r>
    </w:p>
    <w:p w:rsidR="00F75B07" w:rsidRPr="00C5494E" w:rsidRDefault="00F75B07" w:rsidP="00F75B07">
      <w:r w:rsidRPr="00C5494E">
        <w:t>Afghanistan, Bangladesh and Bhutan should consider adopting initiatives favo</w:t>
      </w:r>
      <w:r w:rsidR="00C5494E">
        <w:t>u</w:t>
      </w:r>
      <w:r w:rsidRPr="00C5494E">
        <w:t>ring rural ISPs by advantageous authorization conditions, such as those implemented in Maldives and Nepal.</w:t>
      </w:r>
    </w:p>
    <w:p w:rsidR="00F75B07" w:rsidRPr="00C5494E" w:rsidRDefault="00F75B07" w:rsidP="00F75B07">
      <w:r w:rsidRPr="00C5494E">
        <w:t xml:space="preserve">Wireless broadband spectrum will play a crucial role in broadband development, especially in rural and sparsely populated areas, where wireless deployments are much more cost effective than wired ones. </w:t>
      </w:r>
    </w:p>
    <w:p w:rsidR="00F75B07" w:rsidRPr="00C5494E" w:rsidRDefault="00F75B07" w:rsidP="00440688">
      <w:r w:rsidRPr="00C5494E">
        <w:t>Bhutan and Nepal should assign additional 3G licen</w:t>
      </w:r>
      <w:r w:rsidR="000F4A58" w:rsidRPr="00C5494E">
        <w:t>c</w:t>
      </w:r>
      <w:r w:rsidRPr="00C5494E">
        <w:t xml:space="preserve">es in order to bring competition into the mobile broadband market. Moreover, they should consider allocating and assigning frequencies for WiMAX services. Bhutan should explore the possibility of </w:t>
      </w:r>
      <w:proofErr w:type="spellStart"/>
      <w:r w:rsidRPr="00C5494E">
        <w:t>refarming</w:t>
      </w:r>
      <w:proofErr w:type="spellEnd"/>
      <w:r w:rsidRPr="00C5494E">
        <w:t xml:space="preserve"> spectrum bands to allocate additional spectrum for wireless broadband services (e.g. the digital dividend, GSM</w:t>
      </w:r>
      <w:r w:rsidR="00C5494E">
        <w:t>-</w:t>
      </w:r>
      <w:r w:rsidRPr="00C5494E">
        <w:t xml:space="preserve">restricted bands or LMDS ones). Nepal </w:t>
      </w:r>
      <w:r w:rsidRPr="00C5494E">
        <w:lastRenderedPageBreak/>
        <w:t xml:space="preserve">should continue its plans to </w:t>
      </w:r>
      <w:proofErr w:type="spellStart"/>
      <w:r w:rsidRPr="00C5494E">
        <w:t>refarm</w:t>
      </w:r>
      <w:proofErr w:type="spellEnd"/>
      <w:r w:rsidRPr="00C5494E">
        <w:t xml:space="preserve"> the 2.3 GHz and 2.5 GHz frequency bands for wireless broadband purposes, such as WiMAX licensing.</w:t>
      </w:r>
    </w:p>
    <w:p w:rsidR="00F75B07" w:rsidRPr="00C5494E" w:rsidRDefault="00F75B07" w:rsidP="000F4A58">
      <w:r w:rsidRPr="00C5494E">
        <w:t>Maldives – the only ABBMN country that has not yet defined licen</w:t>
      </w:r>
      <w:r w:rsidR="000F4A58" w:rsidRPr="00C5494E">
        <w:t>c</w:t>
      </w:r>
      <w:r w:rsidRPr="00C5494E">
        <w:t xml:space="preserve">e-free bands for </w:t>
      </w:r>
      <w:r w:rsidR="000F4A58" w:rsidRPr="00C5494E">
        <w:t>Wi-Fi</w:t>
      </w:r>
      <w:r w:rsidRPr="00C5494E">
        <w:t xml:space="preserve"> – should consider allocating frequencies for th</w:t>
      </w:r>
      <w:r w:rsidR="000F4A58" w:rsidRPr="00C5494E">
        <w:t>at purpose. Allocation of licenc</w:t>
      </w:r>
      <w:r w:rsidRPr="00C5494E">
        <w:t xml:space="preserve">e-free </w:t>
      </w:r>
      <w:r w:rsidR="000F4A58" w:rsidRPr="00C5494E">
        <w:t>Wi-Fi</w:t>
      </w:r>
      <w:r w:rsidRPr="00C5494E">
        <w:t xml:space="preserve"> bands can complement the needs of mobile broadband networks by providing additional backhaul capacity.</w:t>
      </w:r>
    </w:p>
    <w:p w:rsidR="00F75B07" w:rsidRPr="00C5494E" w:rsidRDefault="00F75B07" w:rsidP="000F4A58">
      <w:r w:rsidRPr="00C5494E">
        <w:t>Afghanistan should finalize the permanent assignment of WiMAX frequencies, and the bidding process for 3G licen</w:t>
      </w:r>
      <w:r w:rsidR="000F4A58" w:rsidRPr="00C5494E">
        <w:t>c</w:t>
      </w:r>
      <w:r w:rsidRPr="00C5494E">
        <w:t>es. The country should as far as possible maintain in the final WiMAX licensing the variety of operators and the high level of private involvement of the temporary licensing. It would also be good to have such positive features in the assignment of the 3G licen</w:t>
      </w:r>
      <w:r w:rsidR="000F4A58" w:rsidRPr="00C5494E">
        <w:t>c</w:t>
      </w:r>
      <w:r w:rsidRPr="00C5494E">
        <w:t xml:space="preserve">es. </w:t>
      </w:r>
    </w:p>
    <w:p w:rsidR="00F75B07" w:rsidRPr="00C5494E" w:rsidRDefault="00F75B07" w:rsidP="00440688">
      <w:r w:rsidRPr="00C5494E">
        <w:t>Bangladesh should speed up the assignment of the 2.1 GHz band for 3G services, which are currently not available in the country. It would be good to involve private operators in the process, as the country has already done for the WiMAX licensing. Bangladesh should continue implementing the analogue</w:t>
      </w:r>
      <w:r w:rsidR="00C5494E">
        <w:t>-</w:t>
      </w:r>
      <w:r w:rsidRPr="00C5494E">
        <w:t>to</w:t>
      </w:r>
      <w:r w:rsidR="00C5494E">
        <w:t>-</w:t>
      </w:r>
      <w:r w:rsidRPr="00C5494E">
        <w:t>digital TV switchover in the 700 MHz band (i.e. clearing it, allocating and assigning frequencies), and carry on with the plans to assign at least part of the digital dividend to wireless broadband technologies (</w:t>
      </w:r>
      <w:r w:rsidR="00440688">
        <w:t>IMT Advanced</w:t>
      </w:r>
      <w:r w:rsidRPr="00C5494E">
        <w:t xml:space="preserve"> envisaged). </w:t>
      </w:r>
    </w:p>
    <w:p w:rsidR="00F75B07" w:rsidRPr="00C5494E" w:rsidRDefault="00F75B07" w:rsidP="00C5494E">
      <w:r w:rsidRPr="00C5494E">
        <w:t>Afghanistan and Bangladesh – the two ABBMN countries where no 3G licen</w:t>
      </w:r>
      <w:r w:rsidR="000F4A58" w:rsidRPr="00C5494E">
        <w:t>c</w:t>
      </w:r>
      <w:r w:rsidRPr="00C5494E">
        <w:t>es have been awarded yet – could elaborate a study on the estimated costs of 3G roll</w:t>
      </w:r>
      <w:r w:rsidR="00C5494E">
        <w:t>-</w:t>
      </w:r>
      <w:r w:rsidRPr="00C5494E">
        <w:t>out, and benchmark them against different revenue scenarios. The results of such a study could set the reasonable expectations for 3G roll-out, and be a starting point for the discussion between policy</w:t>
      </w:r>
      <w:r w:rsidR="00C5494E">
        <w:t>-</w:t>
      </w:r>
      <w:r w:rsidRPr="00C5494E">
        <w:t>makers and operators on how to cooperate in order to bring 3G coverage to rural/remote areas.</w:t>
      </w:r>
    </w:p>
    <w:p w:rsidR="00F75B07" w:rsidRPr="00C5494E" w:rsidRDefault="00F75B07" w:rsidP="000F4A58">
      <w:r w:rsidRPr="00C5494E">
        <w:t>All ABBMN countries should consider allowing secondary trading in the IMT-2000 bands (currently none of them allows it), which could lead to a more efficient use of the available spectrum</w:t>
      </w:r>
      <w:r w:rsidR="00440688">
        <w:t xml:space="preserve"> based on market mechanisms</w:t>
      </w:r>
      <w:r w:rsidRPr="00C5494E">
        <w:t>. This measure is easier to implement in the early stages of wireless broadband licensing than later, because it may create unfair disadvantages between licen</w:t>
      </w:r>
      <w:r w:rsidR="000F4A58" w:rsidRPr="00C5494E">
        <w:t>c</w:t>
      </w:r>
      <w:r w:rsidRPr="00C5494E">
        <w:t xml:space="preserve">es with and without secondary trading allowed. </w:t>
      </w:r>
    </w:p>
    <w:p w:rsidR="00F75B07" w:rsidRPr="00C5494E" w:rsidRDefault="00F75B07" w:rsidP="00C5494E">
      <w:r w:rsidRPr="00C5494E">
        <w:t>Afghanistan, Bhutan, Nepal and Maldives should consider using a part of the digital dividend for wireless broadband purposes. Such an initiative should be seconded by a national analogue</w:t>
      </w:r>
      <w:r w:rsidR="00C5494E">
        <w:t>-</w:t>
      </w:r>
      <w:r w:rsidRPr="00C5494E">
        <w:t>to</w:t>
      </w:r>
      <w:r w:rsidR="00C5494E">
        <w:t>-</w:t>
      </w:r>
      <w:r w:rsidRPr="00C5494E">
        <w:t>digital switchover plan, with realistic time</w:t>
      </w:r>
      <w:r w:rsidR="00C5494E">
        <w:t>-</w:t>
      </w:r>
      <w:r w:rsidRPr="00C5494E">
        <w:t>frames for all its stages.</w:t>
      </w:r>
    </w:p>
    <w:p w:rsidR="00F75B07" w:rsidRPr="00C5494E" w:rsidRDefault="00F75B07" w:rsidP="00F75B07">
      <w:pPr>
        <w:pStyle w:val="Heading9"/>
        <w:rPr>
          <w:lang w:val="en-GB"/>
        </w:rPr>
      </w:pPr>
      <w:r w:rsidRPr="00C5494E">
        <w:rPr>
          <w:lang w:val="en-GB"/>
        </w:rPr>
        <w:t>7.</w:t>
      </w:r>
      <w:r w:rsidRPr="00C5494E">
        <w:rPr>
          <w:lang w:val="en-GB"/>
        </w:rPr>
        <w:tab/>
        <w:t>Competition</w:t>
      </w:r>
    </w:p>
    <w:p w:rsidR="00F75B07" w:rsidRPr="00C5494E" w:rsidRDefault="00F75B07" w:rsidP="00C5494E">
      <w:r w:rsidRPr="00C5494E">
        <w:t>The strengthening of competition in broadband markets should be one of the main goals of regulatory authorities in ABBMN countries. A gradual approach should be favo</w:t>
      </w:r>
      <w:r w:rsidR="00C5494E">
        <w:t>u</w:t>
      </w:r>
      <w:r w:rsidRPr="00C5494E">
        <w:t xml:space="preserve">red, targeting first structural problems that limit competition in broadband markets (i.e. access and pricing of wholesale inputs) and regulating retail markets only as a last resort, and </w:t>
      </w:r>
      <w:r w:rsidR="00C5494E">
        <w:t xml:space="preserve">second </w:t>
      </w:r>
      <w:r w:rsidRPr="00C5494E">
        <w:t xml:space="preserve">a complementary one to other lighter-touch solutions. This is not the case in the current regulation of ABBMN broadband markets: retail price controls are enforced in each country, while wholesale regulation is not imposed or </w:t>
      </w:r>
      <w:r w:rsidR="00011BA4">
        <w:t xml:space="preserve">is </w:t>
      </w:r>
      <w:r w:rsidRPr="00C5494E">
        <w:t>unclear in many of them.</w:t>
      </w:r>
    </w:p>
    <w:p w:rsidR="00F75B07" w:rsidRPr="00C5494E" w:rsidRDefault="00F75B07" w:rsidP="00440688">
      <w:r w:rsidRPr="00C5494E">
        <w:t xml:space="preserve">ABBMN countries should periodically perform an economic </w:t>
      </w:r>
      <w:r w:rsidR="00527AA9" w:rsidRPr="00C5494E">
        <w:t>analyzis</w:t>
      </w:r>
      <w:r w:rsidRPr="00C5494E">
        <w:t xml:space="preserve"> of their broadband markets using competition law principles in order to determine the competitive situation and identify bottlenecks. Such an </w:t>
      </w:r>
      <w:r w:rsidR="00527AA9" w:rsidRPr="00C5494E">
        <w:t>analy</w:t>
      </w:r>
      <w:r w:rsidR="00440688">
        <w:t>s</w:t>
      </w:r>
      <w:r w:rsidR="00527AA9" w:rsidRPr="00C5494E">
        <w:t>is</w:t>
      </w:r>
      <w:r w:rsidRPr="00C5494E">
        <w:t xml:space="preserve"> should at least study the following markets: broadband access (both physical and indirect access), backhaul capacity provision (mainly through leased lines, but also</w:t>
      </w:r>
      <w:r w:rsidR="00011BA4">
        <w:t>,</w:t>
      </w:r>
      <w:r w:rsidRPr="00C5494E">
        <w:t xml:space="preserve"> for example</w:t>
      </w:r>
      <w:r w:rsidR="00011BA4">
        <w:t>,</w:t>
      </w:r>
      <w:r w:rsidRPr="00C5494E">
        <w:t xml:space="preserve"> through dark fibre), and international connectivity. Regulatory obligations applied to wholesale and retail broadband markets should be based on the outcomes of these analy</w:t>
      </w:r>
      <w:r w:rsidR="00440688">
        <w:t>s</w:t>
      </w:r>
      <w:r w:rsidR="00011BA4">
        <w:t>i</w:t>
      </w:r>
      <w:r w:rsidRPr="00C5494E">
        <w:t>s. A reasonable periodicity for these analy</w:t>
      </w:r>
      <w:r w:rsidR="00440688">
        <w:t>s</w:t>
      </w:r>
      <w:r w:rsidR="00011BA4">
        <w:t>i</w:t>
      </w:r>
      <w:r w:rsidRPr="00C5494E">
        <w:t>s would be every two years.</w:t>
      </w:r>
    </w:p>
    <w:p w:rsidR="00F75B07" w:rsidRPr="00C5494E" w:rsidRDefault="00F75B07" w:rsidP="00C5494E">
      <w:r w:rsidRPr="00C5494E">
        <w:t>Most ABBMN countries have already had successful cases of mobile infrastructure</w:t>
      </w:r>
      <w:r w:rsidR="00C5494E">
        <w:t>-</w:t>
      </w:r>
      <w:r w:rsidRPr="00C5494E">
        <w:t>sharing agreements. Bangladesh has gone a step further by elaborating a set of guidelines that clarify the process and extend it to fixed broadband infrastructure. Such an initiative could be extended to other ABBMN countries.</w:t>
      </w:r>
    </w:p>
    <w:p w:rsidR="00F75B07" w:rsidRPr="00C5494E" w:rsidRDefault="00F75B07" w:rsidP="00F75B07">
      <w:r w:rsidRPr="00C5494E">
        <w:lastRenderedPageBreak/>
        <w:t>Bangladesh should consider favo</w:t>
      </w:r>
      <w:r w:rsidR="00C5494E">
        <w:t>u</w:t>
      </w:r>
      <w:r w:rsidRPr="00C5494E">
        <w:t xml:space="preserve">ring the concentration of broadband service providers and operators in the country, in order to overcome the atomization in the market and reach efficient scales of operation. This could be achieved, for instance, by encouraging the fusion of regional broadband providers into national groups, or by promoting cooperation agreements between operators. </w:t>
      </w:r>
    </w:p>
    <w:p w:rsidR="00F75B07" w:rsidRPr="00C5494E" w:rsidRDefault="00F75B07" w:rsidP="00C5494E">
      <w:r w:rsidRPr="00C5494E">
        <w:t xml:space="preserve">Nepal (NTA) should analyze whether the high market share </w:t>
      </w:r>
      <w:r w:rsidR="00C5494E">
        <w:t xml:space="preserve">that </w:t>
      </w:r>
      <w:r w:rsidRPr="00C5494E">
        <w:t xml:space="preserve">Nepal Telecom holds in the Nepali broadband market indicates a dominant position of the undertaking. In the case that dominance is found, the regulator should impose obligations to Nepal Telecom in order to foster competition. Access to broadband wholesale inputs should be considered, and imposed as the only remedy if it proves sufficient. Retail price regulation should be imposed only as a last resort. </w:t>
      </w:r>
    </w:p>
    <w:p w:rsidR="00F75B07" w:rsidRPr="00C5494E" w:rsidRDefault="00F75B07" w:rsidP="00F75B07">
      <w:r w:rsidRPr="00C5494E">
        <w:t xml:space="preserve">The competitive situation in the Afghani Internet market seems quite balanced in terms of market shares, but further </w:t>
      </w:r>
      <w:r w:rsidR="00527AA9" w:rsidRPr="00C5494E">
        <w:t>analyzis</w:t>
      </w:r>
      <w:r w:rsidRPr="00C5494E">
        <w:t xml:space="preserve"> should be carried out to explore the structure of the broadband market.</w:t>
      </w:r>
    </w:p>
    <w:p w:rsidR="00F75B07" w:rsidRPr="00C5494E" w:rsidRDefault="00F75B07" w:rsidP="00F75B07">
      <w:r w:rsidRPr="00C5494E">
        <w:t xml:space="preserve">Lack of data makes the </w:t>
      </w:r>
      <w:r w:rsidR="00527AA9" w:rsidRPr="00C5494E">
        <w:t>analyzis</w:t>
      </w:r>
      <w:r w:rsidRPr="00C5494E">
        <w:t xml:space="preserve"> of broadband competition in Bhutan and Maldives not possible.</w:t>
      </w:r>
    </w:p>
    <w:p w:rsidR="00F75B07" w:rsidRPr="00C5494E" w:rsidRDefault="00F75B07" w:rsidP="00F75B07"/>
    <w:p w:rsidR="00F75B07" w:rsidRPr="00C5494E" w:rsidRDefault="00F75B07" w:rsidP="00F75B07"/>
    <w:p w:rsidR="00F75B07" w:rsidRPr="00C5494E" w:rsidRDefault="00F75B07">
      <w:pPr>
        <w:tabs>
          <w:tab w:val="clear" w:pos="794"/>
          <w:tab w:val="clear" w:pos="1191"/>
          <w:tab w:val="clear" w:pos="1588"/>
          <w:tab w:val="clear" w:pos="1985"/>
        </w:tabs>
        <w:overflowPunct/>
        <w:autoSpaceDE/>
        <w:autoSpaceDN/>
        <w:adjustRightInd/>
        <w:spacing w:before="0"/>
        <w:jc w:val="left"/>
        <w:textAlignment w:val="auto"/>
      </w:pPr>
      <w:r w:rsidRPr="00C5494E">
        <w:br w:type="page"/>
      </w:r>
    </w:p>
    <w:p w:rsidR="00F75B07" w:rsidRPr="00C5494E" w:rsidRDefault="00F75B07" w:rsidP="00F75B07">
      <w:pPr>
        <w:pStyle w:val="Heading1"/>
      </w:pPr>
      <w:bookmarkStart w:id="61" w:name="_Toc273517407"/>
      <w:bookmarkStart w:id="62" w:name="_Toc273623644"/>
      <w:r w:rsidRPr="00C5494E">
        <w:lastRenderedPageBreak/>
        <w:t>6</w:t>
      </w:r>
      <w:r w:rsidRPr="00C5494E">
        <w:tab/>
        <w:t>REFERENCES</w:t>
      </w:r>
      <w:bookmarkEnd w:id="61"/>
      <w:bookmarkEnd w:id="62"/>
    </w:p>
    <w:p w:rsidR="00F75B07" w:rsidRPr="00C5494E" w:rsidRDefault="00F75B07" w:rsidP="00F75B07">
      <w:pPr>
        <w:ind w:left="220" w:hanging="220"/>
        <w:rPr>
          <w:bCs/>
        </w:rPr>
      </w:pPr>
    </w:p>
    <w:p w:rsidR="00F75B07" w:rsidRPr="00C5494E" w:rsidRDefault="00F75B07" w:rsidP="00F75B07">
      <w:pPr>
        <w:pStyle w:val="Reftext"/>
      </w:pPr>
      <w:r w:rsidRPr="00C5494E">
        <w:t xml:space="preserve">ATRA (2008). </w:t>
      </w:r>
      <w:r w:rsidRPr="00C5494E">
        <w:rPr>
          <w:i/>
          <w:iCs/>
        </w:rPr>
        <w:t>Telecommunications development fund technical assistance. Universal Access Program: manual of operating procedures</w:t>
      </w:r>
      <w:r w:rsidRPr="00C5494E">
        <w:t xml:space="preserve">. </w:t>
      </w:r>
      <w:smartTag w:uri="urn:schemas-microsoft-com:office:smarttags" w:element="City">
        <w:smartTag w:uri="urn:schemas-microsoft-com:office:smarttags" w:element="place">
          <w:r w:rsidRPr="00C5494E">
            <w:t>Kabul</w:t>
          </w:r>
        </w:smartTag>
      </w:smartTag>
      <w:r w:rsidRPr="00C5494E">
        <w:t xml:space="preserve">. Available at: </w:t>
      </w:r>
      <w:hyperlink r:id="rId53" w:history="1">
        <w:r w:rsidR="00810397" w:rsidRPr="001D329C">
          <w:rPr>
            <w:rStyle w:val="Hyperlink"/>
            <w:bCs/>
          </w:rPr>
          <w:br/>
          <w:t>www.atra.gov.af/spaw/uploads/files/MOP-21%20October%202008-Final.pdf</w:t>
        </w:r>
      </w:hyperlink>
      <w:r w:rsidRPr="00C5494E">
        <w:t xml:space="preserve"> </w:t>
      </w:r>
    </w:p>
    <w:p w:rsidR="00F75B07" w:rsidRPr="00C5494E" w:rsidRDefault="00F75B07" w:rsidP="00475020">
      <w:pPr>
        <w:pStyle w:val="Reftext"/>
      </w:pPr>
      <w:proofErr w:type="spellStart"/>
      <w:r w:rsidRPr="00C5494E">
        <w:t>BMWi</w:t>
      </w:r>
      <w:proofErr w:type="spellEnd"/>
      <w:r w:rsidRPr="00C5494E">
        <w:t xml:space="preserve"> (2009). </w:t>
      </w:r>
      <w:proofErr w:type="spellStart"/>
      <w:r w:rsidRPr="00C5494E">
        <w:rPr>
          <w:i/>
        </w:rPr>
        <w:t>Breitbandstrategie</w:t>
      </w:r>
      <w:proofErr w:type="spellEnd"/>
      <w:r w:rsidRPr="00C5494E">
        <w:rPr>
          <w:i/>
        </w:rPr>
        <w:t xml:space="preserve"> </w:t>
      </w:r>
      <w:proofErr w:type="spellStart"/>
      <w:r w:rsidRPr="00C5494E">
        <w:rPr>
          <w:i/>
        </w:rPr>
        <w:t>der</w:t>
      </w:r>
      <w:proofErr w:type="spellEnd"/>
      <w:r w:rsidRPr="00C5494E">
        <w:rPr>
          <w:i/>
        </w:rPr>
        <w:t xml:space="preserve"> </w:t>
      </w:r>
      <w:proofErr w:type="spellStart"/>
      <w:r w:rsidRPr="00C5494E">
        <w:rPr>
          <w:i/>
        </w:rPr>
        <w:t>Bundesregierung</w:t>
      </w:r>
      <w:proofErr w:type="spellEnd"/>
      <w:r w:rsidRPr="00C5494E">
        <w:t xml:space="preserve">. Berlin. Available at: </w:t>
      </w:r>
      <w:hyperlink r:id="rId54" w:history="1">
        <w:r w:rsidR="00810397" w:rsidRPr="001D329C">
          <w:rPr>
            <w:rStyle w:val="Hyperlink"/>
          </w:rPr>
          <w:t>www.bmwi.de/Dateien/BBA/PDF/breitbandstrategie-der-bundesregierung</w:t>
        </w:r>
      </w:hyperlink>
      <w:r w:rsidR="00475020">
        <w:t xml:space="preserve"> </w:t>
      </w:r>
    </w:p>
    <w:p w:rsidR="00F75B07" w:rsidRPr="00C5494E" w:rsidRDefault="00F75B07" w:rsidP="00810397">
      <w:pPr>
        <w:pStyle w:val="Reftext"/>
      </w:pPr>
      <w:r w:rsidRPr="00C5494E">
        <w:t xml:space="preserve">BOOZ ALLEN &amp; CO (2009). </w:t>
      </w:r>
      <w:r w:rsidRPr="00C5494E">
        <w:rPr>
          <w:i/>
          <w:iCs/>
        </w:rPr>
        <w:t>Digital Highways: The Role of Government in 21st-Century Infrastructure.</w:t>
      </w:r>
      <w:r w:rsidRPr="00C5494E">
        <w:t xml:space="preserve"> Available at: </w:t>
      </w:r>
      <w:hyperlink r:id="rId55" w:history="1">
        <w:r w:rsidR="00810397" w:rsidRPr="001D329C">
          <w:rPr>
            <w:rStyle w:val="Hyperlink"/>
            <w:bCs/>
          </w:rPr>
          <w:t>www.booz.com/media/uploads/Digital_Highways_Role_of_Government.pdf</w:t>
        </w:r>
      </w:hyperlink>
      <w:r w:rsidRPr="00C5494E">
        <w:t xml:space="preserve"> </w:t>
      </w:r>
    </w:p>
    <w:p w:rsidR="00F75B07" w:rsidRPr="00C5494E" w:rsidRDefault="00F75B07" w:rsidP="00F75B07">
      <w:pPr>
        <w:pStyle w:val="Reftext"/>
      </w:pPr>
      <w:r w:rsidRPr="00C5494E">
        <w:t xml:space="preserve">BTRC (2008). Guidelines for infrastructure sharing. Dhaka. </w:t>
      </w:r>
    </w:p>
    <w:p w:rsidR="00DC056F" w:rsidRDefault="00F75B07" w:rsidP="00810397">
      <w:pPr>
        <w:pStyle w:val="Reftext"/>
      </w:pPr>
      <w:r w:rsidRPr="00C5494E">
        <w:t xml:space="preserve">DCMS and BIS (2009). </w:t>
      </w:r>
      <w:r w:rsidRPr="00C5494E">
        <w:rPr>
          <w:i/>
          <w:iCs/>
        </w:rPr>
        <w:t>Digital Britain.</w:t>
      </w:r>
      <w:r w:rsidRPr="00C5494E">
        <w:t xml:space="preserve"> Available at: </w:t>
      </w:r>
    </w:p>
    <w:p w:rsidR="00DC056F" w:rsidRPr="00DC056F" w:rsidRDefault="00DC056F" w:rsidP="00DC056F">
      <w:pPr>
        <w:spacing w:before="0"/>
        <w:rPr>
          <w:rFonts w:ascii="Calibri" w:hAnsi="Calibri" w:cs="Calibri"/>
          <w:color w:val="0000FF"/>
        </w:rPr>
      </w:pPr>
      <w:r>
        <w:rPr>
          <w:rFonts w:ascii="Calibri" w:hAnsi="Calibri" w:cs="Calibri"/>
          <w:color w:val="0000FF"/>
          <w:lang w:val="fr-CH"/>
        </w:rPr>
        <w:tab/>
      </w:r>
      <w:r>
        <w:rPr>
          <w:rFonts w:ascii="Calibri" w:hAnsi="Calibri" w:cs="Calibri"/>
          <w:color w:val="0000FF"/>
          <w:lang w:val="fr-CH"/>
        </w:rPr>
        <w:fldChar w:fldCharType="begin"/>
      </w:r>
      <w:r w:rsidRPr="00DC056F">
        <w:rPr>
          <w:rFonts w:ascii="Calibri" w:hAnsi="Calibri" w:cs="Calibri"/>
          <w:color w:val="0000FF"/>
        </w:rPr>
        <w:instrText xml:space="preserve"> HYPERLINK "www.culture.gov.uk/images/publications/digitalbritain-finalreport-jun09.pdf" </w:instrText>
      </w:r>
      <w:r>
        <w:rPr>
          <w:rFonts w:ascii="Calibri" w:hAnsi="Calibri" w:cs="Calibri"/>
          <w:color w:val="0000FF"/>
          <w:lang w:val="fr-CH"/>
        </w:rPr>
        <w:fldChar w:fldCharType="separate"/>
      </w:r>
      <w:r w:rsidRPr="00DC056F">
        <w:rPr>
          <w:rStyle w:val="Hyperlink"/>
          <w:rFonts w:ascii="Calibri" w:hAnsi="Calibri" w:cs="Calibri"/>
        </w:rPr>
        <w:t>www.culture.gov.uk/images/publications/digitalbritain-finalreport-jun09.pdf</w:t>
      </w:r>
      <w:r>
        <w:rPr>
          <w:rFonts w:ascii="Calibri" w:hAnsi="Calibri" w:cs="Calibri"/>
          <w:color w:val="0000FF"/>
          <w:lang w:val="fr-CH"/>
        </w:rPr>
        <w:fldChar w:fldCharType="end"/>
      </w:r>
    </w:p>
    <w:p w:rsidR="00F75B07" w:rsidRPr="00C5494E" w:rsidRDefault="00F75B07" w:rsidP="00810397">
      <w:pPr>
        <w:pStyle w:val="Reftext"/>
        <w:rPr>
          <w:bCs/>
        </w:rPr>
      </w:pPr>
      <w:r w:rsidRPr="00C5494E">
        <w:rPr>
          <w:bCs/>
        </w:rPr>
        <w:t xml:space="preserve">FCC (2010). </w:t>
      </w:r>
      <w:r w:rsidRPr="00C5494E">
        <w:rPr>
          <w:bCs/>
          <w:i/>
          <w:iCs/>
        </w:rPr>
        <w:t>Connecting America: The National Broadband Plan.</w:t>
      </w:r>
      <w:r w:rsidRPr="00C5494E">
        <w:rPr>
          <w:bCs/>
        </w:rPr>
        <w:t xml:space="preserve"> Available at: </w:t>
      </w:r>
      <w:hyperlink r:id="rId56" w:history="1">
        <w:r w:rsidR="00DC056F" w:rsidRPr="0092181E">
          <w:rPr>
            <w:rStyle w:val="Hyperlink"/>
            <w:bCs/>
          </w:rPr>
          <w:t>www.broadband.gov/plan/</w:t>
        </w:r>
      </w:hyperlink>
    </w:p>
    <w:p w:rsidR="00F75B07" w:rsidRPr="00C5494E" w:rsidRDefault="00F75B07" w:rsidP="00810397">
      <w:pPr>
        <w:pStyle w:val="Reftext"/>
        <w:rPr>
          <w:bCs/>
        </w:rPr>
      </w:pPr>
      <w:r w:rsidRPr="00C5494E">
        <w:rPr>
          <w:bCs/>
        </w:rPr>
        <w:t xml:space="preserve">FORD, G. S.; KOUTSKY, T. M.; SPIWAK L. J. (2007). The Broadband Performance Index: A Policy-Relevant Method of Comparing Broadband Adoption Among Countries. </w:t>
      </w:r>
      <w:r w:rsidRPr="00C5494E">
        <w:rPr>
          <w:bCs/>
          <w:i/>
          <w:iCs/>
        </w:rPr>
        <w:t xml:space="preserve">Phoenix </w:t>
      </w:r>
      <w:r w:rsidR="000F4A58" w:rsidRPr="00C5494E">
        <w:rPr>
          <w:bCs/>
          <w:i/>
          <w:iCs/>
        </w:rPr>
        <w:t>Centre</w:t>
      </w:r>
      <w:r w:rsidRPr="00C5494E">
        <w:rPr>
          <w:bCs/>
          <w:i/>
          <w:iCs/>
        </w:rPr>
        <w:t xml:space="preserve"> Policy Paper Series</w:t>
      </w:r>
      <w:r w:rsidRPr="00C5494E">
        <w:rPr>
          <w:bCs/>
        </w:rPr>
        <w:t xml:space="preserve">, Number 29, July 2007. Available at: </w:t>
      </w:r>
      <w:hyperlink r:id="rId57" w:history="1">
        <w:r w:rsidR="00810397" w:rsidRPr="001D329C">
          <w:rPr>
            <w:rStyle w:val="Hyperlink"/>
            <w:bCs/>
          </w:rPr>
          <w:t>www.phoenix-centre.org/pcpp/PCPP29Final.pdf</w:t>
        </w:r>
      </w:hyperlink>
      <w:r w:rsidRPr="00C5494E">
        <w:rPr>
          <w:bCs/>
        </w:rPr>
        <w:t xml:space="preserve"> </w:t>
      </w:r>
    </w:p>
    <w:p w:rsidR="00F75B07" w:rsidRPr="00C5494E" w:rsidRDefault="00F75B07" w:rsidP="00810397">
      <w:pPr>
        <w:pStyle w:val="Reftext"/>
        <w:rPr>
          <w:bCs/>
        </w:rPr>
      </w:pPr>
      <w:r w:rsidRPr="00C5494E">
        <w:rPr>
          <w:bCs/>
        </w:rPr>
        <w:t xml:space="preserve">ITU (2010a). </w:t>
      </w:r>
      <w:r w:rsidRPr="00C5494E">
        <w:rPr>
          <w:bCs/>
          <w:i/>
          <w:iCs/>
        </w:rPr>
        <w:t>Information Society Statistical Profiles 2009: Arab States</w:t>
      </w:r>
      <w:r w:rsidRPr="00C5494E">
        <w:rPr>
          <w:bCs/>
        </w:rPr>
        <w:t xml:space="preserve">. Geneva. Available at: </w:t>
      </w:r>
      <w:hyperlink r:id="rId58" w:history="1">
        <w:r w:rsidR="00810397" w:rsidRPr="001D329C">
          <w:rPr>
            <w:rStyle w:val="Hyperlink"/>
            <w:bCs/>
          </w:rPr>
          <w:t>www.itu.int/publ/D-IND-RPM.AR-2009/en</w:t>
        </w:r>
      </w:hyperlink>
      <w:r w:rsidRPr="00C5494E">
        <w:rPr>
          <w:bCs/>
        </w:rPr>
        <w:t xml:space="preserve"> </w:t>
      </w:r>
    </w:p>
    <w:p w:rsidR="00F75B07" w:rsidRPr="00C5494E" w:rsidRDefault="00F75B07" w:rsidP="00810397">
      <w:pPr>
        <w:pStyle w:val="Reftext"/>
        <w:rPr>
          <w:bCs/>
        </w:rPr>
      </w:pPr>
      <w:r w:rsidRPr="00C5494E">
        <w:rPr>
          <w:bCs/>
        </w:rPr>
        <w:t xml:space="preserve">ITU (2010b). </w:t>
      </w:r>
      <w:r w:rsidRPr="00C5494E">
        <w:rPr>
          <w:bCs/>
          <w:i/>
          <w:iCs/>
        </w:rPr>
        <w:t>Measuring the Information Society. 2010 edition</w:t>
      </w:r>
      <w:r w:rsidRPr="00C5494E">
        <w:rPr>
          <w:bCs/>
        </w:rPr>
        <w:t xml:space="preserve">. Geneva. Available at: </w:t>
      </w:r>
      <w:r w:rsidR="00475020">
        <w:rPr>
          <w:bCs/>
        </w:rPr>
        <w:br/>
      </w:r>
      <w:hyperlink r:id="rId59" w:history="1">
        <w:r w:rsidR="00810397" w:rsidRPr="001D329C">
          <w:rPr>
            <w:rStyle w:val="Hyperlink"/>
            <w:bCs/>
          </w:rPr>
          <w:t>www.itu.int/ITU-D/ict/publications/idi/2010/index.html</w:t>
        </w:r>
      </w:hyperlink>
      <w:r w:rsidRPr="00C5494E">
        <w:rPr>
          <w:bCs/>
        </w:rPr>
        <w:t xml:space="preserve"> </w:t>
      </w:r>
    </w:p>
    <w:p w:rsidR="00F75B07" w:rsidRPr="00C5494E" w:rsidRDefault="00F75B07" w:rsidP="00810397">
      <w:pPr>
        <w:pStyle w:val="Reftext"/>
        <w:rPr>
          <w:bCs/>
        </w:rPr>
      </w:pPr>
      <w:r w:rsidRPr="00C5494E">
        <w:rPr>
          <w:bCs/>
        </w:rPr>
        <w:t xml:space="preserve">ITU (2009a). </w:t>
      </w:r>
      <w:r w:rsidRPr="00C5494E">
        <w:rPr>
          <w:bCs/>
          <w:i/>
          <w:iCs/>
        </w:rPr>
        <w:t>Measuring the Information Society – The ICT Development Index</w:t>
      </w:r>
      <w:r w:rsidRPr="00C5494E">
        <w:rPr>
          <w:bCs/>
        </w:rPr>
        <w:t xml:space="preserve">. Geneva. Available at: </w:t>
      </w:r>
      <w:hyperlink r:id="rId60" w:history="1">
        <w:r w:rsidR="00810397" w:rsidRPr="001D329C">
          <w:rPr>
            <w:rStyle w:val="Hyperlink"/>
            <w:bCs/>
          </w:rPr>
          <w:t>www.itu.int/ITU-D/ict/publications/idi/2009/index.html</w:t>
        </w:r>
      </w:hyperlink>
      <w:r w:rsidRPr="00C5494E">
        <w:rPr>
          <w:bCs/>
        </w:rPr>
        <w:t xml:space="preserve"> </w:t>
      </w:r>
    </w:p>
    <w:p w:rsidR="00F75B07" w:rsidRPr="00C5494E" w:rsidRDefault="00F75B07" w:rsidP="00810397">
      <w:pPr>
        <w:pStyle w:val="Reftext"/>
        <w:rPr>
          <w:bCs/>
        </w:rPr>
      </w:pPr>
      <w:r w:rsidRPr="00C5494E">
        <w:rPr>
          <w:bCs/>
        </w:rPr>
        <w:t xml:space="preserve">ITU (2009b). </w:t>
      </w:r>
      <w:r w:rsidRPr="00C5494E">
        <w:rPr>
          <w:bCs/>
          <w:i/>
          <w:iCs/>
        </w:rPr>
        <w:t>Information Society Statistical Profiles 2009: Asia and the Pacific</w:t>
      </w:r>
      <w:r w:rsidRPr="00C5494E">
        <w:rPr>
          <w:bCs/>
        </w:rPr>
        <w:t xml:space="preserve">. Geneva. Available at: </w:t>
      </w:r>
      <w:hyperlink r:id="rId61" w:history="1">
        <w:r w:rsidR="00810397" w:rsidRPr="001D329C">
          <w:rPr>
            <w:rStyle w:val="Hyperlink"/>
            <w:bCs/>
          </w:rPr>
          <w:t>www.itu.int/publ/D-IND-RPM.AP-2009/en</w:t>
        </w:r>
      </w:hyperlink>
      <w:r w:rsidRPr="00C5494E">
        <w:rPr>
          <w:bCs/>
        </w:rPr>
        <w:t xml:space="preserve"> </w:t>
      </w:r>
    </w:p>
    <w:p w:rsidR="00F75B07" w:rsidRPr="00C5494E" w:rsidRDefault="00F75B07" w:rsidP="00810397">
      <w:pPr>
        <w:pStyle w:val="Reftext"/>
      </w:pPr>
      <w:r w:rsidRPr="00C5494E">
        <w:t xml:space="preserve">ITU (2009c). </w:t>
      </w:r>
      <w:r w:rsidRPr="00C5494E">
        <w:rPr>
          <w:i/>
          <w:iCs/>
        </w:rPr>
        <w:t>Information Society Statistical Profiles 2009: Africa</w:t>
      </w:r>
      <w:r w:rsidRPr="00C5494E">
        <w:t xml:space="preserve">. Geneva. Available at: </w:t>
      </w:r>
      <w:hyperlink r:id="rId62" w:history="1">
        <w:r w:rsidR="00810397" w:rsidRPr="001D329C">
          <w:rPr>
            <w:rStyle w:val="Hyperlink"/>
          </w:rPr>
          <w:br/>
        </w:r>
        <w:r w:rsidR="00810397" w:rsidRPr="001D329C">
          <w:rPr>
            <w:rStyle w:val="Hyperlink"/>
            <w:bCs/>
          </w:rPr>
          <w:t>www.itu.int/publ/D-IND-RPM.AF-2009/en</w:t>
        </w:r>
      </w:hyperlink>
      <w:r w:rsidRPr="00C5494E">
        <w:t xml:space="preserve"> </w:t>
      </w:r>
    </w:p>
    <w:p w:rsidR="00F75B07" w:rsidRPr="00C5494E" w:rsidRDefault="00F75B07" w:rsidP="00810397">
      <w:pPr>
        <w:pStyle w:val="Reftext"/>
      </w:pPr>
      <w:r w:rsidRPr="00C5494E">
        <w:t xml:space="preserve">ITU (2009d). </w:t>
      </w:r>
      <w:r w:rsidRPr="00C5494E">
        <w:rPr>
          <w:i/>
          <w:iCs/>
        </w:rPr>
        <w:t>Information Society Statistical Profiles 2009: Americas</w:t>
      </w:r>
      <w:r w:rsidRPr="00C5494E">
        <w:t xml:space="preserve">. Geneva. Available at: </w:t>
      </w:r>
      <w:hyperlink r:id="rId63" w:history="1">
        <w:r w:rsidR="00810397" w:rsidRPr="001D329C">
          <w:rPr>
            <w:rStyle w:val="Hyperlink"/>
            <w:bCs/>
          </w:rPr>
          <w:t>www.itu.int/publ/D-IND-RPM.AM-2009/en</w:t>
        </w:r>
      </w:hyperlink>
      <w:r w:rsidRPr="00C5494E">
        <w:t xml:space="preserve"> </w:t>
      </w:r>
    </w:p>
    <w:p w:rsidR="00F75B07" w:rsidRPr="00C5494E" w:rsidRDefault="00F75B07" w:rsidP="00810397">
      <w:pPr>
        <w:pStyle w:val="Reftext"/>
      </w:pPr>
      <w:r w:rsidRPr="00C5494E">
        <w:t xml:space="preserve">ITU (2009e). </w:t>
      </w:r>
      <w:r w:rsidRPr="00C5494E">
        <w:rPr>
          <w:i/>
          <w:iCs/>
        </w:rPr>
        <w:t>Information Society Statistical Profiles 2009: CIS</w:t>
      </w:r>
      <w:r w:rsidRPr="00C5494E">
        <w:t xml:space="preserve">. Geneva. Available at: </w:t>
      </w:r>
      <w:r w:rsidR="00810397">
        <w:br/>
      </w:r>
      <w:hyperlink r:id="rId64" w:history="1">
        <w:r w:rsidR="00810397" w:rsidRPr="001D329C">
          <w:rPr>
            <w:rStyle w:val="Hyperlink"/>
            <w:bCs/>
          </w:rPr>
          <w:t>www.itu.int/publ/D-IND-RPM.CIS-2009/en</w:t>
        </w:r>
      </w:hyperlink>
      <w:r w:rsidRPr="00C5494E">
        <w:t xml:space="preserve"> </w:t>
      </w:r>
    </w:p>
    <w:p w:rsidR="00F75B07" w:rsidRPr="00C5494E" w:rsidRDefault="00F75B07" w:rsidP="00810397">
      <w:pPr>
        <w:pStyle w:val="Reftext"/>
      </w:pPr>
      <w:r w:rsidRPr="00C5494E">
        <w:t>ITU (</w:t>
      </w:r>
      <w:smartTag w:uri="urn:schemas-microsoft-com:office:smarttags" w:element="metricconverter">
        <w:smartTagPr>
          <w:attr w:name="ProductID" w:val="2009f"/>
        </w:smartTagPr>
        <w:r w:rsidRPr="00C5494E">
          <w:t>2009f</w:t>
        </w:r>
      </w:smartTag>
      <w:r w:rsidRPr="00C5494E">
        <w:t xml:space="preserve">). </w:t>
      </w:r>
      <w:r w:rsidRPr="00C5494E">
        <w:rPr>
          <w:i/>
          <w:iCs/>
        </w:rPr>
        <w:t>Information Society Statistical Profiles 2009: Europe</w:t>
      </w:r>
      <w:r w:rsidRPr="00C5494E">
        <w:t>. Geneva. Available at:</w:t>
      </w:r>
      <w:r w:rsidR="00810397">
        <w:br/>
      </w:r>
      <w:r w:rsidRPr="00C5494E">
        <w:t xml:space="preserve"> </w:t>
      </w:r>
      <w:hyperlink r:id="rId65" w:history="1">
        <w:r w:rsidR="00810397" w:rsidRPr="001D329C">
          <w:rPr>
            <w:rStyle w:val="Hyperlink"/>
            <w:bCs/>
          </w:rPr>
          <w:t>www.itu.int/publ/D-IND-RPM.EUR-2009/en</w:t>
        </w:r>
      </w:hyperlink>
      <w:r w:rsidRPr="00C5494E">
        <w:t xml:space="preserve"> </w:t>
      </w:r>
    </w:p>
    <w:p w:rsidR="00F75B07" w:rsidRPr="00C5494E" w:rsidRDefault="00F75B07" w:rsidP="00810397">
      <w:pPr>
        <w:pStyle w:val="Reftext"/>
      </w:pPr>
      <w:r w:rsidRPr="00C5494E">
        <w:t xml:space="preserve">ITU (2009g). </w:t>
      </w:r>
      <w:r w:rsidRPr="00C5494E">
        <w:rPr>
          <w:i/>
          <w:iCs/>
        </w:rPr>
        <w:t>Trends in Telecommunication Reform 2007:</w:t>
      </w:r>
      <w:r w:rsidRPr="00C5494E">
        <w:t xml:space="preserve"> </w:t>
      </w:r>
      <w:r w:rsidRPr="00C5494E">
        <w:rPr>
          <w:i/>
          <w:iCs/>
        </w:rPr>
        <w:t>Hands-on or Hands-off? Stimulating growth through effective ICT regulation</w:t>
      </w:r>
      <w:r w:rsidRPr="00C5494E">
        <w:t xml:space="preserve">. Geneva. Executive summary available at: </w:t>
      </w:r>
      <w:hyperlink r:id="rId66" w:history="1">
        <w:r w:rsidR="00810397" w:rsidRPr="001D329C">
          <w:rPr>
            <w:rStyle w:val="Hyperlink"/>
            <w:bCs/>
          </w:rPr>
          <w:t>www.itu.int/dms_pub/itu-d/opb/reg/D-REG-TTR.11-2009-SUM-PDF-E.pdf</w:t>
        </w:r>
      </w:hyperlink>
      <w:r w:rsidRPr="00C5494E">
        <w:t xml:space="preserve"> </w:t>
      </w:r>
    </w:p>
    <w:p w:rsidR="00F75B07" w:rsidRPr="00C5494E" w:rsidRDefault="00F75B07" w:rsidP="00810397">
      <w:pPr>
        <w:pStyle w:val="Reftext"/>
      </w:pPr>
      <w:r w:rsidRPr="00C5494E">
        <w:t xml:space="preserve">ITU (2008). </w:t>
      </w:r>
      <w:r w:rsidRPr="00C5494E">
        <w:rPr>
          <w:i/>
          <w:iCs/>
        </w:rPr>
        <w:t>Asia-Pacific Telecommunication/ICT Indicators 2008: Broadband in Asia- Pacific: too much, too little</w:t>
      </w:r>
      <w:r w:rsidRPr="00C5494E">
        <w:t xml:space="preserve">. Geneva. Available at: </w:t>
      </w:r>
      <w:hyperlink r:id="rId67" w:history="1">
        <w:r w:rsidR="00810397" w:rsidRPr="001D329C">
          <w:rPr>
            <w:rStyle w:val="Hyperlink"/>
            <w:bCs/>
          </w:rPr>
          <w:t>www.itu.int/ITU-D/ict/publications/asia/2008/index.html</w:t>
        </w:r>
      </w:hyperlink>
    </w:p>
    <w:p w:rsidR="00F75B07" w:rsidRPr="00C5494E" w:rsidRDefault="00F75B07" w:rsidP="00810397">
      <w:pPr>
        <w:pStyle w:val="Reftext"/>
      </w:pPr>
      <w:r w:rsidRPr="00C5494E">
        <w:t xml:space="preserve">ITU (2007). </w:t>
      </w:r>
      <w:r w:rsidRPr="00C5494E">
        <w:rPr>
          <w:i/>
          <w:iCs/>
        </w:rPr>
        <w:t>Trends in Telecommunication Reform 2007: The Road to Next-Generation Networks (NGN)</w:t>
      </w:r>
      <w:r w:rsidRPr="00C5494E">
        <w:t xml:space="preserve">. Geneva. Executive summary available at: </w:t>
      </w:r>
      <w:r w:rsidR="00475020">
        <w:br/>
      </w:r>
      <w:hyperlink r:id="rId68" w:history="1">
        <w:r w:rsidR="00810397" w:rsidRPr="001D329C">
          <w:rPr>
            <w:rStyle w:val="Hyperlink"/>
            <w:bCs/>
          </w:rPr>
          <w:t>www.itu.int/dms_pub/itu-d/opb/reg/D-REG-TTR.9-2007-SUM-PDF-E.pdf</w:t>
        </w:r>
      </w:hyperlink>
      <w:r w:rsidRPr="00C5494E">
        <w:t xml:space="preserve"> </w:t>
      </w:r>
    </w:p>
    <w:p w:rsidR="00F75B07" w:rsidRPr="00C5494E" w:rsidRDefault="00F75B07" w:rsidP="00810397">
      <w:pPr>
        <w:pStyle w:val="Reftext"/>
      </w:pPr>
      <w:r w:rsidRPr="00C5494E">
        <w:lastRenderedPageBreak/>
        <w:t xml:space="preserve">ITU (2006). </w:t>
      </w:r>
      <w:r w:rsidRPr="00C5494E">
        <w:rPr>
          <w:i/>
          <w:iCs/>
        </w:rPr>
        <w:t>World Telecommunication/ICT Development Report 2006: Measuring ICT for social and economic development</w:t>
      </w:r>
      <w:r w:rsidRPr="00C5494E">
        <w:t xml:space="preserve">. Geneva. Available at: </w:t>
      </w:r>
      <w:hyperlink r:id="rId69" w:history="1">
        <w:r w:rsidR="00810397" w:rsidRPr="001D329C">
          <w:rPr>
            <w:rStyle w:val="Hyperlink"/>
          </w:rPr>
          <w:br/>
        </w:r>
        <w:r w:rsidR="00810397" w:rsidRPr="001D329C">
          <w:rPr>
            <w:rStyle w:val="Hyperlink"/>
            <w:bCs/>
          </w:rPr>
          <w:t>www.itu.int/ITU-D/ict/publications/wtdr_06/index.html</w:t>
        </w:r>
      </w:hyperlink>
      <w:r w:rsidRPr="00C5494E">
        <w:t xml:space="preserve"> </w:t>
      </w:r>
    </w:p>
    <w:p w:rsidR="00F75B07" w:rsidRPr="00C5494E" w:rsidRDefault="00F75B07" w:rsidP="00810397">
      <w:pPr>
        <w:pStyle w:val="Reftext"/>
      </w:pPr>
      <w:r w:rsidRPr="00C5494E">
        <w:t xml:space="preserve">ITU (2005). </w:t>
      </w:r>
      <w:r w:rsidRPr="00C5494E">
        <w:rPr>
          <w:i/>
          <w:iCs/>
        </w:rPr>
        <w:t>Trends in Telecommunication Reform 2004: Licensing in an Era of Convergence, 6th edition</w:t>
      </w:r>
      <w:r w:rsidRPr="00C5494E">
        <w:t xml:space="preserve">. Geneva. Executive summary available at: </w:t>
      </w:r>
      <w:r w:rsidR="00475020">
        <w:br/>
      </w:r>
      <w:hyperlink r:id="rId70" w:history="1">
        <w:r w:rsidR="00810397" w:rsidRPr="001D329C">
          <w:rPr>
            <w:rStyle w:val="Hyperlink"/>
            <w:bCs/>
          </w:rPr>
          <w:t>www.itu.int/ITU-D/treg/publications/Trends05_summary.pdf</w:t>
        </w:r>
      </w:hyperlink>
      <w:r w:rsidRPr="00C5494E">
        <w:t xml:space="preserve"> </w:t>
      </w:r>
    </w:p>
    <w:p w:rsidR="00F75B07" w:rsidRPr="00C5494E" w:rsidRDefault="00F75B07" w:rsidP="00810397">
      <w:pPr>
        <w:pStyle w:val="Reftext"/>
      </w:pPr>
      <w:r w:rsidRPr="00C5494E">
        <w:t xml:space="preserve">ITU (2002). </w:t>
      </w:r>
      <w:r w:rsidRPr="00C5494E">
        <w:rPr>
          <w:i/>
          <w:iCs/>
        </w:rPr>
        <w:t>Trends in Telecommunication Reform 2002: Effective Regulation</w:t>
      </w:r>
      <w:r w:rsidRPr="00C5494E">
        <w:t xml:space="preserve">. Geneva. Executive summary available at: </w:t>
      </w:r>
      <w:hyperlink r:id="rId71" w:history="1">
        <w:r w:rsidR="00810397" w:rsidRPr="001D329C">
          <w:rPr>
            <w:rStyle w:val="Hyperlink"/>
            <w:bCs/>
          </w:rPr>
          <w:t>www.itu.int/ITU-D/treg/publications/Trends02_ExecSummary.pdf</w:t>
        </w:r>
      </w:hyperlink>
      <w:r w:rsidRPr="00C5494E">
        <w:t xml:space="preserve"> </w:t>
      </w:r>
    </w:p>
    <w:p w:rsidR="00F75B07" w:rsidRPr="00C5494E" w:rsidRDefault="00262FB0" w:rsidP="00810397">
      <w:pPr>
        <w:pStyle w:val="Reftext"/>
      </w:pPr>
      <w:r w:rsidRPr="0048461C">
        <w:rPr>
          <w:bCs/>
          <w:lang w:val="es-ES_tradnl"/>
        </w:rPr>
        <w:t xml:space="preserve">ISDF (2009). </w:t>
      </w:r>
      <w:r w:rsidRPr="0048461C">
        <w:rPr>
          <w:bCs/>
          <w:i/>
          <w:iCs/>
          <w:lang w:val="es-ES_tradnl"/>
        </w:rPr>
        <w:t>Informe final sobre los resultados del modelo de despliegue de redes FTTH/GPON en España</w:t>
      </w:r>
      <w:r w:rsidRPr="0048461C">
        <w:rPr>
          <w:bCs/>
          <w:lang w:val="es-ES_tradnl"/>
        </w:rPr>
        <w:t xml:space="preserve">. </w:t>
      </w:r>
      <w:r w:rsidRPr="00C5494E">
        <w:rPr>
          <w:bCs/>
        </w:rPr>
        <w:t xml:space="preserve">Available at: </w:t>
      </w:r>
      <w:hyperlink r:id="rId72" w:history="1">
        <w:r w:rsidR="00810397" w:rsidRPr="001D329C">
          <w:rPr>
            <w:rStyle w:val="Hyperlink"/>
            <w:bCs/>
          </w:rPr>
          <w:t>www.cmt.es/es/documentacion_de_referencia/redes_nueva_generacion/anexos/Informe_final_HE_1_2008_09_MDF.pdf</w:t>
        </w:r>
      </w:hyperlink>
    </w:p>
    <w:p w:rsidR="00F75B07" w:rsidRPr="00C5494E" w:rsidRDefault="00F75B07" w:rsidP="00F75B07">
      <w:pPr>
        <w:pStyle w:val="Reftext"/>
      </w:pPr>
      <w:r w:rsidRPr="00C5494E">
        <w:t>KELLY, T. (2009). Broadband as a platform for economic, social and cultural development: lessons from Asia</w:t>
      </w:r>
      <w:r w:rsidRPr="00C5494E">
        <w:rPr>
          <w:i/>
          <w:iCs/>
        </w:rPr>
        <w:t>. OECD General Economics &amp; Future Studies,</w:t>
      </w:r>
      <w:r w:rsidRPr="00C5494E">
        <w:t xml:space="preserve"> Volume 2009, Number 9, November 2009, pp. 220-235 (16)</w:t>
      </w:r>
      <w:r w:rsidRPr="00C5494E">
        <w:rPr>
          <w:i/>
          <w:iCs/>
        </w:rPr>
        <w:t xml:space="preserve">. </w:t>
      </w:r>
      <w:r w:rsidRPr="00C5494E">
        <w:t xml:space="preserve">Paris. Available at: </w:t>
      </w:r>
      <w:hyperlink r:id="rId73" w:history="1">
        <w:r w:rsidRPr="00C5494E">
          <w:rPr>
            <w:rStyle w:val="Hyperlink"/>
            <w:bCs/>
          </w:rPr>
          <w:t>http://browse.oecdbookshop.org/oecd/pdfs/browseit/0309071E.PDF</w:t>
        </w:r>
      </w:hyperlink>
      <w:r w:rsidRPr="00C5494E">
        <w:t xml:space="preserve"> </w:t>
      </w:r>
    </w:p>
    <w:p w:rsidR="00F75B07" w:rsidRPr="00C5494E" w:rsidRDefault="00F75B07" w:rsidP="00810397">
      <w:pPr>
        <w:pStyle w:val="Reftext"/>
      </w:pPr>
      <w:r w:rsidRPr="00C5494E">
        <w:t>KUMAR N.; JOSEPH K.J. (2005). Export of Software and Business Process Outsourcing from Developing Countries: Lessons from the Indian Experience.</w:t>
      </w:r>
      <w:r w:rsidRPr="00C5494E">
        <w:rPr>
          <w:i/>
          <w:iCs/>
        </w:rPr>
        <w:t xml:space="preserve"> Asia-Pacific Trade and Investment Review,</w:t>
      </w:r>
      <w:r w:rsidRPr="00C5494E">
        <w:t xml:space="preserve"> Volume 1, Number 1, April 2005, pp. 91-110</w:t>
      </w:r>
      <w:r w:rsidRPr="00C5494E">
        <w:rPr>
          <w:i/>
          <w:iCs/>
        </w:rPr>
        <w:t xml:space="preserve">. </w:t>
      </w:r>
      <w:r w:rsidRPr="00C5494E">
        <w:t xml:space="preserve">Thailand. Available at: </w:t>
      </w:r>
      <w:hyperlink r:id="rId74" w:history="1">
        <w:r w:rsidR="00810397" w:rsidRPr="001D329C">
          <w:rPr>
            <w:rStyle w:val="Hyperlink"/>
            <w:bCs/>
          </w:rPr>
          <w:t>www.unescap.org/tid/publication/aptir2362.pdf</w:t>
        </w:r>
      </w:hyperlink>
      <w:r w:rsidRPr="00C5494E">
        <w:t xml:space="preserve"> </w:t>
      </w:r>
    </w:p>
    <w:p w:rsidR="00F75B07" w:rsidRPr="00C5494E" w:rsidRDefault="00F75B07" w:rsidP="00810397">
      <w:pPr>
        <w:pStyle w:val="Reftext"/>
      </w:pPr>
      <w:r w:rsidRPr="00C5494E">
        <w:t xml:space="preserve">NDCL (2007). </w:t>
      </w:r>
      <w:r w:rsidRPr="00C5494E">
        <w:rPr>
          <w:i/>
          <w:iCs/>
        </w:rPr>
        <w:t>Annual report 2007</w:t>
      </w:r>
      <w:r w:rsidRPr="00C5494E">
        <w:t xml:space="preserve">. </w:t>
      </w:r>
      <w:proofErr w:type="spellStart"/>
      <w:smartTag w:uri="urn:schemas-microsoft-com:office:smarttags" w:element="place">
        <w:smartTag w:uri="urn:schemas-microsoft-com:office:smarttags" w:element="City">
          <w:r w:rsidRPr="00C5494E">
            <w:t>Katmandu</w:t>
          </w:r>
        </w:smartTag>
      </w:smartTag>
      <w:proofErr w:type="spellEnd"/>
      <w:r w:rsidRPr="00C5494E">
        <w:t xml:space="preserve">. Available at: </w:t>
      </w:r>
      <w:hyperlink r:id="rId75" w:history="1">
        <w:r w:rsidR="00810397" w:rsidRPr="001D329C">
          <w:rPr>
            <w:rStyle w:val="Hyperlink"/>
            <w:bCs/>
          </w:rPr>
          <w:t>www.ntc.net.np/publication/annualreport/ntcAnnual2007.pdf</w:t>
        </w:r>
      </w:hyperlink>
      <w:r w:rsidRPr="00C5494E">
        <w:t xml:space="preserve"> </w:t>
      </w:r>
    </w:p>
    <w:p w:rsidR="00F75B07" w:rsidRPr="00C5494E" w:rsidRDefault="00F75B07" w:rsidP="00810397">
      <w:pPr>
        <w:pStyle w:val="Reftext"/>
      </w:pPr>
      <w:r w:rsidRPr="00C5494E">
        <w:t xml:space="preserve">OECD (2009). </w:t>
      </w:r>
      <w:r w:rsidRPr="00C5494E">
        <w:rPr>
          <w:i/>
          <w:iCs/>
        </w:rPr>
        <w:t xml:space="preserve">Indicators of Broadband Coverage. </w:t>
      </w:r>
      <w:r w:rsidRPr="00C5494E">
        <w:t xml:space="preserve">(DSTI/ICCP/CISP(2009)3/FINAL) Available at: </w:t>
      </w:r>
      <w:hyperlink r:id="rId76" w:history="1">
        <w:r w:rsidR="00810397" w:rsidRPr="001D329C">
          <w:rPr>
            <w:rStyle w:val="Hyperlink"/>
            <w:bCs/>
          </w:rPr>
          <w:t>www.oecd.org/dataoecd/41/39/44381795.pdf</w:t>
        </w:r>
      </w:hyperlink>
      <w:r w:rsidRPr="00C5494E">
        <w:t xml:space="preserve"> </w:t>
      </w:r>
    </w:p>
    <w:p w:rsidR="00F75B07" w:rsidRPr="00C5494E" w:rsidRDefault="00F75B07" w:rsidP="00810397">
      <w:pPr>
        <w:pStyle w:val="Reftext"/>
      </w:pPr>
      <w:r w:rsidRPr="00C5494E">
        <w:t xml:space="preserve">OECD (2008). </w:t>
      </w:r>
      <w:r w:rsidRPr="00C5494E">
        <w:rPr>
          <w:i/>
          <w:iCs/>
        </w:rPr>
        <w:t xml:space="preserve">Broadband and the Economy. Ministerial Background Report. </w:t>
      </w:r>
      <w:r w:rsidRPr="00C5494E">
        <w:t xml:space="preserve">(DSTI/ICCP/IE(2007)3/FINAL.) Paris. Available at: </w:t>
      </w:r>
      <w:hyperlink r:id="rId77" w:history="1">
        <w:r w:rsidR="00810397" w:rsidRPr="001D329C">
          <w:rPr>
            <w:rStyle w:val="Hyperlink"/>
            <w:bCs/>
          </w:rPr>
          <w:t>www.oecd.org/dataoecd/62/7/40781696.pdf</w:t>
        </w:r>
      </w:hyperlink>
    </w:p>
    <w:p w:rsidR="00F75B07" w:rsidRPr="00C5494E" w:rsidRDefault="00F75B07" w:rsidP="00F75B07">
      <w:pPr>
        <w:pStyle w:val="Reftext"/>
      </w:pPr>
      <w:r w:rsidRPr="00C5494E">
        <w:t xml:space="preserve">OECD (2002). </w:t>
      </w:r>
      <w:r w:rsidRPr="00C5494E">
        <w:rPr>
          <w:i/>
          <w:iCs/>
        </w:rPr>
        <w:t>OECD Mobile Basket Revision</w:t>
      </w:r>
      <w:r w:rsidRPr="00C5494E">
        <w:t>, Working Party on Telecommunication and Information Services Policies, OECD, Paris.</w:t>
      </w:r>
    </w:p>
    <w:p w:rsidR="00F75B07" w:rsidRPr="00C5494E" w:rsidRDefault="00F75B07" w:rsidP="00F75B07">
      <w:pPr>
        <w:pStyle w:val="Reftext"/>
      </w:pPr>
      <w:r w:rsidRPr="00C5494E">
        <w:t xml:space="preserve">QIANG, C. Z. (2009). </w:t>
      </w:r>
      <w:r w:rsidRPr="00C5494E">
        <w:rPr>
          <w:i/>
          <w:iCs/>
        </w:rPr>
        <w:t xml:space="preserve">Telecommunications and Economic Growth. </w:t>
      </w:r>
      <w:r w:rsidRPr="00C5494E">
        <w:t>Unpublished paper. World Bank. Washington, DC.</w:t>
      </w:r>
    </w:p>
    <w:p w:rsidR="00F75B07" w:rsidRPr="00C5494E" w:rsidRDefault="00F75B07" w:rsidP="00810397">
      <w:pPr>
        <w:pStyle w:val="Reftext"/>
      </w:pPr>
      <w:r w:rsidRPr="00C5494E">
        <w:t xml:space="preserve">RAPPOPORT, P. N.; KRIDEL, D. J.; TAYLOR L. D. (2002). </w:t>
      </w:r>
      <w:r w:rsidRPr="00C5494E">
        <w:rPr>
          <w:i/>
          <w:iCs/>
        </w:rPr>
        <w:t>The Demand for Broadband: Access, Content, and the Value of Time</w:t>
      </w:r>
      <w:r w:rsidRPr="00C5494E">
        <w:t xml:space="preserve">. Washington D.C. Available at: </w:t>
      </w:r>
      <w:r w:rsidR="00475020">
        <w:br/>
      </w:r>
      <w:hyperlink r:id="rId78" w:history="1">
        <w:r w:rsidR="00810397" w:rsidRPr="001D329C">
          <w:rPr>
            <w:rStyle w:val="Hyperlink"/>
            <w:bCs/>
          </w:rPr>
          <w:t>www.reg-markets.org/admin/authorpdfs/redirect-safely.php?fname=../pdffiles/phpvw.pdf</w:t>
        </w:r>
      </w:hyperlink>
      <w:r w:rsidRPr="00C5494E">
        <w:t xml:space="preserve"> </w:t>
      </w:r>
    </w:p>
    <w:p w:rsidR="00F75B07" w:rsidRPr="0048461C" w:rsidRDefault="00262FB0" w:rsidP="00C5494E">
      <w:pPr>
        <w:pStyle w:val="Reftext"/>
        <w:rPr>
          <w:lang w:val="fr-CH"/>
        </w:rPr>
      </w:pPr>
      <w:r w:rsidRPr="00C5494E">
        <w:rPr>
          <w:bCs/>
          <w:lang w:val="fr-CH"/>
        </w:rPr>
        <w:t>SECRÉTAIRE D'ETAT CHARGÉE DE LA PROSPECTIVE ET DU DÉVELOPPEMENT DE L'</w:t>
      </w:r>
      <w:r w:rsidR="00C5494E" w:rsidRPr="00C5494E">
        <w:rPr>
          <w:bCs/>
          <w:lang w:val="fr-CH"/>
        </w:rPr>
        <w:t>E</w:t>
      </w:r>
      <w:r w:rsidRPr="00C5494E">
        <w:rPr>
          <w:bCs/>
          <w:lang w:val="fr-CH"/>
        </w:rPr>
        <w:t xml:space="preserve">CONOMIE NUMÉRIQUE (2008). </w:t>
      </w:r>
      <w:r w:rsidRPr="0048461C">
        <w:rPr>
          <w:bCs/>
          <w:i/>
          <w:lang w:val="fr-CH"/>
        </w:rPr>
        <w:t>France numérique 2012: plan de développement de l’économie numérique.</w:t>
      </w:r>
      <w:r w:rsidRPr="0048461C">
        <w:rPr>
          <w:bCs/>
          <w:lang w:val="fr-CH"/>
        </w:rPr>
        <w:t xml:space="preserve"> </w:t>
      </w:r>
      <w:proofErr w:type="spellStart"/>
      <w:r w:rsidRPr="0048461C">
        <w:rPr>
          <w:bCs/>
          <w:lang w:val="fr-CH"/>
        </w:rPr>
        <w:t>Available</w:t>
      </w:r>
      <w:proofErr w:type="spellEnd"/>
      <w:r w:rsidRPr="0048461C">
        <w:rPr>
          <w:bCs/>
          <w:lang w:val="fr-CH"/>
        </w:rPr>
        <w:t xml:space="preserve"> </w:t>
      </w:r>
      <w:proofErr w:type="spellStart"/>
      <w:r w:rsidRPr="0048461C">
        <w:rPr>
          <w:bCs/>
          <w:lang w:val="fr-CH"/>
        </w:rPr>
        <w:t>at</w:t>
      </w:r>
      <w:proofErr w:type="spellEnd"/>
      <w:r w:rsidRPr="0048461C">
        <w:rPr>
          <w:bCs/>
          <w:lang w:val="fr-CH"/>
        </w:rPr>
        <w:t xml:space="preserve">: </w:t>
      </w:r>
      <w:hyperlink r:id="rId79" w:history="1">
        <w:r w:rsidRPr="0048461C">
          <w:rPr>
            <w:rStyle w:val="Hyperlink"/>
            <w:bCs/>
            <w:lang w:val="fr-CH"/>
          </w:rPr>
          <w:t>http://lesrapports.ladocumentationfrancaise.fr/BRP/084000664/0000.pdf</w:t>
        </w:r>
      </w:hyperlink>
      <w:r w:rsidR="00F75B07" w:rsidRPr="0048461C">
        <w:rPr>
          <w:lang w:val="fr-CH"/>
        </w:rPr>
        <w:t xml:space="preserve"> </w:t>
      </w:r>
    </w:p>
    <w:p w:rsidR="00F75B07" w:rsidRPr="00C5494E" w:rsidRDefault="00F75B07" w:rsidP="00F75B07">
      <w:pPr>
        <w:pStyle w:val="Reftext"/>
      </w:pPr>
      <w:r w:rsidRPr="00C5494E">
        <w:t xml:space="preserve">THE WORLD BANK (2009). </w:t>
      </w:r>
      <w:r w:rsidRPr="00C5494E">
        <w:rPr>
          <w:i/>
          <w:iCs/>
        </w:rPr>
        <w:t>Information and Communications for Development 2009: Extending Reach and Increasing Impact</w:t>
      </w:r>
      <w:r w:rsidRPr="00C5494E">
        <w:t xml:space="preserve">. Washington, DC. Available at: </w:t>
      </w:r>
      <w:hyperlink r:id="rId80" w:history="1">
        <w:r w:rsidRPr="00C5494E">
          <w:rPr>
            <w:rStyle w:val="Hyperlink"/>
            <w:bCs/>
          </w:rPr>
          <w:t>http://issuu.com/world.bank.publications/docs/9780821376058</w:t>
        </w:r>
      </w:hyperlink>
    </w:p>
    <w:p w:rsidR="00F75B07" w:rsidRPr="00C5494E" w:rsidRDefault="00F75B07" w:rsidP="00F75B07">
      <w:pPr>
        <w:pStyle w:val="Reftext"/>
      </w:pPr>
      <w:r w:rsidRPr="00C5494E">
        <w:t xml:space="preserve">THE WORLD BANK (2008a). </w:t>
      </w:r>
      <w:r w:rsidRPr="00C5494E">
        <w:rPr>
          <w:i/>
          <w:iCs/>
        </w:rPr>
        <w:t>Global Purchasing Power Parities and Real Expenditures: 2005 international comparison program.</w:t>
      </w:r>
      <w:r w:rsidRPr="00C5494E">
        <w:t xml:space="preserve"> Washington.</w:t>
      </w:r>
    </w:p>
    <w:p w:rsidR="00F75B07" w:rsidRPr="00C5494E" w:rsidRDefault="00F75B07" w:rsidP="00810397">
      <w:pPr>
        <w:pStyle w:val="Reftext"/>
      </w:pPr>
      <w:r w:rsidRPr="00C5494E">
        <w:t xml:space="preserve">THE WORLD BANK (2008b). </w:t>
      </w:r>
      <w:r w:rsidRPr="00C5494E">
        <w:rPr>
          <w:i/>
        </w:rPr>
        <w:t>Telecommunications in the Pacific. Background paper for the Pacific Economic Survey 2008</w:t>
      </w:r>
      <w:r w:rsidRPr="00C5494E">
        <w:rPr>
          <w:iCs/>
        </w:rPr>
        <w:t>.</w:t>
      </w:r>
      <w:r w:rsidRPr="00C5494E">
        <w:t xml:space="preserve"> Jakarta. Available at: </w:t>
      </w:r>
      <w:r w:rsidR="00475020">
        <w:br/>
      </w:r>
      <w:hyperlink r:id="rId81" w:history="1">
        <w:r w:rsidR="00810397" w:rsidRPr="001D329C">
          <w:rPr>
            <w:rStyle w:val="Hyperlink"/>
            <w:bCs/>
          </w:rPr>
          <w:t>www.pacificsurvey.org/UserFiles/PS-BackgroundPaper-Telco.pdf</w:t>
        </w:r>
      </w:hyperlink>
      <w:r w:rsidRPr="00C5494E">
        <w:t xml:space="preserve"> </w:t>
      </w:r>
    </w:p>
    <w:p w:rsidR="00F75B07" w:rsidRPr="00C5494E" w:rsidRDefault="00F75B07" w:rsidP="00F75B07">
      <w:pPr>
        <w:pStyle w:val="Reftext"/>
      </w:pPr>
      <w:r w:rsidRPr="00C5494E">
        <w:lastRenderedPageBreak/>
        <w:t xml:space="preserve">UNDP (2009). </w:t>
      </w:r>
      <w:r w:rsidRPr="00C5494E">
        <w:rPr>
          <w:i/>
          <w:iCs/>
        </w:rPr>
        <w:t>Human Development Report 2009. Overcoming barriers: Human mobility and development.</w:t>
      </w:r>
      <w:r w:rsidRPr="00C5494E">
        <w:t xml:space="preserve"> New York. Available at: </w:t>
      </w:r>
      <w:hyperlink r:id="rId82" w:history="1">
        <w:r w:rsidRPr="00C5494E">
          <w:rPr>
            <w:rStyle w:val="Hyperlink"/>
            <w:bCs/>
          </w:rPr>
          <w:t>http://hdr.undp.org/en/media/HDR_2009_EN_Complete.pdf</w:t>
        </w:r>
      </w:hyperlink>
      <w:r w:rsidRPr="00C5494E">
        <w:t xml:space="preserve"> </w:t>
      </w:r>
    </w:p>
    <w:p w:rsidR="00F75B07" w:rsidRPr="00C5494E" w:rsidRDefault="00F75B07" w:rsidP="00810397">
      <w:pPr>
        <w:pStyle w:val="Reftext"/>
      </w:pPr>
      <w:r w:rsidRPr="00C5494E">
        <w:t xml:space="preserve">UNDP (2004). </w:t>
      </w:r>
      <w:r w:rsidRPr="00C5494E">
        <w:rPr>
          <w:i/>
          <w:iCs/>
        </w:rPr>
        <w:t xml:space="preserve">The Report of the Task Force on Financial Mechanisms for ICT for Development. </w:t>
      </w:r>
      <w:r w:rsidRPr="00C5494E">
        <w:t xml:space="preserve">World Summit on the Information Society. Available at: </w:t>
      </w:r>
      <w:hyperlink r:id="rId83" w:history="1">
        <w:r w:rsidR="00810397" w:rsidRPr="001D329C">
          <w:rPr>
            <w:rStyle w:val="Hyperlink"/>
            <w:bCs/>
          </w:rPr>
          <w:t>www.itu.int/wsis/tffm/final-report.pdf</w:t>
        </w:r>
      </w:hyperlink>
      <w:r w:rsidRPr="00C5494E">
        <w:t xml:space="preserve"> </w:t>
      </w:r>
    </w:p>
    <w:p w:rsidR="00F75B07" w:rsidRPr="00C5494E" w:rsidRDefault="00F75B07" w:rsidP="00810397">
      <w:pPr>
        <w:pStyle w:val="Reftext"/>
      </w:pPr>
      <w:r w:rsidRPr="00C5494E">
        <w:t xml:space="preserve">VARIAN H.; LITAN R. E.; ELDER A.; SHUTTER J. (2002). </w:t>
      </w:r>
      <w:r w:rsidRPr="00C5494E">
        <w:rPr>
          <w:i/>
          <w:iCs/>
        </w:rPr>
        <w:t>The Net Impact Study: The projected economic benefits of the Internet in USA, UK, France and Germany.</w:t>
      </w:r>
      <w:r w:rsidRPr="00C5494E">
        <w:t xml:space="preserve"> Berkeley. Available at: </w:t>
      </w:r>
      <w:hyperlink r:id="rId84" w:history="1">
        <w:r w:rsidR="00810397" w:rsidRPr="001D329C">
          <w:rPr>
            <w:rStyle w:val="Hyperlink"/>
            <w:bCs/>
          </w:rPr>
          <w:t>www.netimpactstudy.com/NetImpact_Study_Report.pdf</w:t>
        </w:r>
      </w:hyperlink>
      <w:r w:rsidRPr="00C5494E">
        <w:t xml:space="preserve"> </w:t>
      </w:r>
    </w:p>
    <w:p w:rsidR="00F75B07" w:rsidRPr="00C5494E" w:rsidRDefault="00F75B07" w:rsidP="00810397">
      <w:pPr>
        <w:pStyle w:val="Reftext"/>
      </w:pPr>
      <w:r w:rsidRPr="00C5494E">
        <w:t xml:space="preserve">WHISLER A. E.; SAKSENA A. (2003). Igniting the Next Broadband Revolution. </w:t>
      </w:r>
      <w:r w:rsidRPr="00C5494E">
        <w:rPr>
          <w:i/>
          <w:iCs/>
        </w:rPr>
        <w:t>Accenture Outlook Journal (January).</w:t>
      </w:r>
      <w:r w:rsidRPr="00C5494E">
        <w:t xml:space="preserve"> Available at: </w:t>
      </w:r>
      <w:hyperlink r:id="rId85" w:history="1">
        <w:r w:rsidR="00810397" w:rsidRPr="001D329C">
          <w:rPr>
            <w:rStyle w:val="Hyperlink"/>
            <w:bCs/>
          </w:rPr>
          <w:t>www.accenture.com/Global/Research_and_Insights/Outlook/By_alphabet/IgnitingRevolution.htm</w:t>
        </w:r>
      </w:hyperlink>
      <w:r w:rsidRPr="00C5494E">
        <w:t xml:space="preserve"> </w:t>
      </w:r>
    </w:p>
    <w:p w:rsidR="00F75B07" w:rsidRPr="00C5494E" w:rsidRDefault="00F75B07">
      <w:pPr>
        <w:tabs>
          <w:tab w:val="clear" w:pos="794"/>
          <w:tab w:val="clear" w:pos="1191"/>
          <w:tab w:val="clear" w:pos="1588"/>
          <w:tab w:val="clear" w:pos="1985"/>
        </w:tabs>
        <w:overflowPunct/>
        <w:autoSpaceDE/>
        <w:autoSpaceDN/>
        <w:adjustRightInd/>
        <w:spacing w:before="0"/>
        <w:jc w:val="left"/>
        <w:textAlignment w:val="auto"/>
      </w:pPr>
      <w:r w:rsidRPr="00C5494E">
        <w:br w:type="page"/>
      </w:r>
    </w:p>
    <w:p w:rsidR="00F75B07" w:rsidRPr="00C5494E" w:rsidRDefault="00F75B07" w:rsidP="00F75B07">
      <w:pPr>
        <w:pStyle w:val="Heading1"/>
      </w:pPr>
      <w:bookmarkStart w:id="63" w:name="_Toc273517408"/>
      <w:bookmarkStart w:id="64" w:name="_Toc273623645"/>
      <w:r w:rsidRPr="00C5494E">
        <w:lastRenderedPageBreak/>
        <w:t>ANNEX 1: QUESTIONNAIRE ON BROADBAND STIMULUS</w:t>
      </w:r>
      <w:bookmarkEnd w:id="63"/>
      <w:bookmarkEnd w:id="64"/>
    </w:p>
    <w:p w:rsidR="00F75B07" w:rsidRPr="00C5494E" w:rsidRDefault="00F75B07" w:rsidP="00F75B07"/>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960"/>
        <w:gridCol w:w="4959"/>
      </w:tblGrid>
      <w:tr w:rsidR="00F75B07" w:rsidRPr="00C5494E" w:rsidTr="00F75B07">
        <w:trPr>
          <w:cantSplit/>
        </w:trPr>
        <w:tc>
          <w:tcPr>
            <w:tcW w:w="720" w:type="dxa"/>
            <w:shd w:val="clear" w:color="auto" w:fill="C0C0C0"/>
          </w:tcPr>
          <w:p w:rsidR="00F75B07" w:rsidRPr="00C5494E" w:rsidRDefault="00F75B07" w:rsidP="00FB239F">
            <w:pPr>
              <w:keepNext/>
              <w:widowControl w:val="0"/>
              <w:spacing w:before="40" w:after="40"/>
              <w:jc w:val="center"/>
              <w:rPr>
                <w:b/>
                <w:bCs/>
                <w:sz w:val="21"/>
              </w:rPr>
            </w:pPr>
            <w:r w:rsidRPr="00C5494E">
              <w:rPr>
                <w:b/>
                <w:bCs/>
                <w:sz w:val="21"/>
              </w:rPr>
              <w:t>Nº</w:t>
            </w:r>
          </w:p>
        </w:tc>
        <w:tc>
          <w:tcPr>
            <w:tcW w:w="3960" w:type="dxa"/>
            <w:shd w:val="clear" w:color="auto" w:fill="C0C0C0"/>
          </w:tcPr>
          <w:p w:rsidR="00F75B07" w:rsidRPr="00C5494E" w:rsidRDefault="00F75B07" w:rsidP="00FB239F">
            <w:pPr>
              <w:keepNext/>
              <w:widowControl w:val="0"/>
              <w:spacing w:before="40" w:after="40"/>
              <w:jc w:val="center"/>
              <w:rPr>
                <w:sz w:val="21"/>
              </w:rPr>
            </w:pPr>
            <w:r w:rsidRPr="00C5494E">
              <w:rPr>
                <w:sz w:val="21"/>
              </w:rPr>
              <w:t>Question</w:t>
            </w:r>
          </w:p>
        </w:tc>
        <w:tc>
          <w:tcPr>
            <w:tcW w:w="4959" w:type="dxa"/>
            <w:shd w:val="clear" w:color="auto" w:fill="C0C0C0"/>
          </w:tcPr>
          <w:p w:rsidR="00F75B07" w:rsidRPr="00C5494E" w:rsidRDefault="00F75B07" w:rsidP="00FB239F">
            <w:pPr>
              <w:keepNext/>
              <w:widowControl w:val="0"/>
              <w:spacing w:before="40" w:after="40"/>
              <w:jc w:val="center"/>
              <w:rPr>
                <w:b/>
                <w:bCs/>
                <w:sz w:val="20"/>
              </w:rPr>
            </w:pPr>
            <w:r w:rsidRPr="00C5494E">
              <w:rPr>
                <w:sz w:val="21"/>
              </w:rPr>
              <w:t>Possible answers</w:t>
            </w:r>
          </w:p>
        </w:tc>
      </w:tr>
      <w:tr w:rsidR="00F75B07" w:rsidRPr="00C5494E" w:rsidTr="00F75B07">
        <w:trPr>
          <w:cantSplit/>
        </w:trPr>
        <w:tc>
          <w:tcPr>
            <w:tcW w:w="9639" w:type="dxa"/>
            <w:gridSpan w:val="3"/>
            <w:shd w:val="clear" w:color="auto" w:fill="auto"/>
          </w:tcPr>
          <w:p w:rsidR="00F75B07" w:rsidRPr="00C5494E" w:rsidRDefault="00F75B07" w:rsidP="00FB239F">
            <w:pPr>
              <w:keepNext/>
              <w:widowControl w:val="0"/>
              <w:spacing w:before="40" w:after="40"/>
              <w:jc w:val="center"/>
              <w:rPr>
                <w:sz w:val="28"/>
                <w:szCs w:val="28"/>
              </w:rPr>
            </w:pPr>
            <w:r w:rsidRPr="00C5494E">
              <w:rPr>
                <w:sz w:val="28"/>
                <w:szCs w:val="28"/>
              </w:rPr>
              <w:t>Authorization / licensing</w:t>
            </w:r>
          </w:p>
        </w:tc>
      </w:tr>
      <w:tr w:rsidR="00F75B07" w:rsidRPr="00C5494E" w:rsidTr="00F75B07">
        <w:tblPrEx>
          <w:tblLook w:val="01E0"/>
        </w:tblPrEx>
        <w:tc>
          <w:tcPr>
            <w:tcW w:w="720" w:type="dxa"/>
          </w:tcPr>
          <w:p w:rsidR="00F75B07" w:rsidRPr="00C5494E" w:rsidRDefault="00F75B07" w:rsidP="00F75B07">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rPr>
                <w:b/>
                <w:bCs/>
                <w:szCs w:val="22"/>
              </w:rPr>
            </w:pPr>
            <w:r w:rsidRPr="00C5494E">
              <w:rPr>
                <w:b/>
                <w:bCs/>
                <w:szCs w:val="22"/>
              </w:rPr>
              <w:t>Broadband authorization / licensing</w:t>
            </w:r>
          </w:p>
        </w:tc>
        <w:tc>
          <w:tcPr>
            <w:tcW w:w="4959" w:type="dxa"/>
          </w:tcPr>
          <w:p w:rsidR="00F75B07" w:rsidRPr="00C5494E" w:rsidRDefault="00F75B07" w:rsidP="00FB239F">
            <w:pPr>
              <w:pStyle w:val="Tabletext"/>
              <w:tabs>
                <w:tab w:val="clear" w:pos="851"/>
                <w:tab w:val="left" w:pos="0"/>
                <w:tab w:val="left" w:pos="176"/>
                <w:tab w:val="left" w:pos="794"/>
                <w:tab w:val="left" w:pos="1191"/>
                <w:tab w:val="left" w:pos="1588"/>
              </w:tabs>
              <w:spacing w:before="0" w:after="120"/>
              <w:rPr>
                <w:rFonts w:ascii="Arial" w:hAnsi="Arial" w:cs="Arial"/>
                <w:szCs w:val="22"/>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Name of authorization / licen</w:t>
            </w:r>
            <w:r w:rsidR="000F4A58" w:rsidRPr="00C5494E">
              <w:t>c</w:t>
            </w:r>
            <w:r w:rsidRPr="00C5494E">
              <w:t>e</w:t>
            </w:r>
          </w:p>
        </w:tc>
        <w:bookmarkStart w:id="65" w:name="Texto2"/>
        <w:tc>
          <w:tcPr>
            <w:tcW w:w="4959" w:type="dxa"/>
          </w:tcPr>
          <w:p w:rsidR="00F75B07" w:rsidRPr="00C5494E" w:rsidRDefault="00D736C6" w:rsidP="00FB239F">
            <w:pPr>
              <w:pStyle w:val="Tabletext"/>
              <w:tabs>
                <w:tab w:val="left" w:pos="794"/>
                <w:tab w:val="left" w:pos="1191"/>
                <w:tab w:val="left" w:pos="1588"/>
              </w:tabs>
              <w:spacing w:before="0" w:after="120"/>
              <w:ind w:left="851" w:hanging="851"/>
              <w:rPr>
                <w:b/>
                <w:bCs/>
              </w:rPr>
            </w:pPr>
            <w:r w:rsidRPr="00C5494E">
              <w:rPr>
                <w:b/>
                <w:bCs/>
              </w:rPr>
              <w:fldChar w:fldCharType="begin">
                <w:ffData>
                  <w:name w:val="Texto2"/>
                  <w:enabled/>
                  <w:calcOnExit w:val="0"/>
                  <w:textInput/>
                </w:ffData>
              </w:fldChar>
            </w:r>
            <w:r w:rsidR="00F75B07" w:rsidRPr="00C5494E">
              <w:rPr>
                <w:b/>
                <w:bCs/>
              </w:rPr>
              <w:instrText xml:space="preserve"> FORMTEXT </w:instrText>
            </w:r>
            <w:r w:rsidRPr="00C5494E">
              <w:rPr>
                <w:b/>
                <w:bCs/>
              </w:rPr>
            </w:r>
            <w:r w:rsidRPr="00C5494E">
              <w:rPr>
                <w:b/>
                <w:bCs/>
              </w:rPr>
              <w:fldChar w:fldCharType="separate"/>
            </w:r>
            <w:r w:rsidR="00B67A33" w:rsidRPr="00C5494E">
              <w:rPr>
                <w:b/>
                <w:bCs/>
                <w:noProof/>
              </w:rPr>
              <w:t> </w:t>
            </w:r>
            <w:r w:rsidR="00B67A33" w:rsidRPr="00C5494E">
              <w:rPr>
                <w:b/>
                <w:bCs/>
                <w:noProof/>
              </w:rPr>
              <w:t> </w:t>
            </w:r>
            <w:r w:rsidR="00B67A33" w:rsidRPr="00C5494E">
              <w:rPr>
                <w:b/>
                <w:bCs/>
                <w:noProof/>
              </w:rPr>
              <w:t> </w:t>
            </w:r>
            <w:r w:rsidR="00B67A33" w:rsidRPr="00C5494E">
              <w:rPr>
                <w:b/>
                <w:bCs/>
                <w:noProof/>
              </w:rPr>
              <w:t> </w:t>
            </w:r>
            <w:r w:rsidR="00B67A33" w:rsidRPr="00C5494E">
              <w:rPr>
                <w:b/>
                <w:bCs/>
                <w:noProof/>
              </w:rPr>
              <w:t> </w:t>
            </w:r>
            <w:r w:rsidRPr="00C5494E">
              <w:rPr>
                <w:b/>
                <w:bCs/>
              </w:rPr>
              <w:fldChar w:fldCharType="end"/>
            </w:r>
            <w:bookmarkEnd w:id="65"/>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Authorization type</w:t>
            </w:r>
          </w:p>
        </w:tc>
        <w:tc>
          <w:tcPr>
            <w:tcW w:w="4959" w:type="dxa"/>
          </w:tcPr>
          <w:p w:rsidR="00F75B07" w:rsidRPr="00C5494E" w:rsidRDefault="00D736C6" w:rsidP="000F4A58">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bookmarkStart w:id="66" w:name="Casilla1"/>
            <w:r w:rsidR="00F75B07" w:rsidRPr="00C5494E">
              <w:rPr>
                <w:szCs w:val="22"/>
              </w:rPr>
              <w:instrText xml:space="preserve"> FORMCHECKBOX </w:instrText>
            </w:r>
            <w:r w:rsidRPr="00C5494E">
              <w:rPr>
                <w:szCs w:val="22"/>
              </w:rPr>
            </w:r>
            <w:r w:rsidRPr="00C5494E">
              <w:rPr>
                <w:szCs w:val="22"/>
              </w:rPr>
              <w:fldChar w:fldCharType="end"/>
            </w:r>
            <w:bookmarkEnd w:id="66"/>
            <w:r w:rsidR="00F75B07" w:rsidRPr="00C5494E">
              <w:rPr>
                <w:szCs w:val="22"/>
              </w:rPr>
              <w:t xml:space="preserve"> Individual licen</w:t>
            </w:r>
            <w:r w:rsidR="000F4A58" w:rsidRPr="00C5494E">
              <w:rPr>
                <w:szCs w:val="22"/>
              </w:rPr>
              <w:t>c</w:t>
            </w:r>
            <w:r w:rsidR="00F75B07" w:rsidRPr="00C5494E">
              <w:rPr>
                <w:szCs w:val="22"/>
              </w:rPr>
              <w:t>e</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bookmarkStart w:id="67" w:name="Casilla2"/>
            <w:r w:rsidR="00F75B07" w:rsidRPr="00C5494E">
              <w:rPr>
                <w:szCs w:val="22"/>
              </w:rPr>
              <w:instrText xml:space="preserve"> FORMCHECKBOX </w:instrText>
            </w:r>
            <w:r w:rsidRPr="00C5494E">
              <w:rPr>
                <w:szCs w:val="22"/>
              </w:rPr>
            </w:r>
            <w:r w:rsidRPr="00C5494E">
              <w:rPr>
                <w:szCs w:val="22"/>
              </w:rPr>
              <w:fldChar w:fldCharType="end"/>
            </w:r>
            <w:bookmarkEnd w:id="67"/>
            <w:r w:rsidR="00F75B07" w:rsidRPr="00C5494E">
              <w:rPr>
                <w:szCs w:val="22"/>
              </w:rPr>
              <w:t xml:space="preserve"> Gen</w:t>
            </w:r>
            <w:r w:rsidR="000F4A58" w:rsidRPr="00C5494E">
              <w:rPr>
                <w:szCs w:val="22"/>
              </w:rPr>
              <w:t>eral authorization (class licenc</w:t>
            </w:r>
            <w:r w:rsidR="00F75B07" w:rsidRPr="00C5494E">
              <w:rPr>
                <w:szCs w:val="22"/>
              </w:rPr>
              <w:t>e)</w:t>
            </w:r>
          </w:p>
          <w:p w:rsidR="00F75B07" w:rsidRPr="00C5494E" w:rsidRDefault="00D736C6" w:rsidP="000F4A58">
            <w:pPr>
              <w:pStyle w:val="Tabletext"/>
              <w:tabs>
                <w:tab w:val="clear" w:pos="284"/>
                <w:tab w:val="clear" w:pos="567"/>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bookmarkStart w:id="68" w:name="Casilla4"/>
            <w:r w:rsidR="00F75B07" w:rsidRPr="00C5494E">
              <w:rPr>
                <w:szCs w:val="22"/>
              </w:rPr>
              <w:instrText xml:space="preserve"> FORMCHECKBOX </w:instrText>
            </w:r>
            <w:r w:rsidRPr="00C5494E">
              <w:rPr>
                <w:szCs w:val="22"/>
              </w:rPr>
            </w:r>
            <w:r w:rsidRPr="00C5494E">
              <w:rPr>
                <w:szCs w:val="22"/>
              </w:rPr>
              <w:fldChar w:fldCharType="end"/>
            </w:r>
            <w:bookmarkEnd w:id="68"/>
            <w:r w:rsidR="00F75B07" w:rsidRPr="00C5494E">
              <w:rPr>
                <w:szCs w:val="22"/>
              </w:rPr>
              <w:t xml:space="preserve"> Licen</w:t>
            </w:r>
            <w:r w:rsidR="000F4A58" w:rsidRPr="00C5494E">
              <w:rPr>
                <w:szCs w:val="22"/>
              </w:rPr>
              <w:t>c</w:t>
            </w:r>
            <w:r w:rsidR="00F75B07" w:rsidRPr="00C5494E">
              <w:rPr>
                <w:szCs w:val="22"/>
              </w:rPr>
              <w:t>e exempt</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6"/>
                <w:szCs w:val="6"/>
              </w:rPr>
            </w:pP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blPrEx>
          <w:tblLook w:val="01E0"/>
        </w:tblPrEx>
        <w:trPr>
          <w:trHeight w:val="651"/>
        </w:trPr>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Is the number of authorizations limited?</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yes, please specify the maximum number: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Number of licen</w:t>
            </w:r>
            <w:r w:rsidR="000F4A58" w:rsidRPr="00C5494E">
              <w:t>c</w:t>
            </w:r>
            <w:r w:rsidRPr="00C5494E">
              <w:t>es granted</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6"/>
                  <w:enabled/>
                  <w:calcOnExit w:val="0"/>
                  <w:textInput/>
                </w:ffData>
              </w:fldChar>
            </w:r>
            <w:bookmarkStart w:id="69" w:name="Texto6"/>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bookmarkEnd w:id="69"/>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Is the authorization / licen</w:t>
            </w:r>
            <w:r w:rsidR="000F4A58" w:rsidRPr="00C5494E">
              <w:t>c</w:t>
            </w:r>
            <w:r w:rsidRPr="00C5494E">
              <w:t>e technologically neutral?</w:t>
            </w:r>
          </w:p>
          <w:p w:rsidR="00F75B07" w:rsidRPr="00C5494E" w:rsidRDefault="00F75B07" w:rsidP="00FB239F">
            <w:pPr>
              <w:pStyle w:val="Tabletext"/>
              <w:tabs>
                <w:tab w:val="left" w:pos="794"/>
                <w:tab w:val="left" w:pos="1191"/>
                <w:tab w:val="left" w:pos="1588"/>
              </w:tabs>
              <w:spacing w:before="0"/>
              <w:rPr>
                <w:color w:val="808080"/>
              </w:rPr>
            </w:pPr>
            <w:r w:rsidRPr="00C5494E">
              <w:rPr>
                <w:color w:val="808080"/>
              </w:rPr>
              <w:t xml:space="preserve">(i.e. it applies to different technologies / networks that support broadband, such as xDSL, cable, VSAT, etc.)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no, please clarify to what technologies it applies: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Type of services allowed by the authorization /licen</w:t>
            </w:r>
            <w:r w:rsidR="000F4A58" w:rsidRPr="00C5494E">
              <w:t>c</w:t>
            </w:r>
            <w:r w:rsidRPr="00C5494E">
              <w:t>e</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Specific service. </w:t>
            </w:r>
          </w:p>
          <w:p w:rsidR="00F75B07" w:rsidRPr="00C5494E" w:rsidRDefault="00F75B07" w:rsidP="00FB239F">
            <w:pPr>
              <w:pStyle w:val="Tabletext"/>
              <w:tabs>
                <w:tab w:val="clear" w:pos="284"/>
                <w:tab w:val="clear" w:pos="567"/>
                <w:tab w:val="left" w:pos="432"/>
                <w:tab w:val="left" w:pos="794"/>
                <w:tab w:val="left" w:pos="1191"/>
                <w:tab w:val="left" w:pos="1588"/>
              </w:tabs>
              <w:spacing w:before="0" w:after="0"/>
              <w:rPr>
                <w:szCs w:val="22"/>
              </w:rPr>
            </w:pPr>
            <w:r w:rsidRPr="00C5494E">
              <w:rPr>
                <w:szCs w:val="22"/>
              </w:rPr>
              <w:tab/>
              <w:t xml:space="preserve">For which service?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Multi-service. </w:t>
            </w:r>
          </w:p>
          <w:p w:rsidR="00F75B07" w:rsidRPr="00C5494E" w:rsidRDefault="00F75B07" w:rsidP="00FB239F">
            <w:pPr>
              <w:pStyle w:val="Tabletext"/>
              <w:tabs>
                <w:tab w:val="clear" w:pos="284"/>
                <w:tab w:val="clear" w:pos="567"/>
                <w:tab w:val="left" w:pos="432"/>
                <w:tab w:val="left" w:pos="794"/>
                <w:tab w:val="left" w:pos="1191"/>
                <w:tab w:val="left" w:pos="1588"/>
              </w:tabs>
              <w:spacing w:before="0" w:after="0"/>
              <w:rPr>
                <w:szCs w:val="22"/>
              </w:rPr>
            </w:pPr>
            <w:r w:rsidRPr="00C5494E">
              <w:rPr>
                <w:szCs w:val="22"/>
              </w:rPr>
              <w:tab/>
              <w:t xml:space="preserve">For which services?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D736C6" w:rsidP="000F4A58">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3"/>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All services (Unified / Global licen</w:t>
            </w:r>
            <w:r w:rsidR="000F4A58" w:rsidRPr="00C5494E">
              <w:rPr>
                <w:szCs w:val="22"/>
              </w:rPr>
              <w:t>c</w:t>
            </w:r>
            <w:r w:rsidR="00F75B07" w:rsidRPr="00C5494E">
              <w:rPr>
                <w:szCs w:val="22"/>
              </w:rPr>
              <w:t>e)</w:t>
            </w:r>
          </w:p>
          <w:p w:rsidR="00F75B07" w:rsidRPr="00C5494E" w:rsidRDefault="00F75B07" w:rsidP="00FB239F">
            <w:pPr>
              <w:pStyle w:val="Tabletext"/>
              <w:tabs>
                <w:tab w:val="clear" w:pos="284"/>
                <w:tab w:val="left" w:pos="794"/>
                <w:tab w:val="left" w:pos="1191"/>
                <w:tab w:val="left" w:pos="1588"/>
              </w:tabs>
              <w:spacing w:before="0" w:after="0"/>
              <w:rPr>
                <w:sz w:val="6"/>
                <w:szCs w:val="6"/>
              </w:rPr>
            </w:pP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necessary, please clarify: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Is there a one-time authorization / licen</w:t>
            </w:r>
            <w:r w:rsidR="000F4A58" w:rsidRPr="00C5494E">
              <w:t>c</w:t>
            </w:r>
            <w:r w:rsidRPr="00C5494E">
              <w:t xml:space="preserve">e fee (entry fee)? </w:t>
            </w:r>
            <w:r w:rsidRPr="00C5494E">
              <w:rPr>
                <w:color w:val="808080"/>
              </w:rPr>
              <w:t>(if different conditions apply to rural ISPs, please add a note)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bookmarkStart w:id="70" w:name="Listadesplegable1"/>
            <w:r w:rsidRPr="00C5494E">
              <w:rPr>
                <w:szCs w:val="22"/>
              </w:rPr>
              <w:t>Yes</w:t>
            </w:r>
            <w:bookmarkEnd w:id="70"/>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yes, please specify the amount in </w:t>
            </w:r>
            <w:r w:rsidR="005422C1" w:rsidRPr="00C5494E">
              <w:rPr>
                <w:szCs w:val="22"/>
              </w:rPr>
              <w:t>USD</w:t>
            </w:r>
            <w:r w:rsidRPr="00C5494E">
              <w:rPr>
                <w:szCs w:val="22"/>
              </w:rPr>
              <w:t xml:space="preserve">: </w:t>
            </w:r>
            <w:r w:rsidR="00D736C6" w:rsidRPr="00C5494E">
              <w:rPr>
                <w:szCs w:val="22"/>
              </w:rPr>
              <w:fldChar w:fldCharType="begin">
                <w:ffData>
                  <w:name w:val="Texto4"/>
                  <w:enabled/>
                  <w:calcOnExit w:val="0"/>
                  <w:textInput/>
                </w:ffData>
              </w:fldChar>
            </w:r>
            <w:bookmarkStart w:id="71" w:name="Texto4"/>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bookmarkEnd w:id="71"/>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Is there an annual authorization / licen</w:t>
            </w:r>
            <w:r w:rsidR="000F4A58" w:rsidRPr="00C5494E">
              <w:t>c</w:t>
            </w:r>
            <w:r w:rsidRPr="00C5494E">
              <w:t xml:space="preserve">e fee? </w:t>
            </w:r>
            <w:r w:rsidRPr="00C5494E">
              <w:rPr>
                <w:color w:val="808080"/>
              </w:rPr>
              <w:t>(if different conditions apply to rural ISPs, please add a note)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yes, please specify the amount in </w:t>
            </w:r>
            <w:r w:rsidR="005422C1" w:rsidRPr="00C5494E">
              <w:rPr>
                <w:szCs w:val="22"/>
              </w:rPr>
              <w:t>USD</w:t>
            </w:r>
            <w:r w:rsidRPr="00C5494E">
              <w:rPr>
                <w:szCs w:val="22"/>
              </w:rPr>
              <w:t xml:space="preserve">: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Who approves the authorization / licen</w:t>
            </w:r>
            <w:r w:rsidR="000F4A58" w:rsidRPr="00C5494E">
              <w:t>c</w:t>
            </w:r>
            <w:r w:rsidRPr="00C5494E">
              <w:t>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Ministry</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other, please specify: </w:t>
            </w:r>
            <w:r w:rsidR="00D736C6" w:rsidRPr="00C5494E">
              <w:rPr>
                <w:szCs w:val="22"/>
              </w:rPr>
              <w:fldChar w:fldCharType="begin">
                <w:ffData>
                  <w:name w:val="Texto8"/>
                  <w:enabled/>
                  <w:calcOnExit w:val="0"/>
                  <w:textInput/>
                </w:ffData>
              </w:fldChar>
            </w:r>
            <w:bookmarkStart w:id="72" w:name="Texto8"/>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bookmarkEnd w:id="72"/>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Time to review an authorization / licen</w:t>
            </w:r>
            <w:r w:rsidR="000F4A58" w:rsidRPr="00C5494E">
              <w:t>c</w:t>
            </w:r>
            <w:r w:rsidRPr="00C5494E">
              <w:t xml:space="preserve">e request </w:t>
            </w:r>
            <w:r w:rsidRPr="00C5494E">
              <w:rPr>
                <w:color w:val="808080"/>
              </w:rPr>
              <w:t>(please provide the limit set by law or, if not defined, an estimate of the average time)</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9"/>
                  <w:enabled/>
                  <w:calcOnExit w:val="0"/>
                  <w:textInput/>
                </w:ffData>
              </w:fldChar>
            </w:r>
            <w:bookmarkStart w:id="73" w:name="Texto9"/>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bookmarkEnd w:id="73"/>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 xml:space="preserve">e duration </w:t>
            </w:r>
            <w:r w:rsidRPr="00C5494E">
              <w:rPr>
                <w:color w:val="808080"/>
              </w:rPr>
              <w:t>(in years)</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5"/>
                  <w:enabled/>
                  <w:calcOnExit w:val="0"/>
                  <w:textInput/>
                </w:ffData>
              </w:fldChar>
            </w:r>
            <w:bookmarkStart w:id="74" w:name="Texto5"/>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bookmarkEnd w:id="74"/>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What are the procedures for licen</w:t>
            </w:r>
            <w:r w:rsidR="000F4A58" w:rsidRPr="00C5494E">
              <w:t>c</w:t>
            </w:r>
            <w:r w:rsidRPr="00C5494E">
              <w:t>e renewal? Please explain:</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blPrEx>
          <w:tblLook w:val="01E0"/>
        </w:tblPrEx>
        <w:tc>
          <w:tcPr>
            <w:tcW w:w="9639" w:type="dxa"/>
            <w:gridSpan w:val="3"/>
            <w:vAlign w:val="center"/>
          </w:tcPr>
          <w:p w:rsidR="00F75B07" w:rsidRPr="00C5494E" w:rsidRDefault="00F75B07" w:rsidP="000F4A58">
            <w:pPr>
              <w:pStyle w:val="Tabletext"/>
              <w:tabs>
                <w:tab w:val="clear" w:pos="851"/>
                <w:tab w:val="left" w:pos="252"/>
                <w:tab w:val="left" w:pos="1191"/>
                <w:tab w:val="left" w:pos="1588"/>
              </w:tabs>
              <w:spacing w:before="0" w:after="120"/>
              <w:jc w:val="center"/>
              <w:rPr>
                <w:b/>
                <w:bCs/>
                <w:color w:val="808080"/>
              </w:rPr>
            </w:pPr>
            <w:r w:rsidRPr="00C5494E">
              <w:rPr>
                <w:b/>
                <w:bCs/>
                <w:color w:val="808080"/>
              </w:rPr>
              <w:t>(If there is more than one type of licen</w:t>
            </w:r>
            <w:r w:rsidR="000F4A58" w:rsidRPr="00C5494E">
              <w:rPr>
                <w:b/>
                <w:bCs/>
                <w:color w:val="808080"/>
              </w:rPr>
              <w:t>c</w:t>
            </w:r>
            <w:r w:rsidRPr="00C5494E">
              <w:rPr>
                <w:b/>
                <w:bCs/>
                <w:color w:val="808080"/>
              </w:rPr>
              <w:t>e for broadband services, please fill in the details of the other licen</w:t>
            </w:r>
            <w:r w:rsidR="000F4A58" w:rsidRPr="00C5494E">
              <w:rPr>
                <w:b/>
                <w:bCs/>
                <w:color w:val="808080"/>
              </w:rPr>
              <w:t>c</w:t>
            </w:r>
            <w:r w:rsidRPr="00C5494E">
              <w:rPr>
                <w:b/>
                <w:bCs/>
                <w:color w:val="808080"/>
              </w:rPr>
              <w:t>es below. If not, please leave blank)</w:t>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Name of authorization / licen</w:t>
            </w:r>
            <w:r w:rsidR="000F4A58" w:rsidRPr="00C5494E">
              <w:t>c</w:t>
            </w:r>
            <w:r w:rsidRPr="00C5494E">
              <w:t>e</w:t>
            </w:r>
          </w:p>
        </w:tc>
        <w:tc>
          <w:tcPr>
            <w:tcW w:w="4959" w:type="dxa"/>
          </w:tcPr>
          <w:p w:rsidR="00F75B07" w:rsidRPr="00C5494E" w:rsidRDefault="00D736C6" w:rsidP="00FB239F">
            <w:pPr>
              <w:pStyle w:val="Tabletext"/>
              <w:tabs>
                <w:tab w:val="left" w:pos="794"/>
                <w:tab w:val="left" w:pos="1191"/>
                <w:tab w:val="left" w:pos="1588"/>
              </w:tabs>
              <w:spacing w:before="0" w:after="120"/>
              <w:ind w:left="851" w:hanging="851"/>
              <w:rPr>
                <w:b/>
                <w:bCs/>
              </w:rPr>
            </w:pPr>
            <w:r w:rsidRPr="00C5494E">
              <w:rPr>
                <w:b/>
                <w:bCs/>
              </w:rPr>
              <w:fldChar w:fldCharType="begin">
                <w:ffData>
                  <w:name w:val="Texto2"/>
                  <w:enabled/>
                  <w:calcOnExit w:val="0"/>
                  <w:textInput/>
                </w:ffData>
              </w:fldChar>
            </w:r>
            <w:r w:rsidR="00F75B07" w:rsidRPr="00C5494E">
              <w:rPr>
                <w:b/>
                <w:bCs/>
              </w:rPr>
              <w:instrText xml:space="preserve"> FORMTEXT </w:instrText>
            </w:r>
            <w:r w:rsidRPr="00C5494E">
              <w:rPr>
                <w:b/>
                <w:bCs/>
              </w:rPr>
            </w:r>
            <w:r w:rsidRPr="00C5494E">
              <w:rPr>
                <w:b/>
                <w:bCs/>
              </w:rPr>
              <w:fldChar w:fldCharType="separate"/>
            </w:r>
            <w:r w:rsidR="00B67A33" w:rsidRPr="00C5494E">
              <w:rPr>
                <w:b/>
                <w:bCs/>
                <w:noProof/>
              </w:rPr>
              <w:t> </w:t>
            </w:r>
            <w:r w:rsidR="00B67A33" w:rsidRPr="00C5494E">
              <w:rPr>
                <w:b/>
                <w:bCs/>
                <w:noProof/>
              </w:rPr>
              <w:t> </w:t>
            </w:r>
            <w:r w:rsidR="00B67A33" w:rsidRPr="00C5494E">
              <w:rPr>
                <w:b/>
                <w:bCs/>
                <w:noProof/>
              </w:rPr>
              <w:t> </w:t>
            </w:r>
            <w:r w:rsidR="00B67A33" w:rsidRPr="00C5494E">
              <w:rPr>
                <w:b/>
                <w:bCs/>
                <w:noProof/>
              </w:rPr>
              <w:t> </w:t>
            </w:r>
            <w:r w:rsidR="00B67A33" w:rsidRPr="00C5494E">
              <w:rPr>
                <w:b/>
                <w:bCs/>
                <w:noProof/>
              </w:rPr>
              <w:t> </w:t>
            </w:r>
            <w:r w:rsidRPr="00C5494E">
              <w:rPr>
                <w:b/>
                <w:bCs/>
              </w:rPr>
              <w:fldChar w:fldCharType="end"/>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Authorization type</w:t>
            </w:r>
          </w:p>
        </w:tc>
        <w:tc>
          <w:tcPr>
            <w:tcW w:w="4959" w:type="dxa"/>
          </w:tcPr>
          <w:p w:rsidR="00F75B07" w:rsidRPr="00C5494E" w:rsidRDefault="00D736C6" w:rsidP="000F4A58">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Individual licen</w:t>
            </w:r>
            <w:r w:rsidR="000F4A58" w:rsidRPr="00C5494E">
              <w:rPr>
                <w:szCs w:val="22"/>
              </w:rPr>
              <w:t>c</w:t>
            </w:r>
            <w:r w:rsidR="00F75B07" w:rsidRPr="00C5494E">
              <w:rPr>
                <w:szCs w:val="22"/>
              </w:rPr>
              <w:t>e</w:t>
            </w:r>
          </w:p>
          <w:p w:rsidR="00F75B07" w:rsidRPr="00C5494E" w:rsidRDefault="00D736C6" w:rsidP="000F4A58">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General authorization (class licen</w:t>
            </w:r>
            <w:r w:rsidR="000F4A58" w:rsidRPr="00C5494E">
              <w:rPr>
                <w:szCs w:val="22"/>
              </w:rPr>
              <w:t>c</w:t>
            </w:r>
            <w:r w:rsidR="00F75B07" w:rsidRPr="00C5494E">
              <w:rPr>
                <w:szCs w:val="22"/>
              </w:rPr>
              <w:t>e)</w:t>
            </w:r>
          </w:p>
          <w:p w:rsidR="00F75B07" w:rsidRPr="00C5494E" w:rsidRDefault="00D736C6" w:rsidP="000F4A58">
            <w:pPr>
              <w:pStyle w:val="Tabletext"/>
              <w:tabs>
                <w:tab w:val="clear" w:pos="284"/>
                <w:tab w:val="clear" w:pos="567"/>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Licen</w:t>
            </w:r>
            <w:r w:rsidR="000F4A58" w:rsidRPr="00C5494E">
              <w:rPr>
                <w:szCs w:val="22"/>
              </w:rPr>
              <w:t>c</w:t>
            </w:r>
            <w:r w:rsidR="00F75B07" w:rsidRPr="00C5494E">
              <w:rPr>
                <w:szCs w:val="22"/>
              </w:rPr>
              <w:t>e exempt</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6"/>
                <w:szCs w:val="6"/>
              </w:rPr>
            </w:pP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blPrEx>
          <w:tblLook w:val="01E0"/>
        </w:tblPrEx>
        <w:trPr>
          <w:trHeight w:val="651"/>
        </w:trPr>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Is the number of authorizations limited?</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yes, please specify the maximum number: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Number of licen</w:t>
            </w:r>
            <w:r w:rsidR="000F4A58" w:rsidRPr="00C5494E">
              <w:t>c</w:t>
            </w:r>
            <w:r w:rsidRPr="00C5494E">
              <w:t>es granted</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Is the authorization / licen</w:t>
            </w:r>
            <w:r w:rsidR="000F4A58" w:rsidRPr="00C5494E">
              <w:t>c</w:t>
            </w:r>
            <w:r w:rsidRPr="00C5494E">
              <w:t>e technologically neutral?</w:t>
            </w:r>
          </w:p>
          <w:p w:rsidR="00F75B07" w:rsidRPr="00C5494E" w:rsidRDefault="00F75B07" w:rsidP="00FB239F">
            <w:pPr>
              <w:pStyle w:val="Tabletext"/>
              <w:tabs>
                <w:tab w:val="left" w:pos="794"/>
                <w:tab w:val="left" w:pos="1191"/>
                <w:tab w:val="left" w:pos="1588"/>
              </w:tabs>
              <w:spacing w:before="0"/>
              <w:rPr>
                <w:color w:val="808080"/>
              </w:rPr>
            </w:pPr>
            <w:r w:rsidRPr="00C5494E">
              <w:rPr>
                <w:color w:val="808080"/>
              </w:rPr>
              <w:t xml:space="preserve">(i.e. it applies to different technologies / networks that support broadband, such as xDSL, cable, VSAT, etc.)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no, please clarify to what technologies it applies: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Type of services allowed by the authorization /licen</w:t>
            </w:r>
            <w:r w:rsidR="000F4A58" w:rsidRPr="00C5494E">
              <w:t>c</w:t>
            </w:r>
            <w:r w:rsidRPr="00C5494E">
              <w:t>e</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Specific service. </w:t>
            </w:r>
          </w:p>
          <w:p w:rsidR="00F75B07" w:rsidRPr="00C5494E" w:rsidRDefault="00F75B07" w:rsidP="00FB239F">
            <w:pPr>
              <w:pStyle w:val="Tabletext"/>
              <w:tabs>
                <w:tab w:val="clear" w:pos="284"/>
                <w:tab w:val="clear" w:pos="567"/>
                <w:tab w:val="left" w:pos="432"/>
                <w:tab w:val="left" w:pos="794"/>
                <w:tab w:val="left" w:pos="1191"/>
                <w:tab w:val="left" w:pos="1588"/>
              </w:tabs>
              <w:spacing w:before="0" w:after="0"/>
              <w:rPr>
                <w:szCs w:val="22"/>
              </w:rPr>
            </w:pPr>
            <w:r w:rsidRPr="00C5494E">
              <w:rPr>
                <w:szCs w:val="22"/>
              </w:rPr>
              <w:tab/>
              <w:t xml:space="preserve">For which service?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Multi-service. </w:t>
            </w:r>
          </w:p>
          <w:p w:rsidR="00F75B07" w:rsidRPr="00C5494E" w:rsidRDefault="00F75B07" w:rsidP="00FB239F">
            <w:pPr>
              <w:pStyle w:val="Tabletext"/>
              <w:tabs>
                <w:tab w:val="clear" w:pos="284"/>
                <w:tab w:val="clear" w:pos="567"/>
                <w:tab w:val="left" w:pos="432"/>
                <w:tab w:val="left" w:pos="794"/>
                <w:tab w:val="left" w:pos="1191"/>
                <w:tab w:val="left" w:pos="1588"/>
              </w:tabs>
              <w:spacing w:before="0" w:after="0"/>
              <w:rPr>
                <w:szCs w:val="22"/>
              </w:rPr>
            </w:pPr>
            <w:r w:rsidRPr="00C5494E">
              <w:rPr>
                <w:szCs w:val="22"/>
              </w:rPr>
              <w:tab/>
              <w:t xml:space="preserve">For which services?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D736C6" w:rsidP="000F4A58">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3"/>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All services (Unified / Global licen</w:t>
            </w:r>
            <w:r w:rsidR="000F4A58" w:rsidRPr="00C5494E">
              <w:rPr>
                <w:szCs w:val="22"/>
              </w:rPr>
              <w:t>c</w:t>
            </w:r>
            <w:r w:rsidR="00F75B07" w:rsidRPr="00C5494E">
              <w:rPr>
                <w:szCs w:val="22"/>
              </w:rPr>
              <w:t>e)</w:t>
            </w:r>
          </w:p>
          <w:p w:rsidR="00F75B07" w:rsidRPr="00C5494E" w:rsidRDefault="00F75B07" w:rsidP="00FB239F">
            <w:pPr>
              <w:pStyle w:val="Tabletext"/>
              <w:tabs>
                <w:tab w:val="clear" w:pos="284"/>
                <w:tab w:val="left" w:pos="794"/>
                <w:tab w:val="left" w:pos="1191"/>
                <w:tab w:val="left" w:pos="1588"/>
              </w:tabs>
              <w:spacing w:before="0" w:after="0"/>
              <w:rPr>
                <w:sz w:val="6"/>
                <w:szCs w:val="6"/>
              </w:rPr>
            </w:pP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necessary, please clarify: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Is there a one-time authorization / licen</w:t>
            </w:r>
            <w:r w:rsidR="000F4A58" w:rsidRPr="00C5494E">
              <w:t>c</w:t>
            </w:r>
            <w:r w:rsidRPr="00C5494E">
              <w:t xml:space="preserve">e fee (entry fee)? </w:t>
            </w:r>
            <w:r w:rsidRPr="00C5494E">
              <w:rPr>
                <w:color w:val="808080"/>
              </w:rPr>
              <w:t>(if different conditions apply to rural ISPs, please add a note)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yes, please specify the amount in </w:t>
            </w:r>
            <w:r w:rsidR="005422C1" w:rsidRPr="00C5494E">
              <w:rPr>
                <w:szCs w:val="22"/>
              </w:rPr>
              <w:t>USD</w:t>
            </w:r>
            <w:r w:rsidRPr="00C5494E">
              <w:rPr>
                <w:szCs w:val="22"/>
              </w:rPr>
              <w:t xml:space="preserve">: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Is there an annual authorization / licen</w:t>
            </w:r>
            <w:r w:rsidR="000F4A58" w:rsidRPr="00C5494E">
              <w:t>c</w:t>
            </w:r>
            <w:r w:rsidRPr="00C5494E">
              <w:t xml:space="preserve">e fee? </w:t>
            </w:r>
            <w:r w:rsidRPr="00C5494E">
              <w:rPr>
                <w:color w:val="808080"/>
              </w:rPr>
              <w:t>(if different conditions apply to rural ISPs, please add a note)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yes, please specify the amount in </w:t>
            </w:r>
            <w:r w:rsidR="005422C1" w:rsidRPr="00C5494E">
              <w:rPr>
                <w:szCs w:val="22"/>
              </w:rPr>
              <w:t>USD</w:t>
            </w:r>
            <w:r w:rsidRPr="00C5494E">
              <w:rPr>
                <w:szCs w:val="22"/>
              </w:rPr>
              <w:t xml:space="preserve">: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Who approves the authorization / licen</w:t>
            </w:r>
            <w:r w:rsidR="000F4A58" w:rsidRPr="00C5494E">
              <w:t>c</w:t>
            </w:r>
            <w:r w:rsidRPr="00C5494E">
              <w:t>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Ministry</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other, please specify: </w:t>
            </w:r>
            <w:r w:rsidR="00D736C6" w:rsidRPr="00C5494E">
              <w:rPr>
                <w:szCs w:val="22"/>
              </w:rPr>
              <w:fldChar w:fldCharType="begin">
                <w:ffData>
                  <w:name w:val="Texto8"/>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Time to review an authorization / licen</w:t>
            </w:r>
            <w:r w:rsidR="000F4A58" w:rsidRPr="00C5494E">
              <w:t>c</w:t>
            </w:r>
            <w:r w:rsidRPr="00C5494E">
              <w:t xml:space="preserve">e request </w:t>
            </w:r>
            <w:r w:rsidRPr="00C5494E">
              <w:rPr>
                <w:color w:val="808080"/>
              </w:rPr>
              <w:t>(please provide the limit set by law or, if not defined, an estimate of the average time)</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9"/>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 xml:space="preserve">e duration </w:t>
            </w:r>
            <w:r w:rsidRPr="00C5494E">
              <w:rPr>
                <w:color w:val="808080"/>
              </w:rPr>
              <w:t>(in years)</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What are the procedures for licen</w:t>
            </w:r>
            <w:r w:rsidR="000F4A58" w:rsidRPr="00C5494E">
              <w:t>c</w:t>
            </w:r>
            <w:r w:rsidRPr="00C5494E">
              <w:t>e renewal? Please explain:</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blPrEx>
          <w:tblLook w:val="01E0"/>
        </w:tblPrEx>
        <w:tc>
          <w:tcPr>
            <w:tcW w:w="9639" w:type="dxa"/>
            <w:gridSpan w:val="3"/>
            <w:vAlign w:val="center"/>
          </w:tcPr>
          <w:p w:rsidR="00F75B07" w:rsidRPr="00C5494E" w:rsidRDefault="00F75B07" w:rsidP="000F4A58">
            <w:pPr>
              <w:pStyle w:val="Tabletext"/>
              <w:tabs>
                <w:tab w:val="clear" w:pos="851"/>
                <w:tab w:val="left" w:pos="252"/>
                <w:tab w:val="left" w:pos="1191"/>
                <w:tab w:val="left" w:pos="1588"/>
              </w:tabs>
              <w:spacing w:before="0" w:after="120"/>
              <w:jc w:val="center"/>
              <w:rPr>
                <w:b/>
                <w:bCs/>
                <w:color w:val="808080"/>
              </w:rPr>
            </w:pPr>
            <w:r w:rsidRPr="00C5494E">
              <w:rPr>
                <w:b/>
                <w:bCs/>
                <w:color w:val="808080"/>
              </w:rPr>
              <w:t>(If there is more than two types of licen</w:t>
            </w:r>
            <w:r w:rsidR="000F4A58" w:rsidRPr="00C5494E">
              <w:rPr>
                <w:b/>
                <w:bCs/>
                <w:color w:val="808080"/>
              </w:rPr>
              <w:t>c</w:t>
            </w:r>
            <w:r w:rsidRPr="00C5494E">
              <w:rPr>
                <w:b/>
                <w:bCs/>
                <w:color w:val="808080"/>
              </w:rPr>
              <w:t>e for broadband services, please fill in the details of the other licen</w:t>
            </w:r>
            <w:r w:rsidR="000F4A58" w:rsidRPr="00C5494E">
              <w:rPr>
                <w:b/>
                <w:bCs/>
                <w:color w:val="808080"/>
              </w:rPr>
              <w:t>c</w:t>
            </w:r>
            <w:r w:rsidRPr="00C5494E">
              <w:rPr>
                <w:b/>
                <w:bCs/>
                <w:color w:val="808080"/>
              </w:rPr>
              <w:t>e below. If not, please leave blank)</w:t>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Name of authorization / licen</w:t>
            </w:r>
            <w:r w:rsidR="000F4A58" w:rsidRPr="00C5494E">
              <w:t>c</w:t>
            </w:r>
            <w:r w:rsidRPr="00C5494E">
              <w:t>e</w:t>
            </w:r>
          </w:p>
        </w:tc>
        <w:tc>
          <w:tcPr>
            <w:tcW w:w="4959" w:type="dxa"/>
          </w:tcPr>
          <w:p w:rsidR="00F75B07" w:rsidRPr="00C5494E" w:rsidRDefault="00D736C6" w:rsidP="00FB239F">
            <w:pPr>
              <w:pStyle w:val="Tabletext"/>
              <w:tabs>
                <w:tab w:val="left" w:pos="794"/>
                <w:tab w:val="left" w:pos="1191"/>
                <w:tab w:val="left" w:pos="1588"/>
              </w:tabs>
              <w:spacing w:before="0" w:after="120"/>
              <w:ind w:left="851" w:hanging="851"/>
              <w:rPr>
                <w:b/>
                <w:bCs/>
              </w:rPr>
            </w:pPr>
            <w:r w:rsidRPr="00C5494E">
              <w:rPr>
                <w:b/>
                <w:bCs/>
              </w:rPr>
              <w:fldChar w:fldCharType="begin">
                <w:ffData>
                  <w:name w:val="Texto2"/>
                  <w:enabled/>
                  <w:calcOnExit w:val="0"/>
                  <w:textInput/>
                </w:ffData>
              </w:fldChar>
            </w:r>
            <w:r w:rsidR="00F75B07" w:rsidRPr="00C5494E">
              <w:rPr>
                <w:b/>
                <w:bCs/>
              </w:rPr>
              <w:instrText xml:space="preserve"> FORMTEXT </w:instrText>
            </w:r>
            <w:r w:rsidRPr="00C5494E">
              <w:rPr>
                <w:b/>
                <w:bCs/>
              </w:rPr>
            </w:r>
            <w:r w:rsidRPr="00C5494E">
              <w:rPr>
                <w:b/>
                <w:bCs/>
              </w:rPr>
              <w:fldChar w:fldCharType="separate"/>
            </w:r>
            <w:r w:rsidR="00B67A33" w:rsidRPr="00C5494E">
              <w:rPr>
                <w:b/>
                <w:bCs/>
                <w:noProof/>
              </w:rPr>
              <w:t> </w:t>
            </w:r>
            <w:r w:rsidR="00B67A33" w:rsidRPr="00C5494E">
              <w:rPr>
                <w:b/>
                <w:bCs/>
                <w:noProof/>
              </w:rPr>
              <w:t> </w:t>
            </w:r>
            <w:r w:rsidR="00B67A33" w:rsidRPr="00C5494E">
              <w:rPr>
                <w:b/>
                <w:bCs/>
                <w:noProof/>
              </w:rPr>
              <w:t> </w:t>
            </w:r>
            <w:r w:rsidR="00B67A33" w:rsidRPr="00C5494E">
              <w:rPr>
                <w:b/>
                <w:bCs/>
                <w:noProof/>
              </w:rPr>
              <w:t> </w:t>
            </w:r>
            <w:r w:rsidR="00B67A33" w:rsidRPr="00C5494E">
              <w:rPr>
                <w:b/>
                <w:bCs/>
                <w:noProof/>
              </w:rPr>
              <w:t> </w:t>
            </w:r>
            <w:r w:rsidRPr="00C5494E">
              <w:rPr>
                <w:b/>
                <w:bCs/>
              </w:rPr>
              <w:fldChar w:fldCharType="end"/>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Authorization type</w:t>
            </w:r>
          </w:p>
        </w:tc>
        <w:tc>
          <w:tcPr>
            <w:tcW w:w="4959" w:type="dxa"/>
          </w:tcPr>
          <w:p w:rsidR="00F75B07" w:rsidRPr="00C5494E" w:rsidRDefault="00D736C6" w:rsidP="000F4A58">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Individual licen</w:t>
            </w:r>
            <w:r w:rsidR="000F4A58" w:rsidRPr="00C5494E">
              <w:rPr>
                <w:szCs w:val="22"/>
              </w:rPr>
              <w:t>c</w:t>
            </w:r>
            <w:r w:rsidR="00F75B07" w:rsidRPr="00C5494E">
              <w:rPr>
                <w:szCs w:val="22"/>
              </w:rPr>
              <w:t>e</w:t>
            </w:r>
          </w:p>
          <w:p w:rsidR="00F75B07" w:rsidRPr="00C5494E" w:rsidRDefault="00D736C6" w:rsidP="000F4A58">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General authorization (class licen</w:t>
            </w:r>
            <w:r w:rsidR="000F4A58" w:rsidRPr="00C5494E">
              <w:rPr>
                <w:szCs w:val="22"/>
              </w:rPr>
              <w:t>c</w:t>
            </w:r>
            <w:r w:rsidR="00F75B07" w:rsidRPr="00C5494E">
              <w:rPr>
                <w:szCs w:val="22"/>
              </w:rPr>
              <w:t>e)</w:t>
            </w:r>
          </w:p>
          <w:p w:rsidR="00F75B07" w:rsidRPr="00C5494E" w:rsidRDefault="00D736C6" w:rsidP="000F4A58">
            <w:pPr>
              <w:pStyle w:val="Tabletext"/>
              <w:tabs>
                <w:tab w:val="clear" w:pos="284"/>
                <w:tab w:val="clear" w:pos="567"/>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Licen</w:t>
            </w:r>
            <w:r w:rsidR="000F4A58" w:rsidRPr="00C5494E">
              <w:rPr>
                <w:szCs w:val="22"/>
              </w:rPr>
              <w:t>c</w:t>
            </w:r>
            <w:r w:rsidR="00F75B07" w:rsidRPr="00C5494E">
              <w:rPr>
                <w:szCs w:val="22"/>
              </w:rPr>
              <w:t>e exempt</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6"/>
                <w:szCs w:val="6"/>
              </w:rPr>
            </w:pP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blPrEx>
          <w:tblLook w:val="01E0"/>
        </w:tblPrEx>
        <w:trPr>
          <w:trHeight w:val="651"/>
        </w:trPr>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Is the number of authorizations limited?</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yes, please specify the maximum number: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Number of licen</w:t>
            </w:r>
            <w:r w:rsidR="000F4A58" w:rsidRPr="00C5494E">
              <w:t>c</w:t>
            </w:r>
            <w:r w:rsidRPr="00C5494E">
              <w:t>es granted</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Is the authorization / licen</w:t>
            </w:r>
            <w:r w:rsidR="000F4A58" w:rsidRPr="00C5494E">
              <w:t>c</w:t>
            </w:r>
            <w:r w:rsidRPr="00C5494E">
              <w:t>e technologically neutral?</w:t>
            </w:r>
          </w:p>
          <w:p w:rsidR="00F75B07" w:rsidRPr="00C5494E" w:rsidRDefault="00F75B07" w:rsidP="00FB239F">
            <w:pPr>
              <w:pStyle w:val="Tabletext"/>
              <w:tabs>
                <w:tab w:val="left" w:pos="794"/>
                <w:tab w:val="left" w:pos="1191"/>
                <w:tab w:val="left" w:pos="1588"/>
              </w:tabs>
              <w:spacing w:before="0"/>
              <w:rPr>
                <w:color w:val="808080"/>
              </w:rPr>
            </w:pPr>
            <w:r w:rsidRPr="00C5494E">
              <w:rPr>
                <w:color w:val="808080"/>
              </w:rPr>
              <w:t xml:space="preserve">(i.e. it applies to different technologies / networks that support broadband, such as xDSL, cable, VSAT, etc.)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no, please clarify to what technologies it applies: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Type of services allowed by the authorization /licen</w:t>
            </w:r>
            <w:r w:rsidR="000F4A58" w:rsidRPr="00C5494E">
              <w:t>c</w:t>
            </w:r>
            <w:r w:rsidRPr="00C5494E">
              <w:t>e</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Specific service. </w:t>
            </w:r>
          </w:p>
          <w:p w:rsidR="00F75B07" w:rsidRPr="00C5494E" w:rsidRDefault="00F75B07" w:rsidP="00FB239F">
            <w:pPr>
              <w:pStyle w:val="Tabletext"/>
              <w:tabs>
                <w:tab w:val="clear" w:pos="284"/>
                <w:tab w:val="clear" w:pos="567"/>
                <w:tab w:val="left" w:pos="432"/>
                <w:tab w:val="left" w:pos="794"/>
                <w:tab w:val="left" w:pos="1191"/>
                <w:tab w:val="left" w:pos="1588"/>
              </w:tabs>
              <w:spacing w:before="0" w:after="0"/>
              <w:rPr>
                <w:szCs w:val="22"/>
              </w:rPr>
            </w:pPr>
            <w:r w:rsidRPr="00C5494E">
              <w:rPr>
                <w:szCs w:val="22"/>
              </w:rPr>
              <w:tab/>
              <w:t xml:space="preserve">For which service?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Multi-service. </w:t>
            </w:r>
          </w:p>
          <w:p w:rsidR="00F75B07" w:rsidRPr="00C5494E" w:rsidRDefault="00F75B07" w:rsidP="00FB239F">
            <w:pPr>
              <w:pStyle w:val="Tabletext"/>
              <w:tabs>
                <w:tab w:val="clear" w:pos="284"/>
                <w:tab w:val="clear" w:pos="567"/>
                <w:tab w:val="left" w:pos="432"/>
                <w:tab w:val="left" w:pos="794"/>
                <w:tab w:val="left" w:pos="1191"/>
                <w:tab w:val="left" w:pos="1588"/>
              </w:tabs>
              <w:spacing w:before="0" w:after="0"/>
              <w:rPr>
                <w:szCs w:val="22"/>
              </w:rPr>
            </w:pPr>
            <w:r w:rsidRPr="00C5494E">
              <w:rPr>
                <w:szCs w:val="22"/>
              </w:rPr>
              <w:tab/>
              <w:t xml:space="preserve">For which services?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D736C6" w:rsidP="000F4A58">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3"/>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All services (Unified / Global licen</w:t>
            </w:r>
            <w:r w:rsidR="000F4A58" w:rsidRPr="00C5494E">
              <w:rPr>
                <w:szCs w:val="22"/>
              </w:rPr>
              <w:t>c</w:t>
            </w:r>
            <w:r w:rsidR="00F75B07" w:rsidRPr="00C5494E">
              <w:rPr>
                <w:szCs w:val="22"/>
              </w:rPr>
              <w:t>e)</w:t>
            </w:r>
          </w:p>
          <w:p w:rsidR="00F75B07" w:rsidRPr="00C5494E" w:rsidRDefault="00F75B07" w:rsidP="00FB239F">
            <w:pPr>
              <w:pStyle w:val="Tabletext"/>
              <w:tabs>
                <w:tab w:val="clear" w:pos="284"/>
                <w:tab w:val="left" w:pos="794"/>
                <w:tab w:val="left" w:pos="1191"/>
                <w:tab w:val="left" w:pos="1588"/>
              </w:tabs>
              <w:spacing w:before="0" w:after="0"/>
              <w:rPr>
                <w:sz w:val="6"/>
                <w:szCs w:val="6"/>
              </w:rPr>
            </w:pP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necessary, please clarify: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Is there a one-time authorization / licen</w:t>
            </w:r>
            <w:r w:rsidR="000F4A58" w:rsidRPr="00C5494E">
              <w:t>c</w:t>
            </w:r>
            <w:r w:rsidRPr="00C5494E">
              <w:t xml:space="preserve">e fee (entry fee)? </w:t>
            </w:r>
            <w:r w:rsidRPr="00C5494E">
              <w:rPr>
                <w:color w:val="808080"/>
              </w:rPr>
              <w:t>(if different conditions apply to rural ISPs, please add a note)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 w:val="6"/>
                <w:szCs w:val="6"/>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yes, please specify the amount in </w:t>
            </w:r>
            <w:r w:rsidR="005422C1" w:rsidRPr="00C5494E">
              <w:rPr>
                <w:szCs w:val="22"/>
              </w:rPr>
              <w:t>USD</w:t>
            </w:r>
            <w:r w:rsidRPr="00C5494E">
              <w:rPr>
                <w:szCs w:val="22"/>
              </w:rPr>
              <w:t xml:space="preserve">: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Is there an annual authorization / licen</w:t>
            </w:r>
            <w:r w:rsidR="000F4A58" w:rsidRPr="00C5494E">
              <w:t>c</w:t>
            </w:r>
            <w:r w:rsidRPr="00C5494E">
              <w:t xml:space="preserve">e fee? </w:t>
            </w:r>
            <w:r w:rsidRPr="00C5494E">
              <w:rPr>
                <w:color w:val="808080"/>
              </w:rPr>
              <w:t>(if different conditions apply to rural ISPs, please add a note)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yes, please specify the amount in </w:t>
            </w:r>
            <w:r w:rsidR="005422C1" w:rsidRPr="00C5494E">
              <w:rPr>
                <w:szCs w:val="22"/>
              </w:rPr>
              <w:t>USD</w:t>
            </w:r>
            <w:r w:rsidRPr="00C5494E">
              <w:rPr>
                <w:szCs w:val="22"/>
              </w:rPr>
              <w:t xml:space="preserve">: </w:t>
            </w:r>
            <w:r w:rsidR="00D736C6" w:rsidRPr="00C5494E">
              <w:rPr>
                <w:szCs w:val="22"/>
              </w:rPr>
              <w:fldChar w:fldCharType="begin">
                <w:ffData>
                  <w:name w:val="Texto4"/>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Who approves the authorization / licen</w:t>
            </w:r>
            <w:r w:rsidR="000F4A58" w:rsidRPr="00C5494E">
              <w:t>c</w:t>
            </w:r>
            <w:r w:rsidRPr="00C5494E">
              <w:t>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Ministry</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other, please specify: </w:t>
            </w:r>
            <w:r w:rsidR="00D736C6" w:rsidRPr="00C5494E">
              <w:rPr>
                <w:szCs w:val="22"/>
              </w:rPr>
              <w:fldChar w:fldCharType="begin">
                <w:ffData>
                  <w:name w:val="Texto8"/>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Time to review an authorization / licen</w:t>
            </w:r>
            <w:r w:rsidR="000F4A58" w:rsidRPr="00C5494E">
              <w:t>c</w:t>
            </w:r>
            <w:r w:rsidRPr="00C5494E">
              <w:t xml:space="preserve">e request </w:t>
            </w:r>
            <w:r w:rsidRPr="00C5494E">
              <w:rPr>
                <w:color w:val="808080"/>
              </w:rPr>
              <w:t>(please provide the limit set by law or, if not defined, an estimate of the average time)</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9"/>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 xml:space="preserve">e duration </w:t>
            </w:r>
            <w:r w:rsidRPr="00C5494E">
              <w:rPr>
                <w:color w:val="808080"/>
              </w:rPr>
              <w:t>(in years)</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blPrEx>
          <w:tblLook w:val="01E0"/>
        </w:tblPrEx>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0F4A58">
            <w:pPr>
              <w:pStyle w:val="Tabletext"/>
              <w:tabs>
                <w:tab w:val="left" w:pos="794"/>
                <w:tab w:val="left" w:pos="1191"/>
                <w:tab w:val="left" w:pos="1588"/>
              </w:tabs>
              <w:spacing w:before="0"/>
            </w:pPr>
            <w:r w:rsidRPr="00C5494E">
              <w:t>What are the procedures for licen</w:t>
            </w:r>
            <w:r w:rsidR="000F4A58" w:rsidRPr="00C5494E">
              <w:t>c</w:t>
            </w:r>
            <w:r w:rsidRPr="00C5494E">
              <w:t>e renewal? Please explain:</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bl>
    <w:p w:rsidR="00F75B07" w:rsidRPr="00C5494E" w:rsidRDefault="00F75B07" w:rsidP="00F75B07"/>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gridCol w:w="3240"/>
        <w:gridCol w:w="4959"/>
      </w:tblGrid>
      <w:tr w:rsidR="00F75B07" w:rsidRPr="00C5494E" w:rsidTr="00F75B07">
        <w:tc>
          <w:tcPr>
            <w:tcW w:w="720" w:type="dxa"/>
          </w:tcPr>
          <w:p w:rsidR="00F75B07" w:rsidRPr="00C5494E" w:rsidRDefault="00F75B07" w:rsidP="00F75B07">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rPr>
                <w:b/>
                <w:bCs/>
                <w:szCs w:val="22"/>
              </w:rPr>
            </w:pPr>
            <w:r w:rsidRPr="00C5494E">
              <w:rPr>
                <w:b/>
                <w:bCs/>
                <w:szCs w:val="22"/>
              </w:rPr>
              <w:t>Mobile broadband spectrum</w:t>
            </w:r>
          </w:p>
        </w:tc>
        <w:tc>
          <w:tcPr>
            <w:tcW w:w="4959" w:type="dxa"/>
          </w:tcPr>
          <w:p w:rsidR="00F75B07" w:rsidRPr="00C5494E" w:rsidRDefault="00F75B07" w:rsidP="00FB239F">
            <w:pPr>
              <w:pStyle w:val="Tabletext"/>
              <w:tabs>
                <w:tab w:val="clear" w:pos="851"/>
                <w:tab w:val="left" w:pos="0"/>
                <w:tab w:val="left" w:pos="176"/>
                <w:tab w:val="left" w:pos="794"/>
                <w:tab w:val="left" w:pos="1191"/>
                <w:tab w:val="left" w:pos="1588"/>
              </w:tabs>
              <w:spacing w:before="0" w:after="120"/>
              <w:rPr>
                <w:rFonts w:ascii="Arial" w:hAnsi="Arial" w:cs="Arial"/>
                <w:szCs w:val="22"/>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Have operators been assigned spectrum for the provision of IMT-2000 (3G) services in your country?</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r w:rsidRPr="00C5494E">
              <w:t>If Yes, please identify the frequency band(s):</w:t>
            </w:r>
          </w:p>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fldChar w:fldCharType="begin">
                <w:ffData>
                  <w:name w:val="Texto10"/>
                  <w:enabled/>
                  <w:calcOnExit w:val="0"/>
                  <w:textInput/>
                </w:ffData>
              </w:fldChar>
            </w:r>
            <w:bookmarkStart w:id="75" w:name="Texto10"/>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bookmarkEnd w:id="75"/>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e coverage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National</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Cs w:val="22"/>
              </w:rPr>
            </w:pPr>
            <w:r w:rsidRPr="00C5494E">
              <w:rPr>
                <w:szCs w:val="22"/>
              </w:rPr>
              <w:t>If regional, please specify the different regions:</w:t>
            </w:r>
          </w:p>
          <w:p w:rsidR="00F75B07" w:rsidRPr="00C5494E" w:rsidRDefault="00D736C6" w:rsidP="00FB239F">
            <w:pPr>
              <w:pStyle w:val="Tabletext"/>
              <w:tabs>
                <w:tab w:val="clear" w:pos="284"/>
                <w:tab w:val="clear" w:pos="567"/>
                <w:tab w:val="left" w:pos="794"/>
                <w:tab w:val="left" w:pos="1191"/>
                <w:tab w:val="left" w:pos="1588"/>
              </w:tabs>
              <w:spacing w:before="0" w:after="0"/>
              <w:ind w:left="72"/>
              <w:rPr>
                <w:szCs w:val="22"/>
              </w:rPr>
            </w:pPr>
            <w:r w:rsidRPr="00C5494E">
              <w:rPr>
                <w:szCs w:val="22"/>
              </w:rPr>
              <w:fldChar w:fldCharType="begin">
                <w:ffData>
                  <w:name w:val="Texto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0F4A58">
            <w:pPr>
              <w:pStyle w:val="Tabletext"/>
              <w:tabs>
                <w:tab w:val="left" w:pos="794"/>
                <w:tab w:val="left" w:pos="1191"/>
                <w:tab w:val="left" w:pos="1588"/>
              </w:tabs>
              <w:spacing w:before="0"/>
            </w:pPr>
            <w:r w:rsidRPr="00C5494E">
              <w:t>Are geographic and/or population coverage requirements included in the licen</w:t>
            </w:r>
            <w:r w:rsidR="000F4A58" w:rsidRPr="00C5494E">
              <w:t>c</w:t>
            </w:r>
            <w:r w:rsidRPr="00C5494E">
              <w:t xml:space="preserve">es?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r w:rsidRPr="00C5494E">
              <w:t>If Yes, please specify:</w:t>
            </w:r>
          </w:p>
          <w:p w:rsidR="00F75B07" w:rsidRPr="00C5494E" w:rsidRDefault="00D736C6" w:rsidP="00FB239F">
            <w:pPr>
              <w:pStyle w:val="Tabletext"/>
              <w:tabs>
                <w:tab w:val="clear" w:pos="284"/>
                <w:tab w:val="clear" w:pos="567"/>
                <w:tab w:val="left" w:pos="794"/>
                <w:tab w:val="left" w:pos="1191"/>
                <w:tab w:val="left" w:pos="1588"/>
              </w:tabs>
              <w:spacing w:before="0" w:after="0"/>
              <w:ind w:left="72"/>
              <w:rPr>
                <w:sz w:val="16"/>
                <w:szCs w:val="16"/>
              </w:rPr>
            </w:pPr>
            <w:r w:rsidRPr="00C5494E">
              <w:fldChar w:fldCharType="begin">
                <w:ffData>
                  <w:name w:val="Texto10"/>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Have operators been assigned spectrum for the provision of WiMAX services in your country?</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r w:rsidRPr="00C5494E">
              <w:t>If Yes, please identify the frequency band(s):</w:t>
            </w:r>
          </w:p>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fldChar w:fldCharType="begin">
                <w:ffData>
                  <w:name w:val="Texto10"/>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e coverage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National</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Cs w:val="22"/>
              </w:rPr>
            </w:pPr>
            <w:r w:rsidRPr="00C5494E">
              <w:rPr>
                <w:szCs w:val="22"/>
              </w:rPr>
              <w:t>If regional, please specify the different regions:</w:t>
            </w:r>
          </w:p>
          <w:p w:rsidR="00F75B07" w:rsidRPr="00C5494E" w:rsidRDefault="00D736C6" w:rsidP="00FB239F">
            <w:pPr>
              <w:pStyle w:val="Tabletext"/>
              <w:tabs>
                <w:tab w:val="clear" w:pos="284"/>
                <w:tab w:val="clear" w:pos="567"/>
                <w:tab w:val="left" w:pos="794"/>
                <w:tab w:val="left" w:pos="1191"/>
                <w:tab w:val="left" w:pos="1588"/>
              </w:tabs>
              <w:spacing w:before="0" w:after="0"/>
              <w:ind w:left="72"/>
              <w:rPr>
                <w:szCs w:val="22"/>
              </w:rPr>
            </w:pPr>
            <w:r w:rsidRPr="00C5494E">
              <w:rPr>
                <w:szCs w:val="22"/>
              </w:rPr>
              <w:fldChar w:fldCharType="begin">
                <w:ffData>
                  <w:name w:val="Texto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rPr>
          <w:trHeight w:val="1042"/>
        </w:trPr>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0F4A58">
            <w:pPr>
              <w:pStyle w:val="Tabletext"/>
              <w:tabs>
                <w:tab w:val="left" w:pos="794"/>
                <w:tab w:val="left" w:pos="1191"/>
                <w:tab w:val="left" w:pos="1588"/>
              </w:tabs>
              <w:spacing w:before="0"/>
            </w:pPr>
            <w:r w:rsidRPr="00C5494E">
              <w:t>Are geographic and/or population coverage requirements included in the licen</w:t>
            </w:r>
            <w:r w:rsidR="000F4A58" w:rsidRPr="00C5494E">
              <w:t>c</w:t>
            </w:r>
            <w:r w:rsidRPr="00C5494E">
              <w:t xml:space="preserve">es?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r w:rsidRPr="00C5494E">
              <w:t>If Yes, please specify:</w:t>
            </w:r>
          </w:p>
          <w:p w:rsidR="00F75B07" w:rsidRPr="00C5494E" w:rsidRDefault="00D736C6" w:rsidP="00FB239F">
            <w:pPr>
              <w:pStyle w:val="Tabletext"/>
              <w:tabs>
                <w:tab w:val="clear" w:pos="284"/>
                <w:tab w:val="clear" w:pos="567"/>
                <w:tab w:val="left" w:pos="794"/>
                <w:tab w:val="left" w:pos="1191"/>
                <w:tab w:val="left" w:pos="1588"/>
              </w:tabs>
              <w:spacing w:before="0" w:after="0"/>
              <w:ind w:left="72"/>
              <w:rPr>
                <w:sz w:val="16"/>
                <w:szCs w:val="16"/>
              </w:rPr>
            </w:pPr>
            <w:r w:rsidRPr="00C5494E">
              <w:fldChar w:fldCharType="begin">
                <w:ffData>
                  <w:name w:val="Texto10"/>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0F4A58">
            <w:pPr>
              <w:pStyle w:val="Tabletext"/>
              <w:tabs>
                <w:tab w:val="left" w:pos="794"/>
                <w:tab w:val="left" w:pos="1191"/>
                <w:tab w:val="left" w:pos="1588"/>
              </w:tabs>
              <w:spacing w:before="0"/>
            </w:pPr>
            <w:r w:rsidRPr="00C5494E">
              <w:t>Are there licen</w:t>
            </w:r>
            <w:r w:rsidR="000F4A58" w:rsidRPr="00C5494E">
              <w:t>c</w:t>
            </w:r>
            <w:r w:rsidRPr="00C5494E">
              <w:t xml:space="preserve">e-free bands for </w:t>
            </w:r>
            <w:r w:rsidR="000F4A58" w:rsidRPr="00C5494E">
              <w:t>Wi-Fi</w:t>
            </w:r>
            <w:r w:rsidRPr="00C5494E">
              <w:t xml:space="preserve"> in your country?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0F4A58">
            <w:pPr>
              <w:pStyle w:val="Tabletext"/>
              <w:tabs>
                <w:tab w:val="clear" w:pos="284"/>
                <w:tab w:val="clear" w:pos="851"/>
                <w:tab w:val="left" w:pos="279"/>
                <w:tab w:val="left" w:pos="639"/>
                <w:tab w:val="left" w:pos="1191"/>
                <w:tab w:val="left" w:pos="1588"/>
              </w:tabs>
              <w:spacing w:before="0" w:after="120"/>
              <w:ind w:left="99"/>
            </w:pPr>
            <w:r w:rsidRPr="00C5494E">
              <w:t xml:space="preserve">If No, please clarify how </w:t>
            </w:r>
            <w:r w:rsidR="000F4A58" w:rsidRPr="00C5494E">
              <w:t>Wi-Fi</w:t>
            </w:r>
            <w:r w:rsidRPr="00C5494E">
              <w:t xml:space="preserve"> licen</w:t>
            </w:r>
            <w:r w:rsidR="000F4A58" w:rsidRPr="00C5494E">
              <w:t>c</w:t>
            </w:r>
            <w:r w:rsidRPr="00C5494E">
              <w:t>es are obtained:</w:t>
            </w:r>
          </w:p>
          <w:p w:rsidR="00F75B07" w:rsidRPr="00C5494E" w:rsidRDefault="00D736C6" w:rsidP="00FB239F">
            <w:pPr>
              <w:pStyle w:val="Tabletext"/>
              <w:tabs>
                <w:tab w:val="clear" w:pos="284"/>
                <w:tab w:val="left" w:pos="794"/>
                <w:tab w:val="left" w:pos="1191"/>
                <w:tab w:val="left" w:pos="1588"/>
              </w:tabs>
              <w:spacing w:before="0" w:after="0"/>
            </w:pPr>
            <w:r w:rsidRPr="00C5494E">
              <w:fldChar w:fldCharType="begin">
                <w:ffData>
                  <w:name w:val="Texto10"/>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 xml:space="preserve">Does the provision of mobile broadband services require a telecommunication authorization (such as the ones listed in section 1) in addition to the spectrum authorization?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 w:val="6"/>
                <w:szCs w:val="6"/>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If Yes, please specify the details of the additional authorization (please refer to questions in section 1 of the questionnaire): </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4"/>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0F4A58">
            <w:pPr>
              <w:pStyle w:val="Tabletext"/>
              <w:tabs>
                <w:tab w:val="left" w:pos="794"/>
                <w:tab w:val="left" w:pos="1191"/>
                <w:tab w:val="left" w:pos="1588"/>
              </w:tabs>
              <w:spacing w:before="0"/>
            </w:pPr>
            <w:r w:rsidRPr="00C5494E">
              <w:t xml:space="preserve">Is secondary trading allowed? </w:t>
            </w:r>
            <w:r w:rsidRPr="00C5494E">
              <w:rPr>
                <w:color w:val="808080"/>
              </w:rPr>
              <w:t>(secondary trading: the trading of spectrum rights or licen</w:t>
            </w:r>
            <w:r w:rsidR="000F4A58" w:rsidRPr="00C5494E">
              <w:rPr>
                <w:color w:val="808080"/>
              </w:rPr>
              <w:t>c</w:t>
            </w:r>
            <w:r w:rsidRPr="00C5494E">
              <w:rPr>
                <w:color w:val="808080"/>
              </w:rPr>
              <w:t>es between buyers and sellers directly without having it pass through the Regulatory Authority’s hands)</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If Yes, is a change of spectrum use permitted on transfer: Yes</w:t>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c>
          <w:tcPr>
            <w:tcW w:w="720" w:type="dxa"/>
          </w:tcPr>
          <w:p w:rsidR="00F75B07" w:rsidRPr="00C5494E" w:rsidRDefault="00F75B07" w:rsidP="00F75B07">
            <w:pPr>
              <w:pStyle w:val="Tabletext"/>
              <w:keepN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0F4A58">
            <w:pPr>
              <w:pStyle w:val="Tabletext"/>
              <w:keepNext/>
              <w:tabs>
                <w:tab w:val="left" w:pos="794"/>
                <w:tab w:val="left" w:pos="1191"/>
                <w:tab w:val="left" w:pos="1588"/>
              </w:tabs>
              <w:spacing w:before="0"/>
            </w:pPr>
            <w:r w:rsidRPr="00C5494E">
              <w:t xml:space="preserve">Is in-band migration allowed? </w:t>
            </w:r>
            <w:r w:rsidRPr="00C5494E">
              <w:rPr>
                <w:color w:val="808080"/>
              </w:rPr>
              <w:t xml:space="preserve">(in-band migration: the right to use existing </w:t>
            </w:r>
            <w:proofErr w:type="spellStart"/>
            <w:r w:rsidRPr="00C5494E">
              <w:rPr>
                <w:color w:val="808080"/>
              </w:rPr>
              <w:t>licen</w:t>
            </w:r>
            <w:r w:rsidR="000F4A58" w:rsidRPr="00C5494E">
              <w:rPr>
                <w:color w:val="808080"/>
              </w:rPr>
              <w:t>c</w:t>
            </w:r>
            <w:r w:rsidRPr="00C5494E">
              <w:rPr>
                <w:color w:val="808080"/>
              </w:rPr>
              <w:t>ed</w:t>
            </w:r>
            <w:proofErr w:type="spellEnd"/>
            <w:r w:rsidRPr="00C5494E">
              <w:rPr>
                <w:color w:val="808080"/>
              </w:rPr>
              <w:t xml:space="preserve"> spectrum for the provision of new services (e.g. 2G spectrum used for 3G))</w:t>
            </w:r>
          </w:p>
        </w:tc>
        <w:tc>
          <w:tcPr>
            <w:tcW w:w="4959" w:type="dxa"/>
          </w:tcPr>
          <w:p w:rsidR="00F75B07" w:rsidRPr="00C5494E" w:rsidRDefault="00F75B07" w:rsidP="00F75B07">
            <w:pPr>
              <w:pStyle w:val="Tabletext"/>
              <w:keepN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75B07">
            <w:pPr>
              <w:pStyle w:val="Tabletext"/>
              <w:keepNext/>
              <w:tabs>
                <w:tab w:val="clear" w:pos="284"/>
                <w:tab w:val="left" w:pos="794"/>
                <w:tab w:val="left" w:pos="1191"/>
                <w:tab w:val="left" w:pos="1588"/>
              </w:tabs>
              <w:spacing w:before="0" w:after="0"/>
              <w:rPr>
                <w:szCs w:val="22"/>
              </w:rPr>
            </w:pPr>
            <w:r w:rsidRPr="00C5494E">
              <w:rPr>
                <w:szCs w:val="22"/>
              </w:rPr>
              <w:t>If Yes, has it taken place: Yes</w:t>
            </w:r>
          </w:p>
          <w:p w:rsidR="00F75B07" w:rsidRPr="00C5494E" w:rsidRDefault="00F75B07" w:rsidP="00F75B07">
            <w:pPr>
              <w:pStyle w:val="Tabletext"/>
              <w:keepNext/>
              <w:tabs>
                <w:tab w:val="clear" w:pos="284"/>
                <w:tab w:val="left" w:pos="794"/>
                <w:tab w:val="left" w:pos="1191"/>
                <w:tab w:val="left" w:pos="1588"/>
              </w:tabs>
              <w:spacing w:before="0" w:after="0"/>
              <w:rPr>
                <w:szCs w:val="22"/>
              </w:rPr>
            </w:pPr>
            <w:r w:rsidRPr="00C5494E">
              <w:rPr>
                <w:szCs w:val="22"/>
              </w:rPr>
              <w:tab/>
              <w:t>If Yes, please specify for which services/bands:</w:t>
            </w:r>
          </w:p>
          <w:p w:rsidR="00F75B07" w:rsidRPr="00C5494E" w:rsidRDefault="00F75B07" w:rsidP="00F75B07">
            <w:pPr>
              <w:pStyle w:val="Tabletext"/>
              <w:keepNext/>
              <w:tabs>
                <w:tab w:val="clear" w:pos="284"/>
                <w:tab w:val="left" w:pos="794"/>
                <w:tab w:val="left" w:pos="1191"/>
                <w:tab w:val="left" w:pos="1588"/>
              </w:tabs>
              <w:spacing w:before="0" w:after="0"/>
              <w:rPr>
                <w:szCs w:val="22"/>
              </w:rPr>
            </w:pPr>
            <w:r w:rsidRPr="00C5494E">
              <w:rPr>
                <w:szCs w:val="22"/>
              </w:rPr>
              <w:tab/>
            </w:r>
            <w:r w:rsidR="00D736C6" w:rsidRPr="00C5494E">
              <w:rPr>
                <w:szCs w:val="22"/>
              </w:rPr>
              <w:fldChar w:fldCharType="begin">
                <w:ffData>
                  <w:name w:val="Texto11"/>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 xml:space="preserve">Has there been (or is it planned for the near future) any spectrum </w:t>
            </w:r>
            <w:proofErr w:type="spellStart"/>
            <w:r w:rsidRPr="00C5494E">
              <w:t>refarming</w:t>
            </w:r>
            <w:proofErr w:type="spellEnd"/>
            <w:r w:rsidRPr="00C5494E">
              <w:t xml:space="preserve"> to reassign new bands to wireless broadband services? </w:t>
            </w:r>
            <w:r w:rsidRPr="00C5494E">
              <w:rPr>
                <w:color w:val="808080"/>
              </w:rPr>
              <w:t>(e.g. the use of the digital dividend spectrum for wireless broadband services)</w:t>
            </w:r>
            <w:r w:rsidRPr="00C5494E">
              <w:t xml:space="preserve">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r w:rsidRPr="00C5494E">
              <w:t>If Yes, please specify (include time frames):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fldChar w:fldCharType="begin">
                <w:ffData>
                  <w:name w:val="Texto10"/>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bl>
    <w:p w:rsidR="00F75B07" w:rsidRPr="00C5494E" w:rsidRDefault="00F75B07" w:rsidP="00F75B07"/>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960"/>
        <w:gridCol w:w="4959"/>
      </w:tblGrid>
      <w:tr w:rsidR="00F75B07" w:rsidRPr="00C5494E" w:rsidTr="00F75B07">
        <w:tc>
          <w:tcPr>
            <w:tcW w:w="9639" w:type="dxa"/>
            <w:gridSpan w:val="3"/>
          </w:tcPr>
          <w:p w:rsidR="00F75B07" w:rsidRPr="00C5494E" w:rsidRDefault="00F75B07" w:rsidP="00FB239F">
            <w:pPr>
              <w:pStyle w:val="Tabletext"/>
              <w:tabs>
                <w:tab w:val="clear" w:pos="851"/>
                <w:tab w:val="left" w:pos="0"/>
                <w:tab w:val="left" w:pos="176"/>
                <w:tab w:val="left" w:pos="794"/>
                <w:tab w:val="left" w:pos="1191"/>
                <w:tab w:val="left" w:pos="1588"/>
              </w:tabs>
              <w:spacing w:before="0" w:after="120"/>
              <w:jc w:val="center"/>
              <w:rPr>
                <w:rFonts w:ascii="Arial" w:hAnsi="Arial" w:cs="Arial"/>
                <w:szCs w:val="22"/>
              </w:rPr>
            </w:pPr>
            <w:r w:rsidRPr="00C5494E">
              <w:rPr>
                <w:sz w:val="28"/>
                <w:szCs w:val="28"/>
              </w:rPr>
              <w:t>Regulatory obligations</w:t>
            </w:r>
          </w:p>
        </w:tc>
      </w:tr>
      <w:tr w:rsidR="00F75B07" w:rsidRPr="00C5494E" w:rsidTr="00F75B07">
        <w:tc>
          <w:tcPr>
            <w:tcW w:w="720" w:type="dxa"/>
          </w:tcPr>
          <w:p w:rsidR="00F75B07" w:rsidRPr="00C5494E" w:rsidRDefault="00F75B07" w:rsidP="00F75B07">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rPr>
                <w:b/>
                <w:bCs/>
                <w:szCs w:val="22"/>
              </w:rPr>
            </w:pPr>
            <w:r w:rsidRPr="00C5494E">
              <w:rPr>
                <w:b/>
                <w:bCs/>
                <w:szCs w:val="22"/>
              </w:rPr>
              <w:t>Broadband regulation</w:t>
            </w:r>
          </w:p>
        </w:tc>
        <w:tc>
          <w:tcPr>
            <w:tcW w:w="4959" w:type="dxa"/>
          </w:tcPr>
          <w:p w:rsidR="00F75B07" w:rsidRPr="00C5494E" w:rsidRDefault="00F75B07" w:rsidP="00FB239F">
            <w:pPr>
              <w:pStyle w:val="Tabletext"/>
              <w:tabs>
                <w:tab w:val="clear" w:pos="851"/>
                <w:tab w:val="left" w:pos="0"/>
                <w:tab w:val="left" w:pos="176"/>
                <w:tab w:val="left" w:pos="794"/>
                <w:tab w:val="left" w:pos="1191"/>
                <w:tab w:val="left" w:pos="1588"/>
              </w:tabs>
              <w:spacing w:before="0" w:after="120"/>
              <w:rPr>
                <w:rFonts w:ascii="Arial" w:hAnsi="Arial" w:cs="Arial"/>
                <w:szCs w:val="22"/>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 xml:space="preserve">Does the national regulatory authority (NRA) participate as observer or moderator in the discussions / </w:t>
            </w:r>
            <w:proofErr w:type="spellStart"/>
            <w:r w:rsidRPr="00C5494E">
              <w:t>fora</w:t>
            </w:r>
            <w:proofErr w:type="spellEnd"/>
            <w:r w:rsidRPr="00C5494E">
              <w:t xml:space="preserve"> of broadband operators?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r w:rsidRPr="00C5494E">
              <w:t>If Yes, please give some examples:</w:t>
            </w:r>
          </w:p>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fldChar w:fldCharType="begin">
                <w:ffData>
                  <w:name w:val="Texto10"/>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rPr>
                <w:color w:val="808080"/>
              </w:rPr>
            </w:pPr>
            <w:r w:rsidRPr="00C5494E">
              <w:t>Has the NRA imposed the obligation to accept reasonable access requests to wholesale broadband inputs of the dominant or incumbent operator? Or reasonable prices in wholesale and/or retail broadband markets?</w:t>
            </w:r>
            <w:r w:rsidRPr="00C5494E">
              <w:rPr>
                <w:color w:val="808080"/>
              </w:rPr>
              <w:t xml:space="preserve"> </w:t>
            </w:r>
          </w:p>
          <w:p w:rsidR="00F75B07" w:rsidRPr="00C5494E" w:rsidRDefault="00F75B07" w:rsidP="00FB239F">
            <w:pPr>
              <w:pStyle w:val="Tabletext"/>
              <w:tabs>
                <w:tab w:val="left" w:pos="794"/>
                <w:tab w:val="left" w:pos="1191"/>
                <w:tab w:val="left" w:pos="1588"/>
              </w:tabs>
              <w:spacing w:before="0"/>
            </w:pPr>
            <w:r w:rsidRPr="00C5494E">
              <w:rPr>
                <w:color w:val="808080"/>
              </w:rPr>
              <w:t>(in the latter case, the NRA would only intervene if there is evidences that prices charged by a dominant / incumbent operator are abusive)</w:t>
            </w:r>
            <w:r w:rsidR="005422C1" w:rsidRPr="00C5494E">
              <w:rPr>
                <w:color w:val="808080"/>
              </w:rPr>
              <w:t xml:space="preserve">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r w:rsidRPr="00C5494E">
              <w:t>If Yes, please specify under what circumstances:</w:t>
            </w:r>
          </w:p>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fldChar w:fldCharType="begin">
                <w:ffData>
                  <w:name w:val="Texto10"/>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Has the NRA imposed the obligation to accept access requests to wholesale broadband inputs of the dominant or incumbent operator through a Reference Offer? Or cost-oriented prices in wholesale and/or retail broadband markets?</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r w:rsidRPr="00C5494E">
              <w:t>If Yes, please specify under what circumstances:</w:t>
            </w:r>
          </w:p>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fldChar w:fldCharType="begin">
                <w:ffData>
                  <w:name w:val="Texto10"/>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 xml:space="preserve">Is unbundled access to the local loop required?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p>
          <w:p w:rsidR="00F75B07" w:rsidRPr="00C5494E" w:rsidRDefault="00F75B07" w:rsidP="00FB239F">
            <w:pPr>
              <w:pStyle w:val="Tabletext"/>
              <w:tabs>
                <w:tab w:val="clear" w:pos="284"/>
                <w:tab w:val="left" w:pos="794"/>
                <w:tab w:val="left" w:pos="1191"/>
                <w:tab w:val="left" w:pos="1588"/>
              </w:tabs>
              <w:spacing w:before="0" w:after="0"/>
            </w:pPr>
            <w:r w:rsidRPr="00C5494E">
              <w:t>If Yes, please specify to which operators:</w:t>
            </w:r>
          </w:p>
          <w:p w:rsidR="00F75B07" w:rsidRPr="00C5494E" w:rsidRDefault="00F75B07" w:rsidP="00FB239F">
            <w:pPr>
              <w:pStyle w:val="Tabletext"/>
              <w:tabs>
                <w:tab w:val="clear" w:pos="284"/>
                <w:tab w:val="left" w:pos="794"/>
                <w:tab w:val="left" w:pos="1191"/>
                <w:tab w:val="left" w:pos="1588"/>
              </w:tabs>
              <w:spacing w:before="0" w:after="0"/>
              <w:rPr>
                <w:sz w:val="6"/>
                <w:szCs w:val="6"/>
              </w:rPr>
            </w:pP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Dominant or Significant Market Power (SMP) operator</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Incumbent</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All operators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specify: </w:t>
            </w:r>
            <w:r w:rsidRPr="00C5494E">
              <w:rPr>
                <w:szCs w:val="22"/>
              </w:rPr>
              <w:fldChar w:fldCharType="begin">
                <w:ffData>
                  <w:name w:val="Texto12"/>
                  <w:enabled/>
                  <w:calcOnExit w:val="0"/>
                  <w:textInput/>
                </w:ffData>
              </w:fldChar>
            </w:r>
            <w:bookmarkStart w:id="76" w:name="Texto12"/>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bookmarkEnd w:id="76"/>
          </w:p>
          <w:p w:rsidR="00F75B07" w:rsidRPr="00C5494E" w:rsidRDefault="00F75B07" w:rsidP="00FB239F">
            <w:pPr>
              <w:pStyle w:val="Tabletext"/>
              <w:tabs>
                <w:tab w:val="clear" w:pos="284"/>
                <w:tab w:val="left" w:pos="794"/>
                <w:tab w:val="left" w:pos="1191"/>
                <w:tab w:val="left" w:pos="1588"/>
              </w:tabs>
              <w:spacing w:before="0" w:after="0"/>
            </w:pPr>
          </w:p>
          <w:p w:rsidR="00F75B07" w:rsidRPr="00C5494E" w:rsidRDefault="00F75B07" w:rsidP="00FB239F">
            <w:pPr>
              <w:pStyle w:val="Tabletext"/>
              <w:tabs>
                <w:tab w:val="clear" w:pos="284"/>
                <w:tab w:val="left" w:pos="794"/>
                <w:tab w:val="left" w:pos="1191"/>
                <w:tab w:val="left" w:pos="1588"/>
              </w:tabs>
              <w:spacing w:before="0" w:after="0"/>
            </w:pPr>
            <w:r w:rsidRPr="00C5494E">
              <w:t>If Yes, please state what type of local loop unbundling is required:</w:t>
            </w:r>
          </w:p>
          <w:p w:rsidR="00F75B07" w:rsidRPr="00C5494E" w:rsidRDefault="00F75B07" w:rsidP="00FB239F">
            <w:pPr>
              <w:pStyle w:val="Tabletext"/>
              <w:tabs>
                <w:tab w:val="clear" w:pos="284"/>
                <w:tab w:val="left" w:pos="794"/>
                <w:tab w:val="left" w:pos="1191"/>
                <w:tab w:val="left" w:pos="1588"/>
              </w:tabs>
              <w:spacing w:before="0" w:after="0"/>
              <w:rPr>
                <w:sz w:val="6"/>
                <w:szCs w:val="6"/>
              </w:rPr>
            </w:pP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Full unbundling (alternative operator gains access to the copper pair)</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Partial unbundling (i.e. access to the high-frequencies of the local-loop for data transmission)</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w:t>
            </w:r>
            <w:proofErr w:type="spellStart"/>
            <w:r w:rsidR="00F75B07" w:rsidRPr="00C5494E">
              <w:rPr>
                <w:szCs w:val="22"/>
              </w:rPr>
              <w:t>Bitstream</w:t>
            </w:r>
            <w:proofErr w:type="spellEnd"/>
            <w:r w:rsidR="00F75B07" w:rsidRPr="00C5494E">
              <w:rPr>
                <w:szCs w:val="22"/>
              </w:rPr>
              <w:t xml:space="preserve"> access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specify: </w:t>
            </w: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pP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c>
          <w:tcPr>
            <w:tcW w:w="720" w:type="dxa"/>
          </w:tcPr>
          <w:p w:rsidR="00F75B07" w:rsidRPr="00C5494E" w:rsidRDefault="00F75B07" w:rsidP="00F75B07">
            <w:pPr>
              <w:pStyle w:val="Tabletext"/>
              <w:keepN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75B07">
            <w:pPr>
              <w:pStyle w:val="Tabletext"/>
              <w:keepNext/>
              <w:tabs>
                <w:tab w:val="left" w:pos="794"/>
                <w:tab w:val="left" w:pos="1191"/>
                <w:tab w:val="left" w:pos="1588"/>
              </w:tabs>
              <w:spacing w:before="0"/>
            </w:pPr>
            <w:r w:rsidRPr="00C5494E">
              <w:t>Are broadband wholesale services subject to price controls?</w:t>
            </w:r>
          </w:p>
        </w:tc>
        <w:tc>
          <w:tcPr>
            <w:tcW w:w="4959" w:type="dxa"/>
          </w:tcPr>
          <w:p w:rsidR="00F75B07" w:rsidRPr="00C5494E" w:rsidRDefault="00F75B07" w:rsidP="00F75B07">
            <w:pPr>
              <w:pStyle w:val="Tabletext"/>
              <w:keepN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75B07">
            <w:pPr>
              <w:pStyle w:val="Tabletext"/>
              <w:keepNext/>
              <w:tabs>
                <w:tab w:val="clear" w:pos="284"/>
                <w:tab w:val="left" w:pos="794"/>
                <w:tab w:val="left" w:pos="1191"/>
                <w:tab w:val="left" w:pos="1588"/>
              </w:tabs>
              <w:spacing w:before="0" w:after="0"/>
            </w:pPr>
            <w:r w:rsidRPr="00C5494E">
              <w:t>If Yes, please specify to what operators are they imposed:</w:t>
            </w:r>
          </w:p>
          <w:p w:rsidR="00F75B07" w:rsidRPr="00C5494E" w:rsidRDefault="00F75B07" w:rsidP="00F75B07">
            <w:pPr>
              <w:pStyle w:val="Tabletext"/>
              <w:keepNext/>
              <w:tabs>
                <w:tab w:val="clear" w:pos="284"/>
                <w:tab w:val="left" w:pos="794"/>
                <w:tab w:val="left" w:pos="1191"/>
                <w:tab w:val="left" w:pos="1588"/>
              </w:tabs>
              <w:spacing w:before="0" w:after="0"/>
              <w:rPr>
                <w:sz w:val="6"/>
                <w:szCs w:val="6"/>
              </w:rPr>
            </w:pPr>
          </w:p>
          <w:p w:rsidR="00F75B07" w:rsidRPr="00C5494E" w:rsidRDefault="00D736C6" w:rsidP="00F75B07">
            <w:pPr>
              <w:pStyle w:val="Tabletext"/>
              <w:keepN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Dominant or Significant Market Power (SMP) operator</w:t>
            </w:r>
          </w:p>
          <w:p w:rsidR="00F75B07" w:rsidRPr="00C5494E" w:rsidRDefault="00D736C6" w:rsidP="00F75B07">
            <w:pPr>
              <w:pStyle w:val="Tabletext"/>
              <w:keepN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Incumbent</w:t>
            </w:r>
          </w:p>
          <w:p w:rsidR="00F75B07" w:rsidRPr="00C5494E" w:rsidRDefault="00D736C6" w:rsidP="00F75B07">
            <w:pPr>
              <w:pStyle w:val="Tabletext"/>
              <w:keepN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All operators</w:t>
            </w:r>
          </w:p>
          <w:p w:rsidR="00F75B07" w:rsidRPr="00C5494E" w:rsidRDefault="00D736C6" w:rsidP="00F75B07">
            <w:pPr>
              <w:pStyle w:val="Tabletext"/>
              <w:keepN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specify: </w:t>
            </w: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p w:rsidR="00F75B07" w:rsidRPr="00C5494E" w:rsidRDefault="00F75B07" w:rsidP="00F75B07">
            <w:pPr>
              <w:pStyle w:val="Tabletext"/>
              <w:keepNext/>
              <w:tabs>
                <w:tab w:val="clear" w:pos="284"/>
                <w:tab w:val="left" w:pos="794"/>
                <w:tab w:val="left" w:pos="1191"/>
                <w:tab w:val="left" w:pos="1588"/>
              </w:tabs>
              <w:spacing w:before="0" w:after="0"/>
              <w:rPr>
                <w:sz w:val="16"/>
                <w:szCs w:val="16"/>
              </w:rPr>
            </w:pPr>
          </w:p>
          <w:p w:rsidR="00F75B07" w:rsidRPr="00C5494E" w:rsidRDefault="00F75B07" w:rsidP="00F75B07">
            <w:pPr>
              <w:pStyle w:val="Tabletext"/>
              <w:keepNext/>
              <w:tabs>
                <w:tab w:val="clear" w:pos="284"/>
                <w:tab w:val="left" w:pos="794"/>
                <w:tab w:val="left" w:pos="1191"/>
                <w:tab w:val="left" w:pos="1588"/>
              </w:tabs>
              <w:spacing w:before="0" w:after="0"/>
            </w:pPr>
            <w:r w:rsidRPr="00C5494E">
              <w:t>If Yes, please state in what services:</w:t>
            </w:r>
          </w:p>
          <w:p w:rsidR="00F75B07" w:rsidRPr="00C5494E" w:rsidRDefault="00F75B07" w:rsidP="00F75B07">
            <w:pPr>
              <w:pStyle w:val="Tabletext"/>
              <w:keepNext/>
              <w:tabs>
                <w:tab w:val="clear" w:pos="284"/>
                <w:tab w:val="left" w:pos="794"/>
                <w:tab w:val="left" w:pos="1191"/>
                <w:tab w:val="left" w:pos="1588"/>
              </w:tabs>
              <w:spacing w:before="0" w:after="0"/>
              <w:rPr>
                <w:sz w:val="6"/>
                <w:szCs w:val="6"/>
              </w:rPr>
            </w:pPr>
          </w:p>
          <w:p w:rsidR="00F75B07" w:rsidRPr="00C5494E" w:rsidRDefault="00D736C6" w:rsidP="00F75B07">
            <w:pPr>
              <w:pStyle w:val="Tabletext"/>
              <w:keepN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Full / partial local-loop unbundling</w:t>
            </w:r>
          </w:p>
          <w:p w:rsidR="00F75B07" w:rsidRPr="00C5494E" w:rsidRDefault="00D736C6" w:rsidP="00F75B07">
            <w:pPr>
              <w:pStyle w:val="Tabletext"/>
              <w:keepN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w:t>
            </w:r>
            <w:proofErr w:type="spellStart"/>
            <w:r w:rsidR="00F75B07" w:rsidRPr="00C5494E">
              <w:rPr>
                <w:szCs w:val="22"/>
              </w:rPr>
              <w:t>Bitstream</w:t>
            </w:r>
            <w:proofErr w:type="spellEnd"/>
          </w:p>
          <w:p w:rsidR="00F75B07" w:rsidRPr="00C5494E" w:rsidRDefault="00D736C6" w:rsidP="00F75B07">
            <w:pPr>
              <w:pStyle w:val="Tabletext"/>
              <w:keepN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IP transit / peering</w:t>
            </w:r>
          </w:p>
          <w:p w:rsidR="00F75B07" w:rsidRPr="00C5494E" w:rsidRDefault="00D736C6" w:rsidP="00F75B07">
            <w:pPr>
              <w:pStyle w:val="Tabletext"/>
              <w:keepN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specify: </w:t>
            </w: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p w:rsidR="00F75B07" w:rsidRPr="00C5494E" w:rsidRDefault="00F75B07" w:rsidP="00F75B07">
            <w:pPr>
              <w:pStyle w:val="Tabletext"/>
              <w:keepNext/>
              <w:tabs>
                <w:tab w:val="clear" w:pos="284"/>
                <w:tab w:val="left" w:pos="794"/>
                <w:tab w:val="left" w:pos="1191"/>
                <w:tab w:val="left" w:pos="1588"/>
              </w:tabs>
              <w:spacing w:before="0" w:after="0"/>
              <w:rPr>
                <w:sz w:val="16"/>
                <w:szCs w:val="16"/>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Are broadband retail services subject to price controls?</w:t>
            </w:r>
          </w:p>
        </w:tc>
        <w:tc>
          <w:tcPr>
            <w:tcW w:w="4959" w:type="dxa"/>
          </w:tcPr>
          <w:p w:rsidR="00F75B07" w:rsidRPr="00C5494E" w:rsidRDefault="00F75B07" w:rsidP="00F75B07">
            <w:pPr>
              <w:pStyle w:val="Tabletext"/>
              <w:tabs>
                <w:tab w:val="clear" w:pos="284"/>
                <w:tab w:val="left" w:pos="794"/>
                <w:tab w:val="left" w:pos="1191"/>
                <w:tab w:val="left" w:pos="1588"/>
              </w:tabs>
              <w:spacing w:before="0" w:after="0"/>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If Yes, please specify to what operators are they imposed:</w:t>
            </w:r>
          </w:p>
          <w:p w:rsidR="00F75B07" w:rsidRPr="00C5494E" w:rsidRDefault="00F75B07" w:rsidP="00FB239F">
            <w:pPr>
              <w:pStyle w:val="Tabletext"/>
              <w:tabs>
                <w:tab w:val="clear" w:pos="284"/>
                <w:tab w:val="left" w:pos="794"/>
                <w:tab w:val="left" w:pos="1191"/>
                <w:tab w:val="left" w:pos="1588"/>
              </w:tabs>
              <w:spacing w:before="0" w:after="0"/>
              <w:rPr>
                <w:sz w:val="6"/>
                <w:szCs w:val="6"/>
              </w:rPr>
            </w:pP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Dominant or Significant Market Power (SMP) operator</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Incumbent</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All operators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explain: </w:t>
            </w: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pPr>
          </w:p>
          <w:p w:rsidR="00F75B07" w:rsidRPr="00C5494E" w:rsidRDefault="00F75B07" w:rsidP="00FB239F">
            <w:pPr>
              <w:pStyle w:val="Tabletext"/>
              <w:tabs>
                <w:tab w:val="clear" w:pos="284"/>
                <w:tab w:val="left" w:pos="794"/>
                <w:tab w:val="left" w:pos="1191"/>
                <w:tab w:val="left" w:pos="1588"/>
              </w:tabs>
              <w:spacing w:before="0" w:after="0"/>
            </w:pPr>
            <w:r w:rsidRPr="00C5494E">
              <w:t>If Yes, please state in what services/circumstances:</w:t>
            </w:r>
          </w:p>
          <w:p w:rsidR="00F75B07" w:rsidRPr="00C5494E" w:rsidRDefault="00F75B07" w:rsidP="00FB239F">
            <w:pPr>
              <w:pStyle w:val="Tabletext"/>
              <w:tabs>
                <w:tab w:val="clear" w:pos="284"/>
                <w:tab w:val="left" w:pos="794"/>
                <w:tab w:val="left" w:pos="1191"/>
                <w:tab w:val="left" w:pos="1588"/>
              </w:tabs>
              <w:spacing w:before="0" w:after="0"/>
              <w:rPr>
                <w:sz w:val="6"/>
                <w:szCs w:val="6"/>
              </w:rPr>
            </w:pPr>
          </w:p>
          <w:p w:rsidR="00F75B07" w:rsidRPr="00C5494E" w:rsidRDefault="00D736C6" w:rsidP="00F75B07">
            <w:pPr>
              <w:pStyle w:val="Tabletext"/>
              <w:tabs>
                <w:tab w:val="clear" w:pos="284"/>
                <w:tab w:val="left" w:pos="794"/>
                <w:tab w:val="left" w:pos="1191"/>
                <w:tab w:val="left" w:pos="1588"/>
              </w:tabs>
              <w:spacing w:before="0" w:after="0"/>
              <w:rPr>
                <w:szCs w:val="22"/>
              </w:rPr>
            </w:pP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 xml:space="preserve">Is open access to fixed broadband networks mandated in cases other than local loop unbundling? </w:t>
            </w:r>
            <w:r w:rsidRPr="00C5494E">
              <w:rPr>
                <w:color w:val="808080"/>
              </w:rPr>
              <w:t>(e.g. in several countries open access is mandated in those fixed broadband networks financed with public funds)</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please explain in what cases: </w:t>
            </w:r>
          </w:p>
          <w:p w:rsidR="00F75B07" w:rsidRPr="00C5494E" w:rsidRDefault="00D736C6" w:rsidP="00FB239F">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 xml:space="preserve">Are there any examples of open access broadband networks in your country? </w:t>
            </w:r>
            <w:r w:rsidRPr="00C5494E">
              <w:rPr>
                <w:color w:val="808080"/>
              </w:rPr>
              <w:t xml:space="preserve">(open access network: a network that grants wholesale physical access to the network to different service providers)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please give the most relevant examples: </w:t>
            </w:r>
          </w:p>
          <w:p w:rsidR="00F75B07" w:rsidRPr="00C5494E" w:rsidRDefault="00D736C6" w:rsidP="00FB239F">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Is mobile network infrastructure (towers, base stations, posts, etc,) sharing mandated?</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If Yes, please clarify under what circumstances and whether it applies to all operators (symmetric obligation) or just to one (asymmetric, usually set to SMP/incumbent):</w:t>
            </w:r>
          </w:p>
          <w:p w:rsidR="00F75B07" w:rsidRPr="00C5494E" w:rsidRDefault="00D736C6" w:rsidP="00F75B07">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bookmarkStart w:id="77" w:name="Texto13"/>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bookmarkEnd w:id="77"/>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Have there been any mobile network infrastructure sharing agreements reached?</w:t>
            </w:r>
            <w:r w:rsidRPr="00C5494E">
              <w:rPr>
                <w:color w:val="808080"/>
              </w:rPr>
              <w:t xml:space="preserve"> (with or without the intervention of the NRA)</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please give some recent examples: </w:t>
            </w:r>
          </w:p>
          <w:p w:rsidR="00F75B07" w:rsidRPr="00C5494E" w:rsidRDefault="00D736C6" w:rsidP="00F75B07">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Is passive fixed network infrastructure (ducts, street cabinets, in building wiring, etc.) sharing mandated?</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please clarify under what circumstances and whether it applies to all operators (symmetric obligation) or just to one (asymmetric, usually set to SMP/incumbent): </w:t>
            </w:r>
          </w:p>
          <w:p w:rsidR="00F75B07" w:rsidRPr="00C5494E" w:rsidRDefault="00D736C6" w:rsidP="00F75B07">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Have there been any fixed network passive infrastructure sharing agreements reached?</w:t>
            </w:r>
            <w:r w:rsidRPr="00C5494E">
              <w:rPr>
                <w:color w:val="808080"/>
              </w:rPr>
              <w:t xml:space="preserve"> (with or without the intervention of the NRA)</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 w:val="16"/>
                <w:szCs w:val="16"/>
              </w:rPr>
            </w:pP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please give some recent examples: </w:t>
            </w:r>
          </w:p>
          <w:p w:rsidR="00F75B07" w:rsidRPr="00C5494E" w:rsidRDefault="00D736C6" w:rsidP="00FB239F">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F75B07" w:rsidRPr="00C5494E" w:rsidRDefault="00F75B07" w:rsidP="00FB239F">
            <w:pPr>
              <w:pStyle w:val="Tabletext"/>
              <w:tabs>
                <w:tab w:val="left" w:pos="794"/>
                <w:tab w:val="left" w:pos="1191"/>
                <w:tab w:val="left" w:pos="1588"/>
              </w:tabs>
              <w:spacing w:before="0"/>
            </w:pPr>
            <w:r w:rsidRPr="00C5494E">
              <w:t xml:space="preserve">Are there other regulatory measures (apart from the ones already mentioned) enforced on broadband operators or service providers? </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 w:val="16"/>
                <w:szCs w:val="16"/>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please specify: </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bl>
    <w:p w:rsidR="00F75B07" w:rsidRPr="00C5494E" w:rsidRDefault="00F75B07" w:rsidP="00F75B07"/>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gridCol w:w="3240"/>
        <w:gridCol w:w="4959"/>
      </w:tblGrid>
      <w:tr w:rsidR="00F75B07" w:rsidRPr="00C5494E" w:rsidTr="00F75B07">
        <w:tc>
          <w:tcPr>
            <w:tcW w:w="720" w:type="dxa"/>
          </w:tcPr>
          <w:p w:rsidR="00F75B07" w:rsidRPr="00C5494E" w:rsidRDefault="00F75B07" w:rsidP="00F75B07">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rPr>
                <w:b/>
                <w:bCs/>
                <w:szCs w:val="22"/>
              </w:rPr>
            </w:pPr>
            <w:r w:rsidRPr="00C5494E">
              <w:rPr>
                <w:b/>
                <w:bCs/>
                <w:szCs w:val="22"/>
              </w:rPr>
              <w:t>Universal Service Obligations</w:t>
            </w:r>
          </w:p>
        </w:tc>
        <w:tc>
          <w:tcPr>
            <w:tcW w:w="4959" w:type="dxa"/>
          </w:tcPr>
          <w:p w:rsidR="00F75B07" w:rsidRPr="00C5494E" w:rsidRDefault="00F75B07" w:rsidP="00FB239F">
            <w:pPr>
              <w:pStyle w:val="Tabletext"/>
              <w:tabs>
                <w:tab w:val="clear" w:pos="851"/>
                <w:tab w:val="left" w:pos="0"/>
                <w:tab w:val="left" w:pos="176"/>
                <w:tab w:val="left" w:pos="794"/>
                <w:tab w:val="left" w:pos="1191"/>
                <w:tab w:val="left" w:pos="1588"/>
              </w:tabs>
              <w:spacing w:before="0" w:after="120"/>
              <w:rPr>
                <w:rFonts w:ascii="Arial" w:hAnsi="Arial" w:cs="Arial"/>
                <w:szCs w:val="22"/>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Does universal access/service in your country include broadband services?</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 xml:space="preserve">Please specify what kind of broadband service is included? </w:t>
            </w:r>
            <w:r w:rsidRPr="00C5494E">
              <w:rPr>
                <w:color w:val="808080"/>
              </w:rPr>
              <w:t>(wired/wireless, at certain speeds, with specific coverage e.g. in rural areas, etc.)</w:t>
            </w:r>
          </w:p>
        </w:tc>
        <w:tc>
          <w:tcPr>
            <w:tcW w:w="4959" w:type="dxa"/>
          </w:tcPr>
          <w:p w:rsidR="00F75B07" w:rsidRPr="00C5494E" w:rsidRDefault="00D736C6" w:rsidP="00FB239F">
            <w:pPr>
              <w:pStyle w:val="Tabletext"/>
              <w:tabs>
                <w:tab w:val="clear" w:pos="284"/>
                <w:tab w:val="clear" w:pos="567"/>
                <w:tab w:val="left" w:pos="794"/>
                <w:tab w:val="left" w:pos="1191"/>
                <w:tab w:val="left" w:pos="1588"/>
              </w:tabs>
              <w:spacing w:before="0" w:after="0"/>
              <w:ind w:left="72"/>
              <w:rPr>
                <w:szCs w:val="22"/>
              </w:rPr>
            </w:pPr>
            <w:r w:rsidRPr="00C5494E">
              <w:rPr>
                <w:szCs w:val="22"/>
              </w:rPr>
              <w:fldChar w:fldCharType="begin">
                <w:ffData>
                  <w:name w:val="Texto15"/>
                  <w:enabled/>
                  <w:calcOnExit w:val="0"/>
                  <w:textInput/>
                </w:ffData>
              </w:fldChar>
            </w:r>
            <w:bookmarkStart w:id="78" w:name="Texto15"/>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bookmarkEnd w:id="78"/>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 xml:space="preserve">Please indicate which operators are under the obligation to provide universal broadband access/service: </w:t>
            </w:r>
            <w:r w:rsidRPr="00C5494E">
              <w:rPr>
                <w:color w:val="808080"/>
              </w:rPr>
              <w:t>(please check all that apply)</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All broadband operators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All network-facility broadband operators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Incumbent fixed-line operator</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All 3G (IMT-2000) mobile operators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Dominant/SMP 3G (IMT-2000) mobile operators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All fixed broadband operators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Dominant/SMP fixed broadband operators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Satellite operators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ISPs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None; obligations are allocated on a competitive basis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explain:</w:t>
            </w: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Please indicate how the operator(s) finance their universal broadband access/service obligations:</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1"/>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Cross-subsidy between own services (internal financing)</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2"/>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Direct subsidy from Government</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Universal service funds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Access interconnection charges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Public-Private Partnerships (PPPs)</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explain:</w:t>
            </w: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Has your country established any other financing mechanisms (e.g., special rural access concessions, tax incentives, etc.) for the provision of universal broadband service/access?</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 w:val="16"/>
                <w:szCs w:val="16"/>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please explain: </w:t>
            </w:r>
          </w:p>
          <w:p w:rsidR="00F75B07" w:rsidRPr="00C5494E" w:rsidRDefault="00D736C6" w:rsidP="00FB239F">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Do you require any operators or service providers to offer “social tariffs” to eligible broadband subscribers?</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 w:val="16"/>
                <w:szCs w:val="16"/>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please explain: </w:t>
            </w:r>
          </w:p>
          <w:p w:rsidR="00F75B07" w:rsidRPr="00C5494E" w:rsidRDefault="00D736C6" w:rsidP="00F75B07">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F75B07" w:rsidRPr="00C5494E" w:rsidTr="00F75B07">
        <w:tc>
          <w:tcPr>
            <w:tcW w:w="720" w:type="dxa"/>
          </w:tcPr>
          <w:p w:rsidR="00F75B07" w:rsidRPr="00C5494E" w:rsidRDefault="00F75B07" w:rsidP="00F75B07">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rPr>
                <w:b/>
                <w:bCs/>
                <w:szCs w:val="22"/>
              </w:rPr>
            </w:pPr>
            <w:r w:rsidRPr="00C5494E">
              <w:rPr>
                <w:b/>
                <w:bCs/>
                <w:szCs w:val="22"/>
              </w:rPr>
              <w:t>National broadband plan</w:t>
            </w:r>
          </w:p>
        </w:tc>
        <w:tc>
          <w:tcPr>
            <w:tcW w:w="4959" w:type="dxa"/>
          </w:tcPr>
          <w:p w:rsidR="00F75B07" w:rsidRPr="00C5494E" w:rsidRDefault="00F75B07" w:rsidP="00FB239F">
            <w:pPr>
              <w:pStyle w:val="Tabletext"/>
              <w:tabs>
                <w:tab w:val="clear" w:pos="851"/>
                <w:tab w:val="left" w:pos="0"/>
                <w:tab w:val="left" w:pos="176"/>
                <w:tab w:val="left" w:pos="794"/>
                <w:tab w:val="left" w:pos="1191"/>
                <w:tab w:val="left" w:pos="1588"/>
              </w:tabs>
              <w:spacing w:before="0" w:after="120"/>
              <w:rPr>
                <w:rFonts w:ascii="Arial" w:hAnsi="Arial" w:cs="Arial"/>
                <w:szCs w:val="22"/>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Cs/>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Has your country developed a specific national plan for broadband deployment and/or uptake?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 w:val="16"/>
                <w:szCs w:val="16"/>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could you provide a link to it: </w:t>
            </w:r>
          </w:p>
          <w:p w:rsidR="00F75B07" w:rsidRPr="00C5494E" w:rsidRDefault="00D736C6" w:rsidP="00FB239F">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p w:rsidR="00F75B07" w:rsidRPr="00C5494E" w:rsidRDefault="00F75B07" w:rsidP="00FB239F">
            <w:pPr>
              <w:pStyle w:val="Tabletext"/>
              <w:tabs>
                <w:tab w:val="clear" w:pos="284"/>
                <w:tab w:val="left" w:pos="794"/>
                <w:tab w:val="left" w:pos="1191"/>
                <w:tab w:val="left" w:pos="1588"/>
              </w:tabs>
              <w:spacing w:before="0" w:after="0"/>
              <w:rPr>
                <w:color w:val="808080"/>
                <w:szCs w:val="22"/>
              </w:rPr>
            </w:pPr>
            <w:r w:rsidRPr="00C5494E">
              <w:rPr>
                <w:color w:val="808080"/>
              </w:rPr>
              <w:t>(If not available on the Internet, please provide a copy of it with the questionnaire?)</w:t>
            </w:r>
          </w:p>
        </w:tc>
      </w:tr>
    </w:tbl>
    <w:p w:rsidR="00F75B07" w:rsidRPr="00C5494E" w:rsidRDefault="00F75B07" w:rsidP="00F75B07"/>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gridCol w:w="3240"/>
        <w:gridCol w:w="4959"/>
      </w:tblGrid>
      <w:tr w:rsidR="00F75B07" w:rsidRPr="00C5494E" w:rsidTr="00F75B07">
        <w:tc>
          <w:tcPr>
            <w:tcW w:w="9639" w:type="dxa"/>
            <w:gridSpan w:val="4"/>
          </w:tcPr>
          <w:p w:rsidR="00F75B07" w:rsidRPr="00C5494E" w:rsidRDefault="00F75B07" w:rsidP="00FB239F">
            <w:pPr>
              <w:pStyle w:val="Tabletext"/>
              <w:tabs>
                <w:tab w:val="clear" w:pos="851"/>
                <w:tab w:val="left" w:pos="0"/>
                <w:tab w:val="left" w:pos="176"/>
                <w:tab w:val="left" w:pos="794"/>
                <w:tab w:val="left" w:pos="1191"/>
                <w:tab w:val="left" w:pos="1588"/>
              </w:tabs>
              <w:spacing w:before="0" w:after="120"/>
              <w:jc w:val="center"/>
              <w:rPr>
                <w:sz w:val="28"/>
                <w:szCs w:val="28"/>
              </w:rPr>
            </w:pPr>
            <w:r w:rsidRPr="00C5494E">
              <w:br w:type="page"/>
            </w:r>
            <w:r w:rsidRPr="00C5494E">
              <w:rPr>
                <w:sz w:val="28"/>
                <w:szCs w:val="28"/>
              </w:rPr>
              <w:t>Sector structure</w:t>
            </w:r>
          </w:p>
        </w:tc>
      </w:tr>
      <w:tr w:rsidR="00F75B07" w:rsidRPr="00C5494E" w:rsidTr="00F75B07">
        <w:tc>
          <w:tcPr>
            <w:tcW w:w="720" w:type="dxa"/>
          </w:tcPr>
          <w:p w:rsidR="00F75B07" w:rsidRPr="00C5494E" w:rsidRDefault="00F75B07" w:rsidP="00F75B07">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rPr>
                <w:b/>
                <w:bCs/>
                <w:szCs w:val="22"/>
              </w:rPr>
            </w:pPr>
            <w:r w:rsidRPr="00C5494E">
              <w:rPr>
                <w:b/>
                <w:bCs/>
                <w:szCs w:val="22"/>
              </w:rPr>
              <w:t>Fixed broadband operators</w:t>
            </w:r>
          </w:p>
        </w:tc>
        <w:tc>
          <w:tcPr>
            <w:tcW w:w="4959" w:type="dxa"/>
            <w:vAlign w:val="center"/>
          </w:tcPr>
          <w:p w:rsidR="00F75B07" w:rsidRPr="00C5494E" w:rsidRDefault="00F75B07" w:rsidP="00262FB0">
            <w:pPr>
              <w:pStyle w:val="Tabletext"/>
              <w:tabs>
                <w:tab w:val="clear" w:pos="851"/>
                <w:tab w:val="left" w:pos="0"/>
                <w:tab w:val="left" w:pos="176"/>
                <w:tab w:val="left" w:pos="794"/>
                <w:tab w:val="left" w:pos="1191"/>
                <w:tab w:val="left" w:pos="1588"/>
              </w:tabs>
              <w:spacing w:before="0" w:after="120"/>
              <w:jc w:val="center"/>
              <w:rPr>
                <w:rFonts w:ascii="Arial" w:hAnsi="Arial" w:cs="Arial"/>
                <w:color w:val="FF0000"/>
                <w:szCs w:val="22"/>
              </w:rPr>
            </w:pPr>
            <w:r w:rsidRPr="00C5494E">
              <w:rPr>
                <w:rFonts w:ascii="Arial" w:hAnsi="Arial" w:cs="Arial"/>
                <w:color w:val="FF0000"/>
                <w:szCs w:val="22"/>
              </w:rPr>
              <w:t xml:space="preserve">Provide only detailed information on the main operators (up to 4); if less than 4 operators exist in the country please leave the rest blank, and fill-in question </w:t>
            </w:r>
            <w:r w:rsidR="00262FB0" w:rsidRPr="00C5494E">
              <w:rPr>
                <w:rFonts w:ascii="Arial" w:hAnsi="Arial" w:cs="Arial"/>
                <w:color w:val="FF0000"/>
                <w:szCs w:val="22"/>
              </w:rPr>
              <w:t>6.6</w:t>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 xml:space="preserve">What is the maximum foreign participation or ownership permitted for fixed broadband operators </w:t>
            </w:r>
            <w:r w:rsidRPr="00C5494E">
              <w:rPr>
                <w:color w:val="808080"/>
              </w:rPr>
              <w:t>(%)</w:t>
            </w:r>
            <w:r w:rsidRPr="00C5494E">
              <w:t>:</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keepN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75B07">
            <w:pPr>
              <w:pStyle w:val="Tabletext"/>
              <w:keepNext/>
              <w:tabs>
                <w:tab w:val="left" w:pos="794"/>
                <w:tab w:val="left" w:pos="1191"/>
                <w:tab w:val="left" w:pos="1588"/>
              </w:tabs>
              <w:spacing w:before="0"/>
            </w:pPr>
            <w:r w:rsidRPr="00C5494E">
              <w:t>Operator name</w:t>
            </w:r>
          </w:p>
        </w:tc>
        <w:tc>
          <w:tcPr>
            <w:tcW w:w="4959" w:type="dxa"/>
          </w:tcPr>
          <w:p w:rsidR="00F75B07" w:rsidRPr="00C5494E" w:rsidRDefault="00D736C6" w:rsidP="00F75B07">
            <w:pPr>
              <w:pStyle w:val="Tabletext"/>
              <w:keepN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Type of operator</w:t>
            </w:r>
          </w:p>
        </w:tc>
        <w:tc>
          <w:tcPr>
            <w:tcW w:w="4959" w:type="dxa"/>
          </w:tcPr>
          <w:p w:rsidR="00F75B07" w:rsidRPr="00C5494E" w:rsidRDefault="00F75B07" w:rsidP="00F75B07">
            <w:pPr>
              <w:pStyle w:val="Tabletext"/>
              <w:tabs>
                <w:tab w:val="clear" w:pos="284"/>
                <w:tab w:val="clear" w:pos="567"/>
                <w:tab w:val="left" w:pos="794"/>
                <w:tab w:val="left" w:pos="1191"/>
                <w:tab w:val="left" w:pos="1588"/>
              </w:tabs>
              <w:spacing w:before="0" w:after="0"/>
              <w:ind w:left="72"/>
              <w:rPr>
                <w:szCs w:val="22"/>
              </w:rPr>
            </w:pPr>
            <w:bookmarkStart w:id="79" w:name="Listadesplegable2"/>
            <w:r w:rsidRPr="00C5494E">
              <w:rPr>
                <w:szCs w:val="22"/>
              </w:rPr>
              <w:t>Public non-corporatized</w:t>
            </w:r>
            <w:bookmarkEnd w:id="79"/>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Percentage of private ownership:</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6"/>
                  <w:enabled/>
                  <w:calcOnExit w:val="0"/>
                  <w:textInput/>
                </w:ffData>
              </w:fldChar>
            </w:r>
            <w:bookmarkStart w:id="80" w:name="Texto16"/>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bookmarkEnd w:id="80"/>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Broadband technology:</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xDSL</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Cable</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VSAT</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Fibre (FTTH / FTTB / FTTN)</w:t>
            </w:r>
          </w:p>
          <w:p w:rsidR="00F75B07" w:rsidRPr="00C5494E" w:rsidRDefault="00D736C6" w:rsidP="00F75B07">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specify:</w:t>
            </w: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bookmarkStart w:id="81" w:name="Texto17"/>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bookmarkEnd w:id="81"/>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installed access:</w:t>
            </w:r>
          </w:p>
          <w:p w:rsidR="00F75B07" w:rsidRPr="00C5494E" w:rsidRDefault="00F75B07" w:rsidP="00FB239F">
            <w:pPr>
              <w:pStyle w:val="Tabletext"/>
              <w:tabs>
                <w:tab w:val="left" w:pos="794"/>
                <w:tab w:val="left" w:pos="1191"/>
                <w:tab w:val="left" w:pos="1588"/>
              </w:tabs>
              <w:spacing w:before="0"/>
              <w:rPr>
                <w:color w:val="808080"/>
              </w:rPr>
            </w:pPr>
            <w:r w:rsidRPr="00C5494E">
              <w:rPr>
                <w:color w:val="808080"/>
              </w:rPr>
              <w:t>(i.e. number of active accesses (subscribers) + those accesses which could become operative in a short notice (2-4 days))</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 xml:space="preserve">Coverage </w:t>
            </w:r>
          </w:p>
        </w:tc>
        <w:tc>
          <w:tcPr>
            <w:tcW w:w="4959" w:type="dxa"/>
          </w:tcPr>
          <w:p w:rsidR="00F75B07" w:rsidRPr="00C5494E" w:rsidRDefault="00F75B07" w:rsidP="00F75B07">
            <w:pPr>
              <w:pStyle w:val="Tabletext"/>
              <w:tabs>
                <w:tab w:val="clear" w:pos="284"/>
                <w:tab w:val="clear" w:pos="851"/>
                <w:tab w:val="left" w:pos="279"/>
                <w:tab w:val="left" w:pos="639"/>
                <w:tab w:val="left" w:pos="794"/>
                <w:tab w:val="left" w:pos="1191"/>
                <w:tab w:val="left" w:pos="1588"/>
              </w:tabs>
              <w:spacing w:before="0" w:after="120"/>
              <w:ind w:left="99"/>
              <w:rPr>
                <w:szCs w:val="22"/>
              </w:rPr>
            </w:pPr>
            <w:bookmarkStart w:id="82" w:name="Listadesplegable3"/>
            <w:r w:rsidRPr="00C5494E">
              <w:rPr>
                <w:szCs w:val="22"/>
              </w:rPr>
              <w:t>National</w:t>
            </w:r>
            <w:bookmarkEnd w:id="82"/>
          </w:p>
          <w:p w:rsidR="00F75B07" w:rsidRPr="00C5494E" w:rsidRDefault="00F75B07"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If Regional or Local, please specify:</w:t>
            </w:r>
          </w:p>
          <w:p w:rsidR="00F75B07" w:rsidRPr="00C5494E" w:rsidRDefault="00D736C6"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fldChar w:fldCharType="begin">
                <w:ffData>
                  <w:name w:val="Texto18"/>
                  <w:enabled/>
                  <w:calcOnExit w:val="0"/>
                  <w:textInput/>
                </w:ffData>
              </w:fldChar>
            </w:r>
            <w:bookmarkStart w:id="83" w:name="Texto18"/>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bookmarkEnd w:id="83"/>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Operator name</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Type of operator</w:t>
            </w:r>
          </w:p>
        </w:tc>
        <w:tc>
          <w:tcPr>
            <w:tcW w:w="4959" w:type="dxa"/>
          </w:tcPr>
          <w:p w:rsidR="00F75B07" w:rsidRPr="00C5494E" w:rsidRDefault="00F75B07" w:rsidP="00F75B07">
            <w:pPr>
              <w:pStyle w:val="Tabletext"/>
              <w:tabs>
                <w:tab w:val="clear" w:pos="284"/>
                <w:tab w:val="clear" w:pos="567"/>
                <w:tab w:val="left" w:pos="794"/>
                <w:tab w:val="left" w:pos="1191"/>
                <w:tab w:val="left" w:pos="1588"/>
              </w:tabs>
              <w:spacing w:before="0" w:after="0"/>
              <w:ind w:left="72"/>
              <w:rPr>
                <w:szCs w:val="22"/>
              </w:rPr>
            </w:pPr>
            <w:r w:rsidRPr="00C5494E">
              <w:rPr>
                <w:szCs w:val="22"/>
              </w:rPr>
              <w:t>Public non-corporatized</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Percentage of private ownership:</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Broadband technology:</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xDSL</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Cable</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VSAT</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Fibre (FTTH / FTTB / FTTN)</w:t>
            </w:r>
          </w:p>
          <w:p w:rsidR="00F75B07" w:rsidRPr="00C5494E" w:rsidRDefault="00D736C6" w:rsidP="00F75B07">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specify:</w:t>
            </w: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installed access:</w:t>
            </w:r>
          </w:p>
          <w:p w:rsidR="00F75B07" w:rsidRPr="00C5494E" w:rsidRDefault="00F75B07" w:rsidP="00FB239F">
            <w:pPr>
              <w:pStyle w:val="Tabletext"/>
              <w:tabs>
                <w:tab w:val="left" w:pos="794"/>
                <w:tab w:val="left" w:pos="1191"/>
                <w:tab w:val="left" w:pos="1588"/>
              </w:tabs>
              <w:spacing w:before="0"/>
              <w:rPr>
                <w:color w:val="808080"/>
              </w:rPr>
            </w:pPr>
            <w:r w:rsidRPr="00C5494E">
              <w:rPr>
                <w:color w:val="808080"/>
              </w:rPr>
              <w:t>(i.e. number of active accesses (subscribers) + those accesses which could become operative in a short notice (2-4 days))</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 xml:space="preserve">Coverage </w:t>
            </w:r>
          </w:p>
        </w:tc>
        <w:tc>
          <w:tcPr>
            <w:tcW w:w="4959" w:type="dxa"/>
          </w:tcPr>
          <w:p w:rsidR="00F75B07" w:rsidRPr="00C5494E" w:rsidRDefault="00F75B07" w:rsidP="00F75B07">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National</w:t>
            </w:r>
          </w:p>
          <w:p w:rsidR="00F75B07" w:rsidRPr="00C5494E" w:rsidRDefault="00F75B07"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If Regional or Local, please specify:</w:t>
            </w:r>
          </w:p>
          <w:p w:rsidR="00F75B07" w:rsidRPr="00C5494E" w:rsidRDefault="00D736C6" w:rsidP="00F75B07">
            <w:pPr>
              <w:pStyle w:val="Tabletext"/>
              <w:tabs>
                <w:tab w:val="clear" w:pos="284"/>
                <w:tab w:val="clear" w:pos="851"/>
                <w:tab w:val="left" w:pos="279"/>
                <w:tab w:val="left" w:pos="639"/>
                <w:tab w:val="left" w:pos="794"/>
                <w:tab w:val="left" w:pos="1191"/>
                <w:tab w:val="left" w:pos="1588"/>
              </w:tabs>
              <w:spacing w:before="0" w:after="0"/>
              <w:ind w:left="96"/>
              <w:rPr>
                <w:szCs w:val="22"/>
              </w:rPr>
            </w:pPr>
            <w:r w:rsidRPr="00C5494E">
              <w:rPr>
                <w:szCs w:val="22"/>
              </w:rPr>
              <w:fldChar w:fldCharType="begin">
                <w:ffData>
                  <w:name w:val="Texto1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Operator name</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Type of operator</w:t>
            </w:r>
          </w:p>
        </w:tc>
        <w:tc>
          <w:tcPr>
            <w:tcW w:w="4959" w:type="dxa"/>
          </w:tcPr>
          <w:p w:rsidR="00F75B07" w:rsidRPr="00C5494E" w:rsidRDefault="00F75B07" w:rsidP="00F75B07">
            <w:pPr>
              <w:pStyle w:val="Tabletext"/>
              <w:tabs>
                <w:tab w:val="clear" w:pos="284"/>
                <w:tab w:val="clear" w:pos="567"/>
                <w:tab w:val="left" w:pos="794"/>
                <w:tab w:val="left" w:pos="1191"/>
                <w:tab w:val="left" w:pos="1588"/>
              </w:tabs>
              <w:spacing w:before="0" w:after="0"/>
              <w:ind w:left="72"/>
              <w:rPr>
                <w:szCs w:val="22"/>
              </w:rPr>
            </w:pPr>
            <w:r w:rsidRPr="00C5494E">
              <w:rPr>
                <w:szCs w:val="22"/>
              </w:rPr>
              <w:t>Public non-corporatized</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Percentage of private ownership:</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Broadband technology:</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xDSL</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Cable</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VSAT</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Fibre (FTTH / FTTB / FTTN)</w:t>
            </w:r>
          </w:p>
          <w:p w:rsidR="00F75B07" w:rsidRPr="00C5494E" w:rsidRDefault="00D736C6" w:rsidP="00F75B07">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specify:</w:t>
            </w: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w:t>
            </w:r>
            <w:r w:rsidR="005422C1" w:rsidRPr="00C5494E">
              <w:t xml:space="preserve"> </w:t>
            </w:r>
            <w:r w:rsidRPr="00C5494E">
              <w:t>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installed access:</w:t>
            </w:r>
          </w:p>
          <w:p w:rsidR="00F75B07" w:rsidRPr="00C5494E" w:rsidRDefault="00F75B07" w:rsidP="00FB239F">
            <w:pPr>
              <w:pStyle w:val="Tabletext"/>
              <w:tabs>
                <w:tab w:val="left" w:pos="794"/>
                <w:tab w:val="left" w:pos="1191"/>
                <w:tab w:val="left" w:pos="1588"/>
              </w:tabs>
              <w:spacing w:before="0"/>
              <w:rPr>
                <w:color w:val="808080"/>
              </w:rPr>
            </w:pPr>
            <w:r w:rsidRPr="00C5494E">
              <w:rPr>
                <w:color w:val="808080"/>
              </w:rPr>
              <w:t xml:space="preserve">(i.e. number of active accesses </w:t>
            </w:r>
            <w:r w:rsidRPr="00C5494E">
              <w:rPr>
                <w:color w:val="808080"/>
              </w:rPr>
              <w:lastRenderedPageBreak/>
              <w:t>(subscribers) + those accesses which could become operative in a short notice (2-4 days))</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lastRenderedPageBreak/>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 xml:space="preserve">Coverage </w:t>
            </w:r>
          </w:p>
        </w:tc>
        <w:tc>
          <w:tcPr>
            <w:tcW w:w="4959" w:type="dxa"/>
          </w:tcPr>
          <w:p w:rsidR="00F75B07" w:rsidRPr="00C5494E" w:rsidRDefault="00F75B07" w:rsidP="00F75B07">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National</w:t>
            </w:r>
          </w:p>
          <w:p w:rsidR="00F75B07" w:rsidRPr="00C5494E" w:rsidRDefault="00F75B07"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If Regional or Local, please specify:</w:t>
            </w:r>
          </w:p>
          <w:p w:rsidR="00F75B07" w:rsidRPr="00C5494E" w:rsidRDefault="00D736C6"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fldChar w:fldCharType="begin">
                <w:ffData>
                  <w:name w:val="Texto1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Operator name</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Type of operator</w:t>
            </w:r>
          </w:p>
        </w:tc>
        <w:tc>
          <w:tcPr>
            <w:tcW w:w="4959" w:type="dxa"/>
          </w:tcPr>
          <w:p w:rsidR="00F75B07" w:rsidRPr="00C5494E" w:rsidRDefault="00F75B07" w:rsidP="00F75B07">
            <w:pPr>
              <w:pStyle w:val="Tabletext"/>
              <w:tabs>
                <w:tab w:val="clear" w:pos="284"/>
                <w:tab w:val="clear" w:pos="567"/>
                <w:tab w:val="left" w:pos="794"/>
                <w:tab w:val="left" w:pos="1191"/>
                <w:tab w:val="left" w:pos="1588"/>
              </w:tabs>
              <w:spacing w:before="0" w:after="0"/>
              <w:ind w:left="72"/>
              <w:rPr>
                <w:szCs w:val="22"/>
              </w:rPr>
            </w:pPr>
            <w:r w:rsidRPr="00C5494E">
              <w:rPr>
                <w:szCs w:val="22"/>
              </w:rPr>
              <w:t>Public non-corporatized</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Percentage of private ownership:</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Broadband technology:</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xDSL</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Cable</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VSAT</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Fibre (FTTH / FTTB / FTTN)</w:t>
            </w:r>
          </w:p>
          <w:p w:rsidR="00F75B07" w:rsidRPr="00C5494E" w:rsidRDefault="00D736C6" w:rsidP="00F75B07">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specify:</w:t>
            </w: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installed access:</w:t>
            </w:r>
          </w:p>
          <w:p w:rsidR="00F75B07" w:rsidRPr="00C5494E" w:rsidRDefault="00F75B07" w:rsidP="00FB239F">
            <w:pPr>
              <w:pStyle w:val="Tabletext"/>
              <w:tabs>
                <w:tab w:val="left" w:pos="794"/>
                <w:tab w:val="left" w:pos="1191"/>
                <w:tab w:val="left" w:pos="1588"/>
              </w:tabs>
              <w:spacing w:before="0"/>
              <w:rPr>
                <w:color w:val="808080"/>
              </w:rPr>
            </w:pPr>
            <w:r w:rsidRPr="00C5494E">
              <w:rPr>
                <w:color w:val="808080"/>
              </w:rPr>
              <w:t>(i.e. number of active accesses (subscribers) + those accesses which could become operative in a short notice (2-4 days))</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 xml:space="preserve">Coverage </w:t>
            </w:r>
          </w:p>
        </w:tc>
        <w:tc>
          <w:tcPr>
            <w:tcW w:w="4959" w:type="dxa"/>
          </w:tcPr>
          <w:p w:rsidR="00F75B07" w:rsidRPr="00C5494E" w:rsidRDefault="00F75B07" w:rsidP="00F75B07">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National</w:t>
            </w:r>
          </w:p>
          <w:p w:rsidR="00F75B07" w:rsidRPr="00C5494E" w:rsidRDefault="00F75B07"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If Regional or Local, please specify:</w:t>
            </w:r>
          </w:p>
          <w:p w:rsidR="00F75B07" w:rsidRPr="00C5494E" w:rsidRDefault="00D736C6"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fldChar w:fldCharType="begin">
                <w:ffData>
                  <w:name w:val="Texto1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bookmarkStart w:id="84" w:name="_Ref260597429"/>
          </w:p>
        </w:tc>
        <w:bookmarkEnd w:id="84"/>
        <w:tc>
          <w:tcPr>
            <w:tcW w:w="3960" w:type="dxa"/>
            <w:gridSpan w:val="2"/>
          </w:tcPr>
          <w:p w:rsidR="00F75B07" w:rsidRPr="00C5494E" w:rsidRDefault="00F75B07" w:rsidP="00FB239F">
            <w:pPr>
              <w:pStyle w:val="Tabletext"/>
              <w:tabs>
                <w:tab w:val="left" w:pos="794"/>
                <w:tab w:val="left" w:pos="1191"/>
                <w:tab w:val="left" w:pos="1588"/>
              </w:tabs>
              <w:spacing w:before="0"/>
            </w:pPr>
            <w:r w:rsidRPr="00C5494E">
              <w:t>Remaining fixed broadband operators (totals)</w:t>
            </w:r>
          </w:p>
        </w:tc>
        <w:tc>
          <w:tcPr>
            <w:tcW w:w="4959" w:type="dxa"/>
          </w:tcPr>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7"/>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installed access:</w:t>
            </w:r>
          </w:p>
          <w:p w:rsidR="00F75B07" w:rsidRPr="00C5494E" w:rsidRDefault="00F75B07" w:rsidP="00FB239F">
            <w:pPr>
              <w:pStyle w:val="Tabletext"/>
              <w:tabs>
                <w:tab w:val="left" w:pos="794"/>
                <w:tab w:val="left" w:pos="1191"/>
                <w:tab w:val="left" w:pos="1588"/>
              </w:tabs>
              <w:spacing w:before="0"/>
              <w:rPr>
                <w:color w:val="808080"/>
              </w:rPr>
            </w:pPr>
            <w:r w:rsidRPr="00C5494E">
              <w:rPr>
                <w:color w:val="808080"/>
              </w:rPr>
              <w:t>(i.e. number of active accesses (subscribers) + those accesses which could become operative in a short notice (2-4 days))</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rPr>
                <w:b/>
                <w:bCs/>
                <w:szCs w:val="22"/>
              </w:rPr>
            </w:pPr>
            <w:r w:rsidRPr="00C5494E">
              <w:rPr>
                <w:b/>
                <w:bCs/>
                <w:szCs w:val="22"/>
              </w:rPr>
              <w:t>IMT-2000 (3G) operators</w:t>
            </w:r>
          </w:p>
        </w:tc>
        <w:tc>
          <w:tcPr>
            <w:tcW w:w="4959" w:type="dxa"/>
            <w:vAlign w:val="center"/>
          </w:tcPr>
          <w:p w:rsidR="00F75B07" w:rsidRPr="00C5494E" w:rsidRDefault="00F75B07" w:rsidP="00262FB0">
            <w:pPr>
              <w:pStyle w:val="Tabletext"/>
              <w:tabs>
                <w:tab w:val="clear" w:pos="851"/>
                <w:tab w:val="left" w:pos="0"/>
                <w:tab w:val="left" w:pos="176"/>
                <w:tab w:val="left" w:pos="794"/>
                <w:tab w:val="left" w:pos="1191"/>
                <w:tab w:val="left" w:pos="1588"/>
              </w:tabs>
              <w:spacing w:before="0" w:after="120"/>
              <w:jc w:val="center"/>
              <w:rPr>
                <w:rFonts w:ascii="Arial" w:hAnsi="Arial" w:cs="Arial"/>
                <w:szCs w:val="22"/>
              </w:rPr>
            </w:pPr>
            <w:r w:rsidRPr="00C5494E">
              <w:rPr>
                <w:rFonts w:ascii="Arial" w:hAnsi="Arial" w:cs="Arial"/>
                <w:color w:val="FF0000"/>
                <w:szCs w:val="22"/>
              </w:rPr>
              <w:t xml:space="preserve">Provide only detailed information on the main operators (up to 4), leave rest blank, and fill-in </w:t>
            </w:r>
            <w:r w:rsidR="00262FB0" w:rsidRPr="00C5494E">
              <w:rPr>
                <w:rFonts w:ascii="Arial" w:hAnsi="Arial" w:cs="Arial"/>
                <w:color w:val="FF0000"/>
                <w:szCs w:val="22"/>
                <w:cs/>
              </w:rPr>
              <w:t>‎</w:t>
            </w:r>
            <w:r w:rsidR="00262FB0" w:rsidRPr="00C5494E">
              <w:rPr>
                <w:rFonts w:ascii="Arial" w:hAnsi="Arial" w:cs="Arial"/>
                <w:color w:val="FF0000"/>
                <w:szCs w:val="22"/>
              </w:rPr>
              <w:t>7.6</w:t>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 xml:space="preserve">What is the maximum foreign participation or ownership permitted for IMT-2000 (3G) broadband operators </w:t>
            </w:r>
            <w:r w:rsidRPr="00C5494E">
              <w:rPr>
                <w:color w:val="808080"/>
              </w:rPr>
              <w:t>(%)</w:t>
            </w:r>
            <w:r w:rsidRPr="00C5494E">
              <w:t>:</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Operator name</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Type of operator</w:t>
            </w:r>
          </w:p>
        </w:tc>
        <w:tc>
          <w:tcPr>
            <w:tcW w:w="4959" w:type="dxa"/>
          </w:tcPr>
          <w:p w:rsidR="00F75B07" w:rsidRPr="00C5494E" w:rsidRDefault="00F75B07" w:rsidP="00F75B07">
            <w:pPr>
              <w:pStyle w:val="Tabletext"/>
              <w:tabs>
                <w:tab w:val="clear" w:pos="284"/>
                <w:tab w:val="clear" w:pos="567"/>
                <w:tab w:val="left" w:pos="794"/>
                <w:tab w:val="left" w:pos="1191"/>
                <w:tab w:val="left" w:pos="1588"/>
              </w:tabs>
              <w:spacing w:before="0" w:after="0"/>
              <w:ind w:left="72"/>
              <w:rPr>
                <w:szCs w:val="22"/>
              </w:rPr>
            </w:pPr>
            <w:r w:rsidRPr="00C5494E">
              <w:rPr>
                <w:szCs w:val="22"/>
              </w:rPr>
              <w:t>Public non-corporatized</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 xml:space="preserve">e coverage </w:t>
            </w:r>
          </w:p>
        </w:tc>
        <w:tc>
          <w:tcPr>
            <w:tcW w:w="4959" w:type="dxa"/>
          </w:tcPr>
          <w:p w:rsidR="00F75B07" w:rsidRPr="00C5494E" w:rsidRDefault="00F75B07" w:rsidP="00F75B07">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National</w:t>
            </w:r>
          </w:p>
          <w:p w:rsidR="00F75B07" w:rsidRPr="00C5494E" w:rsidRDefault="00F75B07" w:rsidP="000F4A58">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If Regional or Local, please specify the areas to which the licen</w:t>
            </w:r>
            <w:r w:rsidR="000F4A58" w:rsidRPr="00C5494E">
              <w:rPr>
                <w:szCs w:val="22"/>
              </w:rPr>
              <w:t>c</w:t>
            </w:r>
            <w:r w:rsidRPr="00C5494E">
              <w:rPr>
                <w:szCs w:val="22"/>
              </w:rPr>
              <w:t>e is restricted:</w:t>
            </w:r>
          </w:p>
          <w:p w:rsidR="00F75B07" w:rsidRPr="00C5494E" w:rsidRDefault="00D736C6"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fldChar w:fldCharType="begin">
                <w:ffData>
                  <w:name w:val="Texto1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Percentage of private ownership:</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Population covered by IMT-2000 (3G) network:</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Operator name</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Type of operator</w:t>
            </w:r>
          </w:p>
        </w:tc>
        <w:tc>
          <w:tcPr>
            <w:tcW w:w="4959" w:type="dxa"/>
          </w:tcPr>
          <w:p w:rsidR="00F75B07" w:rsidRPr="00C5494E" w:rsidRDefault="00F75B07" w:rsidP="00F75B07">
            <w:pPr>
              <w:pStyle w:val="Tabletext"/>
              <w:tabs>
                <w:tab w:val="clear" w:pos="284"/>
                <w:tab w:val="clear" w:pos="567"/>
                <w:tab w:val="left" w:pos="794"/>
                <w:tab w:val="left" w:pos="1191"/>
                <w:tab w:val="left" w:pos="1588"/>
              </w:tabs>
              <w:spacing w:before="0" w:after="0"/>
              <w:ind w:left="72"/>
              <w:rPr>
                <w:szCs w:val="22"/>
              </w:rPr>
            </w:pPr>
            <w:r w:rsidRPr="00C5494E">
              <w:rPr>
                <w:szCs w:val="22"/>
              </w:rPr>
              <w:t>Public non-corporatized</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 xml:space="preserve">e coverage </w:t>
            </w:r>
          </w:p>
        </w:tc>
        <w:tc>
          <w:tcPr>
            <w:tcW w:w="4959" w:type="dxa"/>
          </w:tcPr>
          <w:p w:rsidR="00F75B07" w:rsidRPr="00C5494E" w:rsidRDefault="00F75B07" w:rsidP="00F75B07">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National</w:t>
            </w:r>
          </w:p>
          <w:p w:rsidR="00F75B07" w:rsidRPr="00C5494E" w:rsidRDefault="00F75B07" w:rsidP="000F4A58">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If Regional or Local, please specify the areas to which the licen</w:t>
            </w:r>
            <w:r w:rsidR="000F4A58" w:rsidRPr="00C5494E">
              <w:rPr>
                <w:szCs w:val="22"/>
              </w:rPr>
              <w:t>c</w:t>
            </w:r>
            <w:r w:rsidRPr="00C5494E">
              <w:rPr>
                <w:szCs w:val="22"/>
              </w:rPr>
              <w:t>e is restricted:</w:t>
            </w:r>
          </w:p>
          <w:p w:rsidR="00F75B07" w:rsidRPr="00C5494E" w:rsidRDefault="00D736C6"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fldChar w:fldCharType="begin">
                <w:ffData>
                  <w:name w:val="Texto1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Percentage of private ownership:</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Population covered by IMT-2000 (3G) network:</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Operator name</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Type of operator</w:t>
            </w:r>
          </w:p>
        </w:tc>
        <w:tc>
          <w:tcPr>
            <w:tcW w:w="4959" w:type="dxa"/>
          </w:tcPr>
          <w:p w:rsidR="00F75B07" w:rsidRPr="00C5494E" w:rsidRDefault="00F75B07" w:rsidP="00F75B07">
            <w:pPr>
              <w:pStyle w:val="Tabletext"/>
              <w:tabs>
                <w:tab w:val="clear" w:pos="284"/>
                <w:tab w:val="clear" w:pos="567"/>
                <w:tab w:val="left" w:pos="794"/>
                <w:tab w:val="left" w:pos="1191"/>
                <w:tab w:val="left" w:pos="1588"/>
              </w:tabs>
              <w:spacing w:before="0" w:after="0"/>
              <w:ind w:left="72"/>
              <w:rPr>
                <w:szCs w:val="22"/>
              </w:rPr>
            </w:pPr>
            <w:r w:rsidRPr="00C5494E">
              <w:rPr>
                <w:szCs w:val="22"/>
              </w:rPr>
              <w:t>Public non-corporatized</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 xml:space="preserve">e coverage </w:t>
            </w:r>
          </w:p>
        </w:tc>
        <w:tc>
          <w:tcPr>
            <w:tcW w:w="4959" w:type="dxa"/>
          </w:tcPr>
          <w:p w:rsidR="00F75B07" w:rsidRPr="00C5494E" w:rsidRDefault="00F75B07" w:rsidP="00F75B07">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National</w:t>
            </w:r>
          </w:p>
          <w:p w:rsidR="00F75B07" w:rsidRPr="00C5494E" w:rsidRDefault="00F75B07" w:rsidP="000F4A58">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If Regional or Local, please specify the areas to which the licen</w:t>
            </w:r>
            <w:r w:rsidR="000F4A58" w:rsidRPr="00C5494E">
              <w:rPr>
                <w:szCs w:val="22"/>
              </w:rPr>
              <w:t>c</w:t>
            </w:r>
            <w:r w:rsidRPr="00C5494E">
              <w:rPr>
                <w:szCs w:val="22"/>
              </w:rPr>
              <w:t>e is restricted:</w:t>
            </w:r>
          </w:p>
          <w:p w:rsidR="00F75B07" w:rsidRPr="00C5494E" w:rsidRDefault="00D736C6"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fldChar w:fldCharType="begin">
                <w:ffData>
                  <w:name w:val="Texto1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Percentage of private ownership:</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Population covered by IMT-2000 (3G) network:</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Operator name</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Type of operator</w:t>
            </w:r>
          </w:p>
        </w:tc>
        <w:tc>
          <w:tcPr>
            <w:tcW w:w="4959" w:type="dxa"/>
          </w:tcPr>
          <w:p w:rsidR="00F75B07" w:rsidRPr="00C5494E" w:rsidRDefault="00F75B07" w:rsidP="00F75B07">
            <w:pPr>
              <w:pStyle w:val="Tabletext"/>
              <w:tabs>
                <w:tab w:val="clear" w:pos="284"/>
                <w:tab w:val="clear" w:pos="567"/>
                <w:tab w:val="left" w:pos="794"/>
                <w:tab w:val="left" w:pos="1191"/>
                <w:tab w:val="left" w:pos="1588"/>
              </w:tabs>
              <w:spacing w:before="0" w:after="0"/>
              <w:ind w:left="72"/>
              <w:rPr>
                <w:szCs w:val="22"/>
              </w:rPr>
            </w:pPr>
            <w:r w:rsidRPr="00C5494E">
              <w:rPr>
                <w:szCs w:val="22"/>
              </w:rPr>
              <w:t>Public non-corporatized</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 xml:space="preserve">e coverage </w:t>
            </w:r>
          </w:p>
        </w:tc>
        <w:tc>
          <w:tcPr>
            <w:tcW w:w="4959" w:type="dxa"/>
          </w:tcPr>
          <w:p w:rsidR="00F75B07" w:rsidRPr="00C5494E" w:rsidRDefault="00F75B07" w:rsidP="00F75B07">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National</w:t>
            </w:r>
          </w:p>
          <w:p w:rsidR="00F75B07" w:rsidRPr="00C5494E" w:rsidRDefault="00F75B07" w:rsidP="000F4A58">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If Regional or Local, please specify the areas to which the licen</w:t>
            </w:r>
            <w:r w:rsidR="000F4A58" w:rsidRPr="00C5494E">
              <w:rPr>
                <w:szCs w:val="22"/>
              </w:rPr>
              <w:t>c</w:t>
            </w:r>
            <w:r w:rsidRPr="00C5494E">
              <w:rPr>
                <w:szCs w:val="22"/>
              </w:rPr>
              <w:t>e is restricted:</w:t>
            </w:r>
          </w:p>
          <w:p w:rsidR="00F75B07" w:rsidRPr="00C5494E" w:rsidRDefault="00D736C6"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fldChar w:fldCharType="begin">
                <w:ffData>
                  <w:name w:val="Texto1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Percentage of private ownership:</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Population covered by IMT-2000 (3G) network:</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bookmarkStart w:id="85" w:name="_Ref260597489"/>
          </w:p>
        </w:tc>
        <w:bookmarkEnd w:id="85"/>
        <w:tc>
          <w:tcPr>
            <w:tcW w:w="3960" w:type="dxa"/>
            <w:gridSpan w:val="2"/>
          </w:tcPr>
          <w:p w:rsidR="00F75B07" w:rsidRPr="00C5494E" w:rsidRDefault="00F75B07" w:rsidP="00FB239F">
            <w:pPr>
              <w:pStyle w:val="Tabletext"/>
              <w:tabs>
                <w:tab w:val="left" w:pos="794"/>
                <w:tab w:val="left" w:pos="1191"/>
                <w:tab w:val="left" w:pos="1588"/>
              </w:tabs>
              <w:spacing w:before="0"/>
            </w:pPr>
            <w:r w:rsidRPr="00C5494E">
              <w:t>Remaining IMT-2000 (3G) operators</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Population covered by IMT-2000 (3G) network:</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rPr>
                <w:b/>
                <w:bCs/>
                <w:szCs w:val="22"/>
              </w:rPr>
            </w:pPr>
            <w:r w:rsidRPr="00C5494E">
              <w:rPr>
                <w:b/>
                <w:bCs/>
                <w:szCs w:val="22"/>
              </w:rPr>
              <w:t>WiMAX operators</w:t>
            </w:r>
          </w:p>
        </w:tc>
        <w:tc>
          <w:tcPr>
            <w:tcW w:w="4959" w:type="dxa"/>
            <w:vAlign w:val="center"/>
          </w:tcPr>
          <w:p w:rsidR="00F75B07" w:rsidRPr="00C5494E" w:rsidRDefault="00F75B07" w:rsidP="00262FB0">
            <w:pPr>
              <w:pStyle w:val="Tabletext"/>
              <w:tabs>
                <w:tab w:val="clear" w:pos="851"/>
                <w:tab w:val="left" w:pos="0"/>
                <w:tab w:val="left" w:pos="176"/>
                <w:tab w:val="left" w:pos="794"/>
                <w:tab w:val="left" w:pos="1191"/>
                <w:tab w:val="left" w:pos="1588"/>
              </w:tabs>
              <w:spacing w:before="0" w:after="120"/>
              <w:jc w:val="center"/>
              <w:rPr>
                <w:rFonts w:ascii="Arial" w:hAnsi="Arial" w:cs="Arial"/>
                <w:szCs w:val="22"/>
              </w:rPr>
            </w:pPr>
            <w:r w:rsidRPr="00C5494E">
              <w:rPr>
                <w:rFonts w:ascii="Arial" w:hAnsi="Arial" w:cs="Arial"/>
                <w:color w:val="FF0000"/>
                <w:szCs w:val="22"/>
              </w:rPr>
              <w:t xml:space="preserve">Provide only detailed information on the main operators (up to 3), leave rest blank, and fill-in </w:t>
            </w:r>
            <w:r w:rsidR="00262FB0" w:rsidRPr="00C5494E">
              <w:rPr>
                <w:rFonts w:ascii="Arial" w:hAnsi="Arial" w:cs="Arial"/>
                <w:color w:val="FF0000"/>
                <w:szCs w:val="22"/>
                <w:cs/>
              </w:rPr>
              <w:t>‎</w:t>
            </w:r>
            <w:r w:rsidR="00262FB0" w:rsidRPr="00C5494E">
              <w:rPr>
                <w:rFonts w:ascii="Arial" w:hAnsi="Arial" w:cs="Arial"/>
                <w:color w:val="FF0000"/>
                <w:szCs w:val="22"/>
              </w:rPr>
              <w:t>8.5</w:t>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 xml:space="preserve">What is the maximum foreign participation or ownership permitted for WiMAX operators </w:t>
            </w:r>
            <w:r w:rsidRPr="00C5494E">
              <w:rPr>
                <w:color w:val="808080"/>
              </w:rPr>
              <w:t>(%)</w:t>
            </w:r>
            <w:r w:rsidRPr="00C5494E">
              <w:t>:</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Operator name</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Type of operator</w:t>
            </w:r>
          </w:p>
        </w:tc>
        <w:tc>
          <w:tcPr>
            <w:tcW w:w="4959" w:type="dxa"/>
          </w:tcPr>
          <w:p w:rsidR="00F75B07" w:rsidRPr="00C5494E" w:rsidRDefault="00F75B07" w:rsidP="00F75B07">
            <w:pPr>
              <w:pStyle w:val="Tabletext"/>
              <w:tabs>
                <w:tab w:val="clear" w:pos="284"/>
                <w:tab w:val="clear" w:pos="567"/>
                <w:tab w:val="left" w:pos="794"/>
                <w:tab w:val="left" w:pos="1191"/>
                <w:tab w:val="left" w:pos="1588"/>
              </w:tabs>
              <w:spacing w:before="0" w:after="0"/>
              <w:ind w:left="72"/>
              <w:rPr>
                <w:szCs w:val="22"/>
              </w:rPr>
            </w:pPr>
            <w:r w:rsidRPr="00C5494E">
              <w:rPr>
                <w:szCs w:val="22"/>
              </w:rPr>
              <w:t>Public non-corporatized</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 xml:space="preserve">e coverage </w:t>
            </w:r>
          </w:p>
        </w:tc>
        <w:tc>
          <w:tcPr>
            <w:tcW w:w="4959" w:type="dxa"/>
          </w:tcPr>
          <w:p w:rsidR="00F75B07" w:rsidRPr="00C5494E" w:rsidRDefault="00F75B07" w:rsidP="00F75B07">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National</w:t>
            </w:r>
          </w:p>
          <w:p w:rsidR="00F75B07" w:rsidRPr="00C5494E" w:rsidRDefault="00F75B07" w:rsidP="000F4A58">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If Regional or Local, please specify the areas to which the licen</w:t>
            </w:r>
            <w:r w:rsidR="000F4A58" w:rsidRPr="00C5494E">
              <w:rPr>
                <w:szCs w:val="22"/>
              </w:rPr>
              <w:t>c</w:t>
            </w:r>
            <w:r w:rsidRPr="00C5494E">
              <w:rPr>
                <w:szCs w:val="22"/>
              </w:rPr>
              <w:t>e is restricted:</w:t>
            </w:r>
          </w:p>
          <w:p w:rsidR="00F75B07" w:rsidRPr="00C5494E" w:rsidRDefault="00D736C6"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fldChar w:fldCharType="begin">
                <w:ffData>
                  <w:name w:val="Texto1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Percentage of private ownership:</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Population covered by WiMAX signal:</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Operator name</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Type of operator</w:t>
            </w:r>
          </w:p>
        </w:tc>
        <w:tc>
          <w:tcPr>
            <w:tcW w:w="4959" w:type="dxa"/>
          </w:tcPr>
          <w:p w:rsidR="00F75B07" w:rsidRPr="00C5494E" w:rsidRDefault="00F75B07" w:rsidP="00F75B07">
            <w:pPr>
              <w:pStyle w:val="Tabletext"/>
              <w:tabs>
                <w:tab w:val="clear" w:pos="284"/>
                <w:tab w:val="clear" w:pos="567"/>
                <w:tab w:val="left" w:pos="794"/>
                <w:tab w:val="left" w:pos="1191"/>
                <w:tab w:val="left" w:pos="1588"/>
              </w:tabs>
              <w:spacing w:before="0" w:after="0"/>
              <w:ind w:left="72"/>
              <w:rPr>
                <w:szCs w:val="22"/>
              </w:rPr>
            </w:pPr>
            <w:r w:rsidRPr="00C5494E">
              <w:rPr>
                <w:szCs w:val="22"/>
              </w:rPr>
              <w:t>Public non-corporatized</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 xml:space="preserve">e coverage </w:t>
            </w:r>
          </w:p>
        </w:tc>
        <w:tc>
          <w:tcPr>
            <w:tcW w:w="4959" w:type="dxa"/>
          </w:tcPr>
          <w:p w:rsidR="00F75B07" w:rsidRPr="00C5494E" w:rsidRDefault="00F75B07" w:rsidP="00F75B07">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National</w:t>
            </w:r>
          </w:p>
          <w:p w:rsidR="00F75B07" w:rsidRPr="00C5494E" w:rsidRDefault="00F75B07" w:rsidP="000F4A58">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If Regional or Local, please specify the areas to which the licen</w:t>
            </w:r>
            <w:r w:rsidR="000F4A58" w:rsidRPr="00C5494E">
              <w:rPr>
                <w:szCs w:val="22"/>
              </w:rPr>
              <w:t>c</w:t>
            </w:r>
            <w:r w:rsidRPr="00C5494E">
              <w:rPr>
                <w:szCs w:val="22"/>
              </w:rPr>
              <w:t>e is restricted:</w:t>
            </w:r>
          </w:p>
          <w:p w:rsidR="00F75B07" w:rsidRPr="00C5494E" w:rsidRDefault="00D736C6"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fldChar w:fldCharType="begin">
                <w:ffData>
                  <w:name w:val="Texto1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Percentage of private ownership:</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Population covered by WiMAX signal:</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Operator name</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ind w:left="99"/>
            </w:pPr>
            <w:r w:rsidRPr="00C5494E">
              <w:rPr>
                <w:szCs w:val="22"/>
              </w:rPr>
              <w:fldChar w:fldCharType="begin">
                <w:ffData>
                  <w:name w:val="Texto15"/>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Type of operator</w:t>
            </w:r>
          </w:p>
        </w:tc>
        <w:tc>
          <w:tcPr>
            <w:tcW w:w="4959" w:type="dxa"/>
          </w:tcPr>
          <w:p w:rsidR="00F75B07" w:rsidRPr="00C5494E" w:rsidRDefault="00F75B07" w:rsidP="00F75B07">
            <w:pPr>
              <w:pStyle w:val="Tabletext"/>
              <w:tabs>
                <w:tab w:val="clear" w:pos="284"/>
                <w:tab w:val="clear" w:pos="567"/>
                <w:tab w:val="left" w:pos="794"/>
                <w:tab w:val="left" w:pos="1191"/>
                <w:tab w:val="left" w:pos="1588"/>
              </w:tabs>
              <w:spacing w:before="0" w:after="0"/>
              <w:ind w:left="72"/>
              <w:rPr>
                <w:szCs w:val="22"/>
              </w:rPr>
            </w:pPr>
            <w:r w:rsidRPr="00C5494E">
              <w:rPr>
                <w:szCs w:val="22"/>
              </w:rPr>
              <w:t>Public non-corporatized</w:t>
            </w:r>
          </w:p>
          <w:p w:rsidR="00F75B07" w:rsidRPr="00C5494E" w:rsidRDefault="00F75B07" w:rsidP="00FB239F">
            <w:pPr>
              <w:pStyle w:val="Tabletext"/>
              <w:tabs>
                <w:tab w:val="clear" w:pos="284"/>
                <w:tab w:val="clear" w:pos="567"/>
                <w:tab w:val="left" w:pos="794"/>
                <w:tab w:val="left" w:pos="1191"/>
                <w:tab w:val="left" w:pos="1588"/>
              </w:tabs>
              <w:spacing w:before="0" w:after="0"/>
              <w:ind w:left="72"/>
              <w:rPr>
                <w:sz w:val="16"/>
                <w:szCs w:val="16"/>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0F4A58">
            <w:pPr>
              <w:pStyle w:val="Tabletext"/>
              <w:tabs>
                <w:tab w:val="left" w:pos="794"/>
                <w:tab w:val="left" w:pos="1191"/>
                <w:tab w:val="left" w:pos="1588"/>
              </w:tabs>
              <w:spacing w:before="0"/>
            </w:pPr>
            <w:r w:rsidRPr="00C5494E">
              <w:t>Licen</w:t>
            </w:r>
            <w:r w:rsidR="000F4A58" w:rsidRPr="00C5494E">
              <w:t>c</w:t>
            </w:r>
            <w:r w:rsidRPr="00C5494E">
              <w:t xml:space="preserve">e coverage </w:t>
            </w:r>
          </w:p>
        </w:tc>
        <w:tc>
          <w:tcPr>
            <w:tcW w:w="4959" w:type="dxa"/>
          </w:tcPr>
          <w:p w:rsidR="00F75B07" w:rsidRPr="00C5494E" w:rsidRDefault="00F75B07" w:rsidP="00F75B07">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National</w:t>
            </w:r>
          </w:p>
          <w:p w:rsidR="00F75B07" w:rsidRPr="00C5494E" w:rsidRDefault="00F75B07" w:rsidP="000F4A58">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t>If Regional or Local, please specify the areas to which the licen</w:t>
            </w:r>
            <w:r w:rsidR="000F4A58" w:rsidRPr="00C5494E">
              <w:rPr>
                <w:szCs w:val="22"/>
              </w:rPr>
              <w:t>c</w:t>
            </w:r>
            <w:r w:rsidRPr="00C5494E">
              <w:rPr>
                <w:szCs w:val="22"/>
              </w:rPr>
              <w:t>e is restricted:</w:t>
            </w:r>
          </w:p>
          <w:p w:rsidR="00F75B07" w:rsidRPr="00C5494E" w:rsidRDefault="00D736C6" w:rsidP="00FB239F">
            <w:pPr>
              <w:pStyle w:val="Tabletext"/>
              <w:tabs>
                <w:tab w:val="clear" w:pos="284"/>
                <w:tab w:val="clear" w:pos="851"/>
                <w:tab w:val="left" w:pos="279"/>
                <w:tab w:val="left" w:pos="639"/>
                <w:tab w:val="left" w:pos="794"/>
                <w:tab w:val="left" w:pos="1191"/>
                <w:tab w:val="left" w:pos="1588"/>
              </w:tabs>
              <w:spacing w:before="0" w:after="120"/>
              <w:ind w:left="99"/>
              <w:rPr>
                <w:szCs w:val="22"/>
              </w:rPr>
            </w:pPr>
            <w:r w:rsidRPr="00C5494E">
              <w:rPr>
                <w:szCs w:val="22"/>
              </w:rPr>
              <w:fldChar w:fldCharType="begin">
                <w:ffData>
                  <w:name w:val="Texto18"/>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Percentage of private ownership:</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Texto16"/>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Population covered by WiMAX signal:</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bookmarkStart w:id="86" w:name="_Ref260597595"/>
          </w:p>
        </w:tc>
        <w:bookmarkEnd w:id="86"/>
        <w:tc>
          <w:tcPr>
            <w:tcW w:w="3960" w:type="dxa"/>
            <w:gridSpan w:val="2"/>
          </w:tcPr>
          <w:p w:rsidR="00F75B07" w:rsidRPr="00C5494E" w:rsidRDefault="00F75B07" w:rsidP="00FB239F">
            <w:pPr>
              <w:pStyle w:val="Tabletext"/>
              <w:tabs>
                <w:tab w:val="left" w:pos="794"/>
                <w:tab w:val="left" w:pos="1191"/>
                <w:tab w:val="left" w:pos="1588"/>
              </w:tabs>
              <w:spacing w:before="0"/>
            </w:pPr>
            <w:r w:rsidRPr="00C5494E">
              <w:t>Remaining WiMAX operators</w:t>
            </w:r>
          </w:p>
        </w:tc>
        <w:tc>
          <w:tcPr>
            <w:tcW w:w="4959" w:type="dxa"/>
          </w:tcPr>
          <w:p w:rsidR="00F75B07" w:rsidRPr="00C5494E" w:rsidRDefault="00D736C6" w:rsidP="00FB239F">
            <w:pPr>
              <w:pStyle w:val="Tabletext"/>
              <w:tabs>
                <w:tab w:val="clear" w:pos="284"/>
                <w:tab w:val="clear" w:pos="851"/>
                <w:tab w:val="left" w:pos="279"/>
                <w:tab w:val="left" w:pos="639"/>
                <w:tab w:val="left" w:pos="1191"/>
                <w:tab w:val="left" w:pos="1588"/>
              </w:tabs>
              <w:spacing w:before="0" w:after="120"/>
            </w:pPr>
            <w:r w:rsidRPr="00C5494E">
              <w:rPr>
                <w:szCs w:val="22"/>
              </w:rPr>
              <w:fldChar w:fldCharType="begin">
                <w:ffData>
                  <w:name w:val="Texto17"/>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Number of subscribers (as of certain date):</w:t>
            </w:r>
          </w:p>
        </w:tc>
        <w:tc>
          <w:tcPr>
            <w:tcW w:w="4959" w:type="dxa"/>
          </w:tcPr>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Subscribers: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Cs w:val="22"/>
              </w:rPr>
            </w:pPr>
            <w:r w:rsidRPr="00C5494E">
              <w:rPr>
                <w:szCs w:val="22"/>
              </w:rPr>
              <w:t xml:space="preserve">Date: </w:t>
            </w:r>
            <w:r w:rsidR="00D736C6" w:rsidRPr="00C5494E">
              <w:rPr>
                <w:szCs w:val="22"/>
              </w:rPr>
              <w:fldChar w:fldCharType="begin">
                <w:ffData>
                  <w:name w:val="Texto17"/>
                  <w:enabled/>
                  <w:calcOnExit w:val="0"/>
                  <w:textInput/>
                </w:ffData>
              </w:fldChar>
            </w:r>
            <w:r w:rsidRPr="00C5494E">
              <w:rPr>
                <w:szCs w:val="22"/>
              </w:rPr>
              <w:instrText xml:space="preserve"> FORMTEXT </w:instrText>
            </w:r>
            <w:r w:rsidR="00D736C6" w:rsidRPr="00C5494E">
              <w:rPr>
                <w:szCs w:val="22"/>
              </w:rPr>
            </w:r>
            <w:r w:rsidR="00D736C6"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D736C6" w:rsidRPr="00C5494E">
              <w:rPr>
                <w:szCs w:val="22"/>
              </w:rPr>
              <w:fldChar w:fldCharType="end"/>
            </w: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Population covered by WiMAX signal:</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Pr>
          <w:p w:rsidR="00F75B07" w:rsidRPr="00C5494E" w:rsidRDefault="00F75B07" w:rsidP="00F75B07">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rPr>
                <w:b/>
                <w:bCs/>
                <w:szCs w:val="22"/>
              </w:rPr>
            </w:pPr>
            <w:r w:rsidRPr="00C5494E">
              <w:rPr>
                <w:b/>
                <w:bCs/>
                <w:szCs w:val="22"/>
              </w:rPr>
              <w:t>IXPs</w:t>
            </w:r>
          </w:p>
        </w:tc>
        <w:tc>
          <w:tcPr>
            <w:tcW w:w="4959" w:type="dxa"/>
            <w:vAlign w:val="center"/>
          </w:tcPr>
          <w:p w:rsidR="00F75B07" w:rsidRPr="00C5494E" w:rsidRDefault="00F75B07" w:rsidP="00FB239F">
            <w:pPr>
              <w:pStyle w:val="Tabletext"/>
              <w:tabs>
                <w:tab w:val="clear" w:pos="851"/>
                <w:tab w:val="left" w:pos="0"/>
                <w:tab w:val="left" w:pos="176"/>
                <w:tab w:val="left" w:pos="794"/>
                <w:tab w:val="left" w:pos="1191"/>
                <w:tab w:val="left" w:pos="1588"/>
              </w:tabs>
              <w:spacing w:before="0" w:after="120"/>
              <w:jc w:val="center"/>
              <w:rPr>
                <w:rFonts w:ascii="Arial" w:hAnsi="Arial" w:cs="Arial"/>
                <w:szCs w:val="22"/>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Does your country have a national Internet Exchange Point (IXP) that allows Internet Service Providers (ISPs) to interconnect?</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 xml:space="preserve">Is your country part of a regional or </w:t>
            </w:r>
            <w:proofErr w:type="spellStart"/>
            <w:r w:rsidRPr="00C5494E">
              <w:t>subregional</w:t>
            </w:r>
            <w:proofErr w:type="spellEnd"/>
            <w:r w:rsidRPr="00C5494E">
              <w:t xml:space="preserve"> IXP?</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rPr>
                <w:szCs w:val="22"/>
              </w:rPr>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If Yes, what is its name?</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720" w:type="dxa"/>
            <w:tcBorders>
              <w:bottom w:val="single" w:sz="4" w:space="0" w:color="auto"/>
            </w:tcBorders>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Borders>
              <w:bottom w:val="single" w:sz="4" w:space="0" w:color="auto"/>
            </w:tcBorders>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Borders>
              <w:bottom w:val="single" w:sz="4" w:space="0" w:color="auto"/>
            </w:tcBorders>
          </w:tcPr>
          <w:p w:rsidR="00F75B07" w:rsidRPr="00C5494E" w:rsidRDefault="00F75B07" w:rsidP="00FB239F">
            <w:pPr>
              <w:pStyle w:val="Tabletext"/>
              <w:tabs>
                <w:tab w:val="left" w:pos="794"/>
                <w:tab w:val="left" w:pos="1191"/>
                <w:tab w:val="left" w:pos="1588"/>
              </w:tabs>
              <w:spacing w:before="0"/>
            </w:pPr>
            <w:r w:rsidRPr="00C5494E">
              <w:t>If Yes, who are its other members?</w:t>
            </w:r>
          </w:p>
        </w:tc>
        <w:tc>
          <w:tcPr>
            <w:tcW w:w="4959" w:type="dxa"/>
            <w:tcBorders>
              <w:bottom w:val="single" w:sz="4" w:space="0" w:color="auto"/>
            </w:tcBorders>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tc>
      </w:tr>
      <w:tr w:rsidR="00F75B07" w:rsidRPr="00C5494E" w:rsidTr="00F75B07">
        <w:tc>
          <w:tcPr>
            <w:tcW w:w="9639" w:type="dxa"/>
            <w:gridSpan w:val="4"/>
            <w:tcBorders>
              <w:left w:val="nil"/>
              <w:right w:val="nil"/>
            </w:tcBorders>
          </w:tcPr>
          <w:p w:rsidR="00F75B07" w:rsidRPr="00C5494E" w:rsidRDefault="00F75B07" w:rsidP="00FB239F">
            <w:pPr>
              <w:pStyle w:val="Tabletext"/>
              <w:tabs>
                <w:tab w:val="clear" w:pos="851"/>
                <w:tab w:val="left" w:pos="0"/>
                <w:tab w:val="left" w:pos="176"/>
                <w:tab w:val="left" w:pos="794"/>
                <w:tab w:val="left" w:pos="1191"/>
                <w:tab w:val="left" w:pos="1588"/>
              </w:tabs>
              <w:spacing w:before="0" w:after="120"/>
              <w:rPr>
                <w:sz w:val="16"/>
                <w:szCs w:val="16"/>
              </w:rPr>
            </w:pPr>
          </w:p>
          <w:p w:rsidR="00F75B07" w:rsidRPr="00C5494E" w:rsidRDefault="00F75B07" w:rsidP="00FB239F">
            <w:pPr>
              <w:pStyle w:val="Tabletext"/>
              <w:tabs>
                <w:tab w:val="clear" w:pos="851"/>
                <w:tab w:val="left" w:pos="0"/>
                <w:tab w:val="left" w:pos="176"/>
                <w:tab w:val="left" w:pos="794"/>
                <w:tab w:val="left" w:pos="1191"/>
                <w:tab w:val="left" w:pos="1588"/>
              </w:tabs>
              <w:spacing w:before="0" w:after="120"/>
              <w:rPr>
                <w:sz w:val="16"/>
                <w:szCs w:val="16"/>
              </w:rPr>
            </w:pPr>
          </w:p>
        </w:tc>
      </w:tr>
      <w:tr w:rsidR="00F75B07" w:rsidRPr="00C5494E" w:rsidTr="00F75B07">
        <w:tc>
          <w:tcPr>
            <w:tcW w:w="9639" w:type="dxa"/>
            <w:gridSpan w:val="4"/>
          </w:tcPr>
          <w:p w:rsidR="00F75B07" w:rsidRPr="00C5494E" w:rsidRDefault="00F75B07" w:rsidP="00FB239F">
            <w:pPr>
              <w:pStyle w:val="Tabletext"/>
              <w:tabs>
                <w:tab w:val="clear" w:pos="851"/>
                <w:tab w:val="left" w:pos="0"/>
                <w:tab w:val="left" w:pos="176"/>
                <w:tab w:val="left" w:pos="794"/>
                <w:tab w:val="left" w:pos="1191"/>
                <w:tab w:val="left" w:pos="1588"/>
              </w:tabs>
              <w:spacing w:before="0" w:after="120"/>
              <w:jc w:val="center"/>
              <w:rPr>
                <w:sz w:val="28"/>
                <w:szCs w:val="28"/>
              </w:rPr>
            </w:pPr>
            <w:r w:rsidRPr="00C5494E">
              <w:br w:type="page"/>
            </w:r>
            <w:proofErr w:type="spellStart"/>
            <w:r w:rsidRPr="00C5494E">
              <w:rPr>
                <w:sz w:val="28"/>
                <w:szCs w:val="28"/>
              </w:rPr>
              <w:t>Cybersecurity</w:t>
            </w:r>
            <w:proofErr w:type="spellEnd"/>
          </w:p>
        </w:tc>
      </w:tr>
      <w:tr w:rsidR="00F75B07" w:rsidRPr="00C5494E" w:rsidTr="00F75B07">
        <w:tc>
          <w:tcPr>
            <w:tcW w:w="720" w:type="dxa"/>
          </w:tcPr>
          <w:p w:rsidR="00F75B07" w:rsidRPr="00C5494E" w:rsidRDefault="00F75B07" w:rsidP="00F75B07">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rPr>
                <w:szCs w:val="22"/>
              </w:rPr>
            </w:pPr>
            <w:r w:rsidRPr="00C5494E">
              <w:rPr>
                <w:szCs w:val="22"/>
              </w:rPr>
              <w:t xml:space="preserve">Is there a specific entity responsible for </w:t>
            </w:r>
            <w:proofErr w:type="spellStart"/>
            <w:r w:rsidRPr="00C5494E">
              <w:rPr>
                <w:szCs w:val="22"/>
              </w:rPr>
              <w:t>cybersecurity</w:t>
            </w:r>
            <w:proofErr w:type="spellEnd"/>
            <w:r w:rsidRPr="00C5494E">
              <w:rPr>
                <w:szCs w:val="22"/>
              </w:rPr>
              <w:t xml:space="preserve"> matters? </w:t>
            </w:r>
          </w:p>
        </w:tc>
        <w:tc>
          <w:tcPr>
            <w:tcW w:w="4959" w:type="dxa"/>
            <w:vAlign w:val="center"/>
          </w:tcPr>
          <w:p w:rsidR="00F75B07" w:rsidRPr="00C5494E" w:rsidRDefault="00F75B07" w:rsidP="00F75B07">
            <w:pPr>
              <w:pStyle w:val="Tabletext"/>
              <w:tabs>
                <w:tab w:val="clear" w:pos="284"/>
                <w:tab w:val="left" w:pos="794"/>
                <w:tab w:val="left" w:pos="1191"/>
                <w:tab w:val="left" w:pos="1588"/>
              </w:tabs>
              <w:spacing w:before="0" w:after="0"/>
              <w:rPr>
                <w:sz w:val="16"/>
                <w:szCs w:val="16"/>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could you provide a URL link to its website: </w:t>
            </w:r>
          </w:p>
          <w:p w:rsidR="00F75B07" w:rsidRPr="00C5494E" w:rsidRDefault="00D736C6" w:rsidP="00FB239F">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p w:rsidR="00F75B07" w:rsidRPr="00C5494E" w:rsidRDefault="00F75B07" w:rsidP="00FB239F">
            <w:pPr>
              <w:pStyle w:val="Tabletext"/>
              <w:tabs>
                <w:tab w:val="clear" w:pos="851"/>
                <w:tab w:val="left" w:pos="0"/>
                <w:tab w:val="left" w:pos="176"/>
                <w:tab w:val="left" w:pos="794"/>
                <w:tab w:val="left" w:pos="1191"/>
                <w:tab w:val="left" w:pos="1588"/>
              </w:tabs>
              <w:spacing w:before="0" w:after="120"/>
              <w:rPr>
                <w:rFonts w:ascii="Arial" w:hAnsi="Arial" w:cs="Arial"/>
                <w:color w:val="FF0000"/>
                <w:szCs w:val="22"/>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 xml:space="preserve">Has your country adopted </w:t>
            </w:r>
            <w:proofErr w:type="spellStart"/>
            <w:r w:rsidRPr="00C5494E">
              <w:t>cybersecurity</w:t>
            </w:r>
            <w:proofErr w:type="spellEnd"/>
            <w:r w:rsidRPr="00C5494E">
              <w:t xml:space="preserve"> related legislation/regulation?</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clear" w:pos="851"/>
                <w:tab w:val="left" w:pos="279"/>
                <w:tab w:val="left" w:pos="639"/>
                <w:tab w:val="left" w:pos="1191"/>
                <w:tab w:val="left" w:pos="1588"/>
              </w:tabs>
              <w:spacing w:before="0" w:after="120"/>
              <w:ind w:left="99"/>
            </w:pPr>
          </w:p>
        </w:tc>
      </w:tr>
      <w:tr w:rsidR="00F75B07" w:rsidRPr="00C5494E" w:rsidTr="00F75B07">
        <w:tc>
          <w:tcPr>
            <w:tcW w:w="720" w:type="dxa"/>
          </w:tcPr>
          <w:p w:rsidR="00F75B07" w:rsidRPr="00C5494E" w:rsidRDefault="00F75B07" w:rsidP="00FB239F">
            <w:pPr>
              <w:pStyle w:val="Tabletext"/>
              <w:tabs>
                <w:tab w:val="clear" w:pos="284"/>
                <w:tab w:val="left" w:pos="252"/>
                <w:tab w:val="left" w:pos="794"/>
                <w:tab w:val="left" w:pos="1191"/>
                <w:tab w:val="left" w:pos="1588"/>
              </w:tabs>
              <w:spacing w:before="0"/>
              <w:jc w:val="both"/>
              <w:rPr>
                <w:b/>
              </w:rPr>
            </w:pPr>
          </w:p>
        </w:tc>
        <w:tc>
          <w:tcPr>
            <w:tcW w:w="720" w:type="dxa"/>
          </w:tcPr>
          <w:p w:rsidR="00F75B07" w:rsidRPr="00C5494E" w:rsidRDefault="00F75B07" w:rsidP="00F75B07">
            <w:pPr>
              <w:pStyle w:val="Tabletext"/>
              <w:numPr>
                <w:ilvl w:val="2"/>
                <w:numId w:val="10"/>
              </w:numPr>
              <w:tabs>
                <w:tab w:val="left" w:pos="794"/>
                <w:tab w:val="left" w:pos="1191"/>
                <w:tab w:val="left" w:pos="1588"/>
              </w:tabs>
              <w:spacing w:before="0"/>
            </w:pPr>
          </w:p>
        </w:tc>
        <w:tc>
          <w:tcPr>
            <w:tcW w:w="3240" w:type="dxa"/>
          </w:tcPr>
          <w:p w:rsidR="00F75B07" w:rsidRPr="00C5494E" w:rsidRDefault="00F75B07" w:rsidP="00FB239F">
            <w:pPr>
              <w:pStyle w:val="Tabletext"/>
              <w:tabs>
                <w:tab w:val="left" w:pos="794"/>
                <w:tab w:val="left" w:pos="1191"/>
                <w:tab w:val="left" w:pos="1588"/>
              </w:tabs>
              <w:spacing w:before="0"/>
            </w:pPr>
            <w:r w:rsidRPr="00C5494E">
              <w:t>If Yes, please indicate which area(s) it addresses:</w:t>
            </w:r>
          </w:p>
        </w:tc>
        <w:tc>
          <w:tcPr>
            <w:tcW w:w="4959" w:type="dxa"/>
          </w:tcPr>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Cybercrime</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Data protection</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Online privacy</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Online fraud</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Online gambling &amp; gaming</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Child online protection</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Critical information infrastructure protection</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Network security</w:t>
            </w:r>
          </w:p>
          <w:p w:rsidR="00F75B07" w:rsidRPr="00C5494E" w:rsidRDefault="00D736C6" w:rsidP="00FB239F">
            <w:pPr>
              <w:pStyle w:val="Tabletext"/>
              <w:tabs>
                <w:tab w:val="clear" w:pos="284"/>
                <w:tab w:val="left" w:pos="794"/>
                <w:tab w:val="left" w:pos="1191"/>
                <w:tab w:val="left" w:pos="1588"/>
              </w:tabs>
              <w:spacing w:before="0" w:after="0"/>
              <w:rPr>
                <w:szCs w:val="22"/>
              </w:rPr>
            </w:pPr>
            <w:r w:rsidRPr="00C5494E">
              <w:rPr>
                <w:szCs w:val="22"/>
              </w:rPr>
              <w:fldChar w:fldCharType="begin">
                <w:ffData>
                  <w:name w:val="Casilla4"/>
                  <w:enabled/>
                  <w:calcOnExit w:val="0"/>
                  <w:checkBox>
                    <w:sizeAuto/>
                    <w:default w:val="0"/>
                    <w:checked w:val="0"/>
                  </w:checkBox>
                </w:ffData>
              </w:fldChar>
            </w:r>
            <w:r w:rsidR="00F75B07" w:rsidRPr="00C5494E">
              <w:rPr>
                <w:szCs w:val="22"/>
              </w:rPr>
              <w:instrText xml:space="preserve"> FORMCHECKBOX </w:instrText>
            </w:r>
            <w:r w:rsidRPr="00C5494E">
              <w:rPr>
                <w:szCs w:val="22"/>
              </w:rPr>
            </w:r>
            <w:r w:rsidRPr="00C5494E">
              <w:rPr>
                <w:szCs w:val="22"/>
              </w:rPr>
              <w:fldChar w:fldCharType="end"/>
            </w:r>
            <w:r w:rsidR="00F75B07" w:rsidRPr="00C5494E">
              <w:rPr>
                <w:szCs w:val="22"/>
              </w:rPr>
              <w:t xml:space="preserve"> Other, please specify:</w:t>
            </w:r>
            <w:r w:rsidRPr="00C5494E">
              <w:rPr>
                <w:szCs w:val="22"/>
              </w:rPr>
              <w:fldChar w:fldCharType="begin">
                <w:ffData>
                  <w:name w:val="Texto12"/>
                  <w:enabled/>
                  <w:calcOnExit w:val="0"/>
                  <w:textInput/>
                </w:ffData>
              </w:fldChar>
            </w:r>
            <w:r w:rsidR="00F75B07" w:rsidRPr="00C5494E">
              <w:rPr>
                <w:szCs w:val="22"/>
              </w:rPr>
              <w:instrText xml:space="preserve"> FORMTEXT </w:instrText>
            </w:r>
            <w:r w:rsidRPr="00C5494E">
              <w:rPr>
                <w:szCs w:val="22"/>
              </w:rPr>
            </w:r>
            <w:r w:rsidRPr="00C5494E">
              <w:rPr>
                <w:szCs w:val="22"/>
              </w:rPr>
              <w:fldChar w:fldCharType="separate"/>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00B67A33" w:rsidRPr="00C5494E">
              <w:rPr>
                <w:noProof/>
                <w:szCs w:val="22"/>
              </w:rPr>
              <w:t> </w:t>
            </w:r>
            <w:r w:rsidRPr="00C5494E">
              <w:rPr>
                <w:szCs w:val="22"/>
              </w:rPr>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Do you have a national focal point or agency with a specific responsibility for promoting safety on the Internet for children and young people?</w:t>
            </w:r>
          </w:p>
        </w:tc>
        <w:tc>
          <w:tcPr>
            <w:tcW w:w="4959" w:type="dxa"/>
          </w:tcPr>
          <w:p w:rsidR="00F75B07" w:rsidRPr="00C5494E" w:rsidRDefault="00F75B07" w:rsidP="00F75B07">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could you provide a URL link to its website: </w:t>
            </w:r>
          </w:p>
          <w:p w:rsidR="00F75B07" w:rsidRPr="00C5494E" w:rsidRDefault="00D736C6" w:rsidP="00FB239F">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p w:rsidR="00F75B07" w:rsidRPr="00C5494E" w:rsidRDefault="00F75B07" w:rsidP="00FB239F">
            <w:pPr>
              <w:pStyle w:val="Tabletext"/>
              <w:tabs>
                <w:tab w:val="clear" w:pos="284"/>
                <w:tab w:val="left" w:pos="794"/>
                <w:tab w:val="left" w:pos="1191"/>
                <w:tab w:val="left" w:pos="1588"/>
              </w:tabs>
              <w:spacing w:before="0" w:after="0"/>
              <w:rPr>
                <w:sz w:val="16"/>
                <w:szCs w:val="16"/>
              </w:rPr>
            </w:pPr>
          </w:p>
        </w:tc>
      </w:tr>
      <w:tr w:rsidR="00F75B07" w:rsidRPr="00C5494E" w:rsidTr="00F75B07">
        <w:tc>
          <w:tcPr>
            <w:tcW w:w="720" w:type="dxa"/>
          </w:tcPr>
          <w:p w:rsidR="00F75B07" w:rsidRPr="00C5494E" w:rsidRDefault="00F75B07" w:rsidP="00F75B07">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gridSpan w:val="2"/>
          </w:tcPr>
          <w:p w:rsidR="00F75B07" w:rsidRPr="00C5494E" w:rsidRDefault="00F75B07" w:rsidP="00FB239F">
            <w:pPr>
              <w:pStyle w:val="Tabletext"/>
              <w:tabs>
                <w:tab w:val="left" w:pos="794"/>
                <w:tab w:val="left" w:pos="1191"/>
                <w:tab w:val="left" w:pos="1588"/>
              </w:tabs>
              <w:spacing w:before="0"/>
            </w:pPr>
            <w:r w:rsidRPr="00C5494E">
              <w:t>Has your country developed specific legislation to counter Spam?</w:t>
            </w:r>
          </w:p>
        </w:tc>
        <w:tc>
          <w:tcPr>
            <w:tcW w:w="4959" w:type="dxa"/>
          </w:tcPr>
          <w:p w:rsidR="00F75B07" w:rsidRPr="00C5494E" w:rsidRDefault="0034637C" w:rsidP="0034637C">
            <w:pPr>
              <w:pStyle w:val="Tabletext"/>
              <w:tabs>
                <w:tab w:val="clear" w:pos="284"/>
                <w:tab w:val="left" w:pos="794"/>
                <w:tab w:val="left" w:pos="1191"/>
                <w:tab w:val="left" w:pos="1588"/>
              </w:tabs>
              <w:spacing w:before="0" w:after="0"/>
              <w:rPr>
                <w:szCs w:val="22"/>
              </w:rPr>
            </w:pPr>
            <w:r w:rsidRPr="00C5494E">
              <w:rPr>
                <w:szCs w:val="22"/>
              </w:rPr>
              <w:t>Yes</w:t>
            </w:r>
          </w:p>
          <w:p w:rsidR="00F75B07" w:rsidRPr="00C5494E" w:rsidRDefault="00F75B07" w:rsidP="00FB239F">
            <w:pPr>
              <w:pStyle w:val="Tabletext"/>
              <w:tabs>
                <w:tab w:val="clear" w:pos="284"/>
                <w:tab w:val="left" w:pos="794"/>
                <w:tab w:val="left" w:pos="1191"/>
                <w:tab w:val="left" w:pos="1588"/>
              </w:tabs>
              <w:spacing w:before="0" w:after="0"/>
            </w:pPr>
            <w:r w:rsidRPr="00C5494E">
              <w:t xml:space="preserve">If Yes, please provide the URL link(s) where related information can be found: </w:t>
            </w:r>
          </w:p>
          <w:p w:rsidR="00F75B07" w:rsidRPr="00C5494E" w:rsidRDefault="00D736C6" w:rsidP="00F75B07">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F75B07"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bl>
    <w:p w:rsidR="00F75B07" w:rsidRPr="00C5494E" w:rsidRDefault="00F75B07" w:rsidP="00F75B07"/>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960"/>
        <w:gridCol w:w="4959"/>
      </w:tblGrid>
      <w:tr w:rsidR="0034637C" w:rsidRPr="00C5494E" w:rsidTr="0034637C">
        <w:tc>
          <w:tcPr>
            <w:tcW w:w="9639" w:type="dxa"/>
            <w:gridSpan w:val="3"/>
          </w:tcPr>
          <w:p w:rsidR="0034637C" w:rsidRPr="00C5494E" w:rsidRDefault="0034637C" w:rsidP="00FB239F">
            <w:pPr>
              <w:pStyle w:val="Tabletext"/>
              <w:tabs>
                <w:tab w:val="clear" w:pos="851"/>
                <w:tab w:val="left" w:pos="0"/>
                <w:tab w:val="left" w:pos="176"/>
                <w:tab w:val="left" w:pos="794"/>
                <w:tab w:val="left" w:pos="1191"/>
                <w:tab w:val="left" w:pos="1588"/>
              </w:tabs>
              <w:spacing w:before="0" w:after="120"/>
              <w:jc w:val="center"/>
              <w:rPr>
                <w:sz w:val="28"/>
                <w:szCs w:val="28"/>
              </w:rPr>
            </w:pPr>
            <w:r w:rsidRPr="00C5494E">
              <w:br w:type="page"/>
            </w:r>
            <w:r w:rsidRPr="00C5494E">
              <w:rPr>
                <w:sz w:val="28"/>
                <w:szCs w:val="28"/>
              </w:rPr>
              <w:t>Emergency communication</w:t>
            </w:r>
          </w:p>
        </w:tc>
      </w:tr>
      <w:tr w:rsidR="0034637C" w:rsidRPr="00C5494E" w:rsidTr="0034637C">
        <w:tc>
          <w:tcPr>
            <w:tcW w:w="720" w:type="dxa"/>
          </w:tcPr>
          <w:p w:rsidR="0034637C" w:rsidRPr="00C5494E" w:rsidRDefault="0034637C" w:rsidP="0034637C">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tcPr>
          <w:p w:rsidR="0034637C" w:rsidRPr="00C5494E" w:rsidRDefault="0034637C" w:rsidP="00FB239F">
            <w:pPr>
              <w:pStyle w:val="Tabletext"/>
              <w:tabs>
                <w:tab w:val="left" w:pos="794"/>
                <w:tab w:val="left" w:pos="1191"/>
                <w:tab w:val="left" w:pos="1588"/>
              </w:tabs>
              <w:spacing w:before="0"/>
              <w:rPr>
                <w:szCs w:val="22"/>
              </w:rPr>
            </w:pPr>
            <w:r w:rsidRPr="00C5494E">
              <w:t>Has your country adopted emergency communication related legislation / regulation?</w:t>
            </w:r>
          </w:p>
        </w:tc>
        <w:tc>
          <w:tcPr>
            <w:tcW w:w="4959" w:type="dxa"/>
            <w:vAlign w:val="center"/>
          </w:tcPr>
          <w:p w:rsidR="0034637C" w:rsidRPr="00C5494E" w:rsidRDefault="0034637C" w:rsidP="0034637C">
            <w:pPr>
              <w:pStyle w:val="Tabletext"/>
              <w:tabs>
                <w:tab w:val="clear" w:pos="284"/>
                <w:tab w:val="left" w:pos="794"/>
                <w:tab w:val="left" w:pos="1191"/>
                <w:tab w:val="left" w:pos="1588"/>
              </w:tabs>
              <w:spacing w:before="0" w:after="0"/>
              <w:rPr>
                <w:sz w:val="16"/>
                <w:szCs w:val="16"/>
              </w:rPr>
            </w:pPr>
            <w:r w:rsidRPr="00C5494E">
              <w:rPr>
                <w:szCs w:val="22"/>
              </w:rPr>
              <w:t>Yes</w:t>
            </w:r>
          </w:p>
          <w:p w:rsidR="0034637C" w:rsidRPr="00C5494E" w:rsidRDefault="0034637C" w:rsidP="00FB239F">
            <w:pPr>
              <w:pStyle w:val="Tabletext"/>
              <w:tabs>
                <w:tab w:val="clear" w:pos="284"/>
                <w:tab w:val="left" w:pos="794"/>
                <w:tab w:val="left" w:pos="1191"/>
                <w:tab w:val="left" w:pos="1588"/>
              </w:tabs>
              <w:spacing w:before="0" w:after="0"/>
            </w:pPr>
            <w:r w:rsidRPr="00C5494E">
              <w:t xml:space="preserve">If Yes, please provide the URL link(s) where related information can be found: </w:t>
            </w:r>
          </w:p>
          <w:p w:rsidR="0034637C" w:rsidRPr="00C5494E" w:rsidRDefault="00D736C6" w:rsidP="0034637C">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34637C"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bl>
    <w:p w:rsidR="00F75B07" w:rsidRPr="00C5494E" w:rsidRDefault="00F75B07" w:rsidP="00F75B07"/>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960"/>
        <w:gridCol w:w="4959"/>
      </w:tblGrid>
      <w:tr w:rsidR="0034637C" w:rsidRPr="00C5494E" w:rsidTr="0034637C">
        <w:tc>
          <w:tcPr>
            <w:tcW w:w="9639" w:type="dxa"/>
            <w:gridSpan w:val="3"/>
          </w:tcPr>
          <w:p w:rsidR="0034637C" w:rsidRPr="00C5494E" w:rsidRDefault="0034637C" w:rsidP="00FB239F">
            <w:pPr>
              <w:pStyle w:val="Tabletext"/>
              <w:tabs>
                <w:tab w:val="clear" w:pos="851"/>
                <w:tab w:val="left" w:pos="0"/>
                <w:tab w:val="left" w:pos="176"/>
                <w:tab w:val="left" w:pos="794"/>
                <w:tab w:val="left" w:pos="1191"/>
                <w:tab w:val="left" w:pos="1588"/>
              </w:tabs>
              <w:spacing w:before="0" w:after="120"/>
              <w:jc w:val="center"/>
              <w:rPr>
                <w:sz w:val="28"/>
                <w:szCs w:val="28"/>
              </w:rPr>
            </w:pPr>
            <w:r w:rsidRPr="00C5494E">
              <w:br w:type="page"/>
            </w:r>
            <w:r w:rsidRPr="00C5494E">
              <w:rPr>
                <w:sz w:val="28"/>
                <w:szCs w:val="28"/>
              </w:rPr>
              <w:t xml:space="preserve">Business use of broadband / Internet </w:t>
            </w:r>
          </w:p>
        </w:tc>
      </w:tr>
      <w:tr w:rsidR="0034637C" w:rsidRPr="00C5494E" w:rsidTr="0034637C">
        <w:tc>
          <w:tcPr>
            <w:tcW w:w="720" w:type="dxa"/>
          </w:tcPr>
          <w:p w:rsidR="0034637C" w:rsidRPr="00C5494E" w:rsidRDefault="0034637C" w:rsidP="0034637C">
            <w:pPr>
              <w:pStyle w:val="Tabletext"/>
              <w:numPr>
                <w:ilvl w:val="0"/>
                <w:numId w:val="10"/>
              </w:numPr>
              <w:tabs>
                <w:tab w:val="clear" w:pos="284"/>
                <w:tab w:val="left" w:pos="252"/>
                <w:tab w:val="left" w:pos="794"/>
                <w:tab w:val="left" w:pos="1191"/>
                <w:tab w:val="left" w:pos="1588"/>
              </w:tabs>
              <w:spacing w:before="0"/>
              <w:jc w:val="both"/>
              <w:rPr>
                <w:b/>
              </w:rPr>
            </w:pPr>
          </w:p>
        </w:tc>
        <w:tc>
          <w:tcPr>
            <w:tcW w:w="3960" w:type="dxa"/>
          </w:tcPr>
          <w:p w:rsidR="0034637C" w:rsidRPr="00C5494E" w:rsidRDefault="0034637C" w:rsidP="00FB239F">
            <w:pPr>
              <w:pStyle w:val="Tabletext"/>
              <w:tabs>
                <w:tab w:val="left" w:pos="794"/>
                <w:tab w:val="left" w:pos="1191"/>
                <w:tab w:val="left" w:pos="1588"/>
              </w:tabs>
              <w:spacing w:before="0"/>
              <w:rPr>
                <w:szCs w:val="22"/>
              </w:rPr>
            </w:pPr>
            <w:r w:rsidRPr="00C5494E">
              <w:t>Proportion of businesses using computers</w:t>
            </w:r>
          </w:p>
        </w:tc>
        <w:tc>
          <w:tcPr>
            <w:tcW w:w="4959" w:type="dxa"/>
            <w:vAlign w:val="center"/>
          </w:tcPr>
          <w:p w:rsidR="0034637C" w:rsidRPr="00C5494E" w:rsidRDefault="00D736C6" w:rsidP="0034637C">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34637C"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34637C" w:rsidRPr="00C5494E" w:rsidTr="0034637C">
        <w:tc>
          <w:tcPr>
            <w:tcW w:w="720" w:type="dxa"/>
          </w:tcPr>
          <w:p w:rsidR="0034637C" w:rsidRPr="00C5494E" w:rsidRDefault="0034637C" w:rsidP="0034637C">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34637C" w:rsidRPr="00C5494E" w:rsidRDefault="0034637C" w:rsidP="00FB239F">
            <w:pPr>
              <w:pStyle w:val="Tabletext"/>
              <w:tabs>
                <w:tab w:val="left" w:pos="794"/>
                <w:tab w:val="left" w:pos="1191"/>
                <w:tab w:val="left" w:pos="1588"/>
              </w:tabs>
              <w:spacing w:before="0"/>
            </w:pPr>
            <w:r w:rsidRPr="00C5494E">
              <w:t>Proportion of businesses using the Internet</w:t>
            </w:r>
          </w:p>
        </w:tc>
        <w:tc>
          <w:tcPr>
            <w:tcW w:w="4959" w:type="dxa"/>
            <w:vAlign w:val="center"/>
          </w:tcPr>
          <w:p w:rsidR="0034637C" w:rsidRPr="00C5494E" w:rsidRDefault="00D736C6" w:rsidP="0034637C">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34637C"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34637C" w:rsidRPr="00C5494E" w:rsidTr="0034637C">
        <w:tc>
          <w:tcPr>
            <w:tcW w:w="720" w:type="dxa"/>
          </w:tcPr>
          <w:p w:rsidR="0034637C" w:rsidRPr="00C5494E" w:rsidRDefault="0034637C" w:rsidP="0034637C">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34637C" w:rsidRPr="00C5494E" w:rsidRDefault="0034637C" w:rsidP="0034637C">
            <w:pPr>
              <w:pStyle w:val="Tabletext"/>
              <w:tabs>
                <w:tab w:val="left" w:pos="794"/>
                <w:tab w:val="left" w:pos="1191"/>
                <w:tab w:val="left" w:pos="1588"/>
              </w:tabs>
              <w:spacing w:before="0"/>
            </w:pPr>
            <w:r w:rsidRPr="00C5494E">
              <w:t>Proportion of businesses with a broadband access to the Internet:</w:t>
            </w:r>
          </w:p>
        </w:tc>
        <w:tc>
          <w:tcPr>
            <w:tcW w:w="4959" w:type="dxa"/>
            <w:vAlign w:val="center"/>
          </w:tcPr>
          <w:p w:rsidR="0034637C" w:rsidRPr="00C5494E" w:rsidRDefault="00D736C6" w:rsidP="0034637C">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34637C"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r w:rsidR="0034637C" w:rsidRPr="00C5494E" w:rsidTr="0034637C">
        <w:tc>
          <w:tcPr>
            <w:tcW w:w="720" w:type="dxa"/>
          </w:tcPr>
          <w:p w:rsidR="0034637C" w:rsidRPr="00C5494E" w:rsidRDefault="0034637C" w:rsidP="0034637C">
            <w:pPr>
              <w:pStyle w:val="Tabletext"/>
              <w:numPr>
                <w:ilvl w:val="1"/>
                <w:numId w:val="10"/>
              </w:numPr>
              <w:tabs>
                <w:tab w:val="clear" w:pos="284"/>
                <w:tab w:val="left" w:pos="252"/>
                <w:tab w:val="left" w:pos="794"/>
                <w:tab w:val="left" w:pos="1191"/>
                <w:tab w:val="left" w:pos="1588"/>
              </w:tabs>
              <w:spacing w:before="0"/>
              <w:jc w:val="both"/>
              <w:rPr>
                <w:b/>
              </w:rPr>
            </w:pPr>
          </w:p>
        </w:tc>
        <w:tc>
          <w:tcPr>
            <w:tcW w:w="3960" w:type="dxa"/>
          </w:tcPr>
          <w:p w:rsidR="0034637C" w:rsidRPr="00C5494E" w:rsidRDefault="0034637C" w:rsidP="0034637C">
            <w:pPr>
              <w:pStyle w:val="Tabletext"/>
              <w:tabs>
                <w:tab w:val="left" w:pos="794"/>
                <w:tab w:val="left" w:pos="1191"/>
                <w:tab w:val="left" w:pos="1588"/>
              </w:tabs>
              <w:spacing w:before="0"/>
            </w:pPr>
            <w:r w:rsidRPr="00C5494E">
              <w:t>Number of businesses in the country</w:t>
            </w:r>
          </w:p>
        </w:tc>
        <w:tc>
          <w:tcPr>
            <w:tcW w:w="4959" w:type="dxa"/>
            <w:vAlign w:val="center"/>
          </w:tcPr>
          <w:p w:rsidR="0034637C" w:rsidRPr="00C5494E" w:rsidRDefault="00D736C6" w:rsidP="0034637C">
            <w:pPr>
              <w:pStyle w:val="Tabletext"/>
              <w:tabs>
                <w:tab w:val="clear" w:pos="284"/>
                <w:tab w:val="left" w:pos="794"/>
                <w:tab w:val="left" w:pos="1191"/>
                <w:tab w:val="left" w:pos="1588"/>
              </w:tabs>
              <w:spacing w:before="0" w:after="0"/>
            </w:pPr>
            <w:r w:rsidRPr="00C5494E">
              <w:fldChar w:fldCharType="begin">
                <w:ffData>
                  <w:name w:val="Texto13"/>
                  <w:enabled/>
                  <w:calcOnExit w:val="0"/>
                  <w:textInput/>
                </w:ffData>
              </w:fldChar>
            </w:r>
            <w:r w:rsidR="0034637C" w:rsidRPr="00C5494E">
              <w:instrText xml:space="preserve"> FORMTEXT </w:instrText>
            </w:r>
            <w:r w:rsidRPr="00C5494E">
              <w:fldChar w:fldCharType="separate"/>
            </w:r>
            <w:r w:rsidR="00B67A33" w:rsidRPr="00C5494E">
              <w:rPr>
                <w:noProof/>
              </w:rPr>
              <w:t> </w:t>
            </w:r>
            <w:r w:rsidR="00B67A33" w:rsidRPr="00C5494E">
              <w:rPr>
                <w:noProof/>
              </w:rPr>
              <w:t> </w:t>
            </w:r>
            <w:r w:rsidR="00B67A33" w:rsidRPr="00C5494E">
              <w:rPr>
                <w:noProof/>
              </w:rPr>
              <w:t> </w:t>
            </w:r>
            <w:r w:rsidR="00B67A33" w:rsidRPr="00C5494E">
              <w:rPr>
                <w:noProof/>
              </w:rPr>
              <w:t> </w:t>
            </w:r>
            <w:r w:rsidR="00B67A33" w:rsidRPr="00C5494E">
              <w:rPr>
                <w:noProof/>
              </w:rPr>
              <w:t> </w:t>
            </w:r>
            <w:r w:rsidRPr="00C5494E">
              <w:fldChar w:fldCharType="end"/>
            </w:r>
          </w:p>
        </w:tc>
      </w:tr>
    </w:tbl>
    <w:p w:rsidR="00B77126" w:rsidRPr="00C5494E" w:rsidRDefault="00B77126" w:rsidP="00B77126">
      <w:pPr>
        <w:spacing w:before="0"/>
        <w:rPr>
          <w:color w:val="990033"/>
          <w:sz w:val="10"/>
          <w:szCs w:val="4"/>
        </w:rPr>
      </w:pPr>
      <w:bookmarkStart w:id="87" w:name="_Toc273517409"/>
      <w:bookmarkStart w:id="88" w:name="_Toc273623646"/>
      <w:r w:rsidRPr="00C5494E">
        <w:rPr>
          <w:sz w:val="6"/>
          <w:szCs w:val="4"/>
        </w:rPr>
        <w:br w:type="page"/>
      </w:r>
    </w:p>
    <w:p w:rsidR="0034637C" w:rsidRPr="00C5494E" w:rsidRDefault="005422C1" w:rsidP="005422C1">
      <w:pPr>
        <w:pStyle w:val="Heading1"/>
      </w:pPr>
      <w:r w:rsidRPr="00C5494E">
        <w:lastRenderedPageBreak/>
        <w:t>ANNEX 2: QUESTIONNAIRE ON INTERCONNECTION</w:t>
      </w:r>
      <w:bookmarkEnd w:id="87"/>
      <w:bookmarkEnd w:id="88"/>
    </w:p>
    <w:p w:rsidR="0034637C" w:rsidRPr="00C5494E" w:rsidRDefault="0034637C" w:rsidP="00F75B07"/>
    <w:p w:rsidR="005422C1" w:rsidRPr="00C5494E" w:rsidRDefault="00C5494E" w:rsidP="005422C1">
      <w:pPr>
        <w:pStyle w:val="Heading9"/>
        <w:rPr>
          <w:lang w:val="en-GB"/>
        </w:rPr>
      </w:pPr>
      <w:r>
        <w:rPr>
          <w:lang w:val="en-GB"/>
        </w:rPr>
        <w:t>Afghanistan</w:t>
      </w:r>
    </w:p>
    <w:p w:rsidR="005422C1" w:rsidRPr="00C5494E" w:rsidRDefault="005422C1" w:rsidP="005422C1"/>
    <w:tbl>
      <w:tblPr>
        <w:tblStyle w:val="TableGrid"/>
        <w:tblW w:w="9528" w:type="dxa"/>
        <w:jc w:val="center"/>
        <w:tblLook w:val="01E0"/>
      </w:tblPr>
      <w:tblGrid>
        <w:gridCol w:w="739"/>
        <w:gridCol w:w="3410"/>
        <w:gridCol w:w="1100"/>
        <w:gridCol w:w="4279"/>
      </w:tblGrid>
      <w:tr w:rsidR="005422C1" w:rsidRPr="00C5494E" w:rsidTr="005422C1">
        <w:trPr>
          <w:jc w:val="center"/>
        </w:trPr>
        <w:tc>
          <w:tcPr>
            <w:tcW w:w="739" w:type="dxa"/>
            <w:tcBorders>
              <w:top w:val="nil"/>
              <w:left w:val="nil"/>
              <w:bottom w:val="single" w:sz="4" w:space="0" w:color="auto"/>
            </w:tcBorders>
            <w:shd w:val="clear" w:color="auto" w:fill="auto"/>
          </w:tcPr>
          <w:p w:rsidR="005422C1" w:rsidRPr="00C5494E" w:rsidRDefault="005422C1" w:rsidP="00FB239F">
            <w:pPr>
              <w:rPr>
                <w:iCs/>
              </w:rPr>
            </w:pPr>
          </w:p>
        </w:tc>
        <w:tc>
          <w:tcPr>
            <w:tcW w:w="3410" w:type="dxa"/>
            <w:tcBorders>
              <w:bottom w:val="single" w:sz="4" w:space="0" w:color="auto"/>
            </w:tcBorders>
            <w:shd w:val="clear" w:color="auto" w:fill="990033"/>
          </w:tcPr>
          <w:p w:rsidR="005422C1" w:rsidRPr="00C5494E" w:rsidRDefault="005422C1" w:rsidP="005422C1">
            <w:pPr>
              <w:pStyle w:val="TableNoTitle"/>
              <w:rPr>
                <w:lang w:val="en-GB"/>
              </w:rPr>
            </w:pPr>
            <w:r w:rsidRPr="00C5494E">
              <w:rPr>
                <w:lang w:val="en-GB"/>
              </w:rPr>
              <w:t>Question</w:t>
            </w:r>
          </w:p>
        </w:tc>
        <w:tc>
          <w:tcPr>
            <w:tcW w:w="1100" w:type="dxa"/>
            <w:tcBorders>
              <w:bottom w:val="single" w:sz="4" w:space="0" w:color="auto"/>
            </w:tcBorders>
            <w:shd w:val="clear" w:color="auto" w:fill="990033"/>
          </w:tcPr>
          <w:p w:rsidR="005422C1" w:rsidRPr="00C5494E" w:rsidRDefault="005422C1" w:rsidP="005422C1">
            <w:pPr>
              <w:pStyle w:val="TableNoTitle"/>
              <w:rPr>
                <w:lang w:val="en-GB"/>
              </w:rPr>
            </w:pPr>
            <w:r w:rsidRPr="00C5494E">
              <w:rPr>
                <w:lang w:val="en-GB"/>
              </w:rPr>
              <w:t>Answer</w:t>
            </w:r>
          </w:p>
        </w:tc>
        <w:tc>
          <w:tcPr>
            <w:tcW w:w="4279" w:type="dxa"/>
            <w:tcBorders>
              <w:bottom w:val="single" w:sz="4" w:space="0" w:color="auto"/>
            </w:tcBorders>
            <w:shd w:val="clear" w:color="auto" w:fill="990033"/>
          </w:tcPr>
          <w:p w:rsidR="005422C1" w:rsidRPr="00C5494E" w:rsidRDefault="005422C1" w:rsidP="005422C1">
            <w:pPr>
              <w:pStyle w:val="TableNoTitle"/>
              <w:rPr>
                <w:lang w:val="en-GB"/>
              </w:rPr>
            </w:pPr>
            <w:r w:rsidRPr="00C5494E">
              <w:rPr>
                <w:lang w:val="en-GB"/>
              </w:rPr>
              <w:t>Remarks</w:t>
            </w: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1</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Is there interconnection </w:t>
            </w:r>
            <w:r w:rsidR="00C5494E" w:rsidRPr="00C5494E">
              <w:rPr>
                <w:color w:val="auto"/>
              </w:rPr>
              <w:t xml:space="preserve">framework </w:t>
            </w:r>
            <w:r w:rsidRPr="00C5494E">
              <w:rPr>
                <w:color w:val="auto"/>
              </w:rPr>
              <w:t xml:space="preserve">mandated by the </w:t>
            </w:r>
            <w:r w:rsidR="00C5494E" w:rsidRPr="00C5494E">
              <w:rPr>
                <w:color w:val="auto"/>
              </w:rPr>
              <w:t>regulator</w:t>
            </w:r>
            <w:r w:rsidRPr="00C5494E">
              <w:rPr>
                <w:color w:val="auto"/>
              </w:rPr>
              <w:t>?</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 xml:space="preserve">It is only for </w:t>
            </w:r>
            <w:r w:rsidR="00C5494E" w:rsidRPr="00C5494E">
              <w:rPr>
                <w:color w:val="auto"/>
              </w:rPr>
              <w:t>mobile and fixed telephony services</w:t>
            </w:r>
            <w:r w:rsidRPr="00C5494E">
              <w:rPr>
                <w:color w:val="auto"/>
              </w:rPr>
              <w:t>.</w:t>
            </w: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2</w:t>
            </w:r>
          </w:p>
        </w:tc>
        <w:tc>
          <w:tcPr>
            <w:tcW w:w="3410" w:type="dxa"/>
            <w:shd w:val="clear" w:color="auto" w:fill="EFD3D2"/>
          </w:tcPr>
          <w:p w:rsidR="005422C1" w:rsidRPr="00C5494E" w:rsidRDefault="005422C1" w:rsidP="005422C1">
            <w:pPr>
              <w:pStyle w:val="Tabletext"/>
              <w:rPr>
                <w:color w:val="auto"/>
              </w:rPr>
            </w:pPr>
            <w:r w:rsidRPr="00C5494E">
              <w:rPr>
                <w:color w:val="auto"/>
              </w:rPr>
              <w:t>Is it mandatory to publish reference interconnection offer?</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 xml:space="preserve">Only for </w:t>
            </w:r>
            <w:r w:rsidR="00C5494E" w:rsidRPr="00C5494E">
              <w:rPr>
                <w:color w:val="auto"/>
              </w:rPr>
              <w:t>mobile and fixed telephony</w:t>
            </w:r>
            <w:r w:rsidRPr="00C5494E">
              <w:rPr>
                <w:color w:val="auto"/>
              </w:rPr>
              <w:t>.</w:t>
            </w: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3</w:t>
            </w:r>
          </w:p>
        </w:tc>
        <w:tc>
          <w:tcPr>
            <w:tcW w:w="3410" w:type="dxa"/>
            <w:shd w:val="clear" w:color="auto" w:fill="EFD3D2"/>
          </w:tcPr>
          <w:p w:rsidR="005422C1" w:rsidRPr="00C5494E" w:rsidRDefault="005422C1" w:rsidP="005422C1">
            <w:pPr>
              <w:pStyle w:val="Tabletext"/>
              <w:rPr>
                <w:color w:val="auto"/>
              </w:rPr>
            </w:pPr>
            <w:r w:rsidRPr="00C5494E">
              <w:rPr>
                <w:color w:val="auto"/>
              </w:rPr>
              <w:t>Is there specific time frame for seeking access to leased lines/ E1 circuits?</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 xml:space="preserve">According to </w:t>
            </w:r>
            <w:r w:rsidR="00C5494E" w:rsidRPr="00C5494E">
              <w:rPr>
                <w:color w:val="auto"/>
              </w:rPr>
              <w:t>telecom law</w:t>
            </w:r>
            <w:r w:rsidRPr="00C5494E">
              <w:rPr>
                <w:color w:val="auto"/>
              </w:rPr>
              <w:t xml:space="preserve">, only SMP </w:t>
            </w:r>
            <w:r w:rsidR="00C5494E" w:rsidRPr="00C5494E">
              <w:rPr>
                <w:color w:val="auto"/>
              </w:rPr>
              <w:t xml:space="preserve">operators' </w:t>
            </w:r>
            <w:r w:rsidRPr="00C5494E">
              <w:rPr>
                <w:color w:val="auto"/>
              </w:rPr>
              <w:t>prices should be regulated.</w:t>
            </w: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4</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Is the price of backhaul regulated?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 xml:space="preserve">According to </w:t>
            </w:r>
            <w:r w:rsidR="00C5494E" w:rsidRPr="00C5494E">
              <w:rPr>
                <w:color w:val="auto"/>
              </w:rPr>
              <w:t>telecom law</w:t>
            </w:r>
            <w:r w:rsidRPr="00C5494E">
              <w:rPr>
                <w:color w:val="auto"/>
              </w:rPr>
              <w:t>, only SMP operators' prices should be regulated.</w:t>
            </w: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5</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Price for 2Mbps leased circuit </w:t>
            </w:r>
            <w:r w:rsidRPr="00C5494E">
              <w:rPr>
                <w:color w:val="auto"/>
              </w:rPr>
              <w:br/>
              <w:t xml:space="preserve">(USD) </w:t>
            </w:r>
          </w:p>
        </w:tc>
        <w:tc>
          <w:tcPr>
            <w:tcW w:w="5379" w:type="dxa"/>
            <w:gridSpan w:val="2"/>
            <w:shd w:val="clear" w:color="auto" w:fill="EFD3D2"/>
          </w:tcPr>
          <w:p w:rsidR="005422C1" w:rsidRPr="00C5494E" w:rsidRDefault="005422C1" w:rsidP="005422C1">
            <w:pPr>
              <w:pStyle w:val="Tabletext"/>
              <w:rPr>
                <w:color w:val="auto"/>
              </w:rPr>
            </w:pPr>
            <w:r w:rsidRPr="00C5494E">
              <w:rPr>
                <w:color w:val="auto"/>
              </w:rPr>
              <w:t>For dedicated 1 Mbps the companies charge the customer USD 5000, and for one Mbps in shared case charges USD 1500.</w:t>
            </w: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6</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Access to international gateway is allowed to access seekers?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w:t>
            </w:r>
          </w:p>
        </w:tc>
        <w:tc>
          <w:tcPr>
            <w:tcW w:w="4279" w:type="dxa"/>
            <w:shd w:val="clear" w:color="auto" w:fill="EFD3D2"/>
            <w:vAlign w:val="center"/>
          </w:tcPr>
          <w:p w:rsidR="005422C1" w:rsidRPr="00C5494E" w:rsidRDefault="005422C1" w:rsidP="000F4A58">
            <w:pPr>
              <w:pStyle w:val="Tabletext"/>
              <w:rPr>
                <w:color w:val="auto"/>
              </w:rPr>
            </w:pPr>
            <w:r w:rsidRPr="00C5494E">
              <w:rPr>
                <w:color w:val="auto"/>
              </w:rPr>
              <w:t>Only ISPs with licen</w:t>
            </w:r>
            <w:r w:rsidR="000F4A58" w:rsidRPr="00C5494E">
              <w:rPr>
                <w:color w:val="auto"/>
              </w:rPr>
              <w:t>c</w:t>
            </w:r>
            <w:r w:rsidRPr="00C5494E">
              <w:rPr>
                <w:color w:val="auto"/>
              </w:rPr>
              <w:t xml:space="preserve">e have access to </w:t>
            </w:r>
            <w:r w:rsidR="00C5494E" w:rsidRPr="00C5494E">
              <w:rPr>
                <w:color w:val="auto"/>
              </w:rPr>
              <w:t>international gateway</w:t>
            </w:r>
            <w:r w:rsidRPr="00C5494E">
              <w:rPr>
                <w:color w:val="auto"/>
              </w:rPr>
              <w:t xml:space="preserve"> to access seekers.</w:t>
            </w: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7</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VOIP termination rates mandated?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VoIP is not allowed.</w:t>
            </w: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8</w:t>
            </w:r>
          </w:p>
        </w:tc>
        <w:tc>
          <w:tcPr>
            <w:tcW w:w="3410" w:type="dxa"/>
            <w:shd w:val="clear" w:color="auto" w:fill="EFD3D2"/>
          </w:tcPr>
          <w:p w:rsidR="005422C1" w:rsidRPr="00C5494E" w:rsidRDefault="005422C1" w:rsidP="005422C1">
            <w:pPr>
              <w:pStyle w:val="Tabletext"/>
              <w:rPr>
                <w:color w:val="auto"/>
              </w:rPr>
            </w:pPr>
            <w:r w:rsidRPr="00C5494E">
              <w:rPr>
                <w:color w:val="auto"/>
              </w:rPr>
              <w:t>Is VOIP interconnection with PSTN/PLMN permitted?</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9</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Is the price for collocation mandated?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Only collocation is mandated.</w:t>
            </w: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10</w:t>
            </w:r>
          </w:p>
        </w:tc>
        <w:tc>
          <w:tcPr>
            <w:tcW w:w="3410" w:type="dxa"/>
            <w:shd w:val="clear" w:color="auto" w:fill="EFD3D2"/>
          </w:tcPr>
          <w:p w:rsidR="005422C1" w:rsidRPr="00C5494E" w:rsidRDefault="005422C1" w:rsidP="005422C1">
            <w:pPr>
              <w:pStyle w:val="Tabletext"/>
              <w:rPr>
                <w:color w:val="auto"/>
              </w:rPr>
            </w:pPr>
            <w:r w:rsidRPr="00C5494E">
              <w:rPr>
                <w:color w:val="auto"/>
              </w:rPr>
              <w:t>Is price for 3G termination mandated? Is it different than 2G termination rates?</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vAlign w:val="center"/>
          </w:tcPr>
          <w:p w:rsidR="005422C1" w:rsidRPr="00C5494E" w:rsidRDefault="005422C1" w:rsidP="00834B63">
            <w:pPr>
              <w:pStyle w:val="Tabletext"/>
              <w:rPr>
                <w:color w:val="auto"/>
              </w:rPr>
            </w:pPr>
            <w:r w:rsidRPr="00C5494E">
              <w:rPr>
                <w:color w:val="auto"/>
              </w:rPr>
              <w:t>3G is not yet issued. It is under planning process , it will be great that if we directly shift our system to 3.5 G rather th</w:t>
            </w:r>
            <w:r w:rsidR="00834B63">
              <w:rPr>
                <w:color w:val="auto"/>
              </w:rPr>
              <w:t>a</w:t>
            </w:r>
            <w:r w:rsidRPr="00C5494E">
              <w:rPr>
                <w:color w:val="auto"/>
              </w:rPr>
              <w:t>n 3 G.</w:t>
            </w:r>
          </w:p>
        </w:tc>
      </w:tr>
      <w:tr w:rsidR="005422C1" w:rsidRPr="00C5494E" w:rsidTr="005422C1">
        <w:trPr>
          <w:jc w:val="center"/>
        </w:trPr>
        <w:tc>
          <w:tcPr>
            <w:tcW w:w="739" w:type="dxa"/>
            <w:vMerge w:val="restart"/>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11</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Mandated </w:t>
            </w:r>
            <w:r w:rsidR="00C5494E" w:rsidRPr="00C5494E">
              <w:rPr>
                <w:color w:val="auto"/>
              </w:rPr>
              <w:t xml:space="preserve">termination rates by regulator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(USD)</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5422C1">
        <w:trPr>
          <w:jc w:val="center"/>
        </w:trPr>
        <w:tc>
          <w:tcPr>
            <w:tcW w:w="739" w:type="dxa"/>
            <w:vMerge/>
            <w:shd w:val="clear" w:color="auto" w:fill="990033"/>
          </w:tcPr>
          <w:p w:rsidR="005422C1" w:rsidRPr="00C5494E" w:rsidRDefault="005422C1" w:rsidP="005422C1">
            <w:pPr>
              <w:pStyle w:val="Tablehead"/>
              <w:rPr>
                <w:color w:val="FFFFFF" w:themeColor="background1"/>
                <w:lang w:val="en-GB"/>
              </w:rPr>
            </w:pPr>
          </w:p>
        </w:tc>
        <w:tc>
          <w:tcPr>
            <w:tcW w:w="3410" w:type="dxa"/>
            <w:shd w:val="clear" w:color="auto" w:fill="EFD3D2"/>
          </w:tcPr>
          <w:p w:rsidR="005422C1" w:rsidRPr="00C5494E" w:rsidRDefault="005422C1" w:rsidP="005422C1">
            <w:pPr>
              <w:pStyle w:val="Tabletext"/>
              <w:rPr>
                <w:color w:val="auto"/>
              </w:rPr>
            </w:pPr>
            <w:r w:rsidRPr="00C5494E">
              <w:rPr>
                <w:color w:val="auto"/>
              </w:rPr>
              <w:tab/>
              <w:t>a) Mobile</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2.6 cents</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5422C1">
        <w:trPr>
          <w:jc w:val="center"/>
        </w:trPr>
        <w:tc>
          <w:tcPr>
            <w:tcW w:w="739" w:type="dxa"/>
            <w:vMerge/>
            <w:shd w:val="clear" w:color="auto" w:fill="990033"/>
          </w:tcPr>
          <w:p w:rsidR="005422C1" w:rsidRPr="00C5494E" w:rsidRDefault="005422C1" w:rsidP="005422C1">
            <w:pPr>
              <w:pStyle w:val="Tablehead"/>
              <w:rPr>
                <w:color w:val="FFFFFF" w:themeColor="background1"/>
                <w:lang w:val="en-GB"/>
              </w:rPr>
            </w:pPr>
          </w:p>
        </w:tc>
        <w:tc>
          <w:tcPr>
            <w:tcW w:w="3410" w:type="dxa"/>
            <w:shd w:val="clear" w:color="auto" w:fill="EFD3D2"/>
          </w:tcPr>
          <w:p w:rsidR="005422C1" w:rsidRPr="00C5494E" w:rsidRDefault="005422C1" w:rsidP="005422C1">
            <w:pPr>
              <w:pStyle w:val="Tabletext"/>
              <w:rPr>
                <w:color w:val="auto"/>
              </w:rPr>
            </w:pPr>
            <w:r w:rsidRPr="00C5494E">
              <w:rPr>
                <w:color w:val="auto"/>
              </w:rPr>
              <w:tab/>
              <w:t xml:space="preserve">b) Fixed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2.6 cents</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12</w:t>
            </w:r>
          </w:p>
        </w:tc>
        <w:tc>
          <w:tcPr>
            <w:tcW w:w="3410" w:type="dxa"/>
            <w:shd w:val="clear" w:color="auto" w:fill="EFD3D2"/>
          </w:tcPr>
          <w:p w:rsidR="005422C1" w:rsidRPr="00C5494E" w:rsidRDefault="005422C1" w:rsidP="005422C1">
            <w:pPr>
              <w:pStyle w:val="Tabletext"/>
              <w:rPr>
                <w:color w:val="auto"/>
              </w:rPr>
            </w:pPr>
            <w:r w:rsidRPr="00C5494E">
              <w:rPr>
                <w:color w:val="auto"/>
              </w:rPr>
              <w:t>Price of 1MB data download using speeds higher than 256 kbps on mobile devices</w:t>
            </w:r>
          </w:p>
        </w:tc>
        <w:tc>
          <w:tcPr>
            <w:tcW w:w="1100" w:type="dxa"/>
            <w:shd w:val="clear" w:color="auto" w:fill="EFD3D2"/>
            <w:vAlign w:val="center"/>
          </w:tcPr>
          <w:p w:rsidR="005422C1" w:rsidRPr="00C5494E" w:rsidRDefault="005422C1" w:rsidP="005422C1">
            <w:pPr>
              <w:pStyle w:val="Tabletext"/>
              <w:jc w:val="center"/>
              <w:rPr>
                <w:color w:val="auto"/>
              </w:rPr>
            </w:pP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 xml:space="preserve">Only GRPS is used in Afghanistan, 256 Kbps not available in </w:t>
            </w:r>
            <w:r w:rsidR="00C5494E" w:rsidRPr="00C5494E">
              <w:rPr>
                <w:color w:val="auto"/>
              </w:rPr>
              <w:t xml:space="preserve">mobility </w:t>
            </w:r>
            <w:r w:rsidRPr="00C5494E">
              <w:rPr>
                <w:color w:val="auto"/>
              </w:rPr>
              <w:t>case.</w:t>
            </w: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13</w:t>
            </w:r>
          </w:p>
        </w:tc>
        <w:tc>
          <w:tcPr>
            <w:tcW w:w="3410" w:type="dxa"/>
            <w:shd w:val="clear" w:color="auto" w:fill="EFD3D2"/>
          </w:tcPr>
          <w:p w:rsidR="005422C1" w:rsidRPr="00C5494E" w:rsidRDefault="005422C1" w:rsidP="005422C1">
            <w:pPr>
              <w:pStyle w:val="Tabletext"/>
              <w:rPr>
                <w:color w:val="auto"/>
              </w:rPr>
            </w:pPr>
            <w:r w:rsidRPr="00C5494E">
              <w:rPr>
                <w:color w:val="auto"/>
              </w:rPr>
              <w:t>Price for connection service (connecting to International portion of leased circuit)</w:t>
            </w:r>
          </w:p>
        </w:tc>
        <w:tc>
          <w:tcPr>
            <w:tcW w:w="1100" w:type="dxa"/>
            <w:shd w:val="clear" w:color="auto" w:fill="EFD3D2"/>
            <w:vAlign w:val="center"/>
          </w:tcPr>
          <w:p w:rsidR="005422C1" w:rsidRPr="00C5494E" w:rsidRDefault="005422C1" w:rsidP="005422C1">
            <w:pPr>
              <w:pStyle w:val="Tabletext"/>
              <w:rPr>
                <w:color w:val="auto"/>
              </w:rPr>
            </w:pP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5422C1">
        <w:trPr>
          <w:jc w:val="center"/>
        </w:trPr>
        <w:tc>
          <w:tcPr>
            <w:tcW w:w="739" w:type="dxa"/>
            <w:shd w:val="clear" w:color="auto" w:fill="990033"/>
          </w:tcPr>
          <w:p w:rsidR="005422C1" w:rsidRPr="00C5494E" w:rsidRDefault="005422C1" w:rsidP="005422C1">
            <w:pPr>
              <w:pStyle w:val="Tablehead"/>
              <w:rPr>
                <w:color w:val="FFFFFF" w:themeColor="background1"/>
                <w:lang w:val="en-GB"/>
              </w:rPr>
            </w:pPr>
            <w:r w:rsidRPr="00C5494E">
              <w:rPr>
                <w:color w:val="FFFFFF" w:themeColor="background1"/>
                <w:lang w:val="en-GB"/>
              </w:rPr>
              <w:t>14</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Price for 2Mbps DSL </w:t>
            </w:r>
            <w:r w:rsidR="00C5494E" w:rsidRPr="00C5494E">
              <w:rPr>
                <w:color w:val="auto"/>
              </w:rPr>
              <w:t xml:space="preserve">connection </w:t>
            </w:r>
            <w:r w:rsidRPr="00C5494E">
              <w:rPr>
                <w:color w:val="auto"/>
              </w:rPr>
              <w:t>per month</w:t>
            </w:r>
          </w:p>
        </w:tc>
        <w:tc>
          <w:tcPr>
            <w:tcW w:w="1100" w:type="dxa"/>
            <w:shd w:val="clear" w:color="auto" w:fill="EFD3D2"/>
            <w:vAlign w:val="center"/>
          </w:tcPr>
          <w:p w:rsidR="005422C1" w:rsidRPr="00C5494E" w:rsidRDefault="005422C1" w:rsidP="005422C1">
            <w:pPr>
              <w:pStyle w:val="Tabletext"/>
              <w:rPr>
                <w:color w:val="auto"/>
              </w:rPr>
            </w:pP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No DSL services available.</w:t>
            </w:r>
          </w:p>
        </w:tc>
      </w:tr>
    </w:tbl>
    <w:p w:rsidR="005422C1" w:rsidRPr="00C5494E" w:rsidRDefault="005422C1" w:rsidP="00F75B07"/>
    <w:p w:rsidR="005422C1" w:rsidRPr="00C5494E" w:rsidRDefault="005422C1">
      <w:pPr>
        <w:tabs>
          <w:tab w:val="clear" w:pos="794"/>
          <w:tab w:val="clear" w:pos="1191"/>
          <w:tab w:val="clear" w:pos="1588"/>
          <w:tab w:val="clear" w:pos="1985"/>
        </w:tabs>
        <w:overflowPunct/>
        <w:autoSpaceDE/>
        <w:autoSpaceDN/>
        <w:adjustRightInd/>
        <w:spacing w:before="0"/>
        <w:jc w:val="left"/>
        <w:textAlignment w:val="auto"/>
      </w:pPr>
      <w:r w:rsidRPr="00C5494E">
        <w:br w:type="page"/>
      </w:r>
    </w:p>
    <w:p w:rsidR="005422C1" w:rsidRPr="00C5494E" w:rsidRDefault="005422C1" w:rsidP="005422C1">
      <w:pPr>
        <w:pStyle w:val="Heading9"/>
        <w:rPr>
          <w:lang w:val="en-GB"/>
        </w:rPr>
      </w:pPr>
      <w:r w:rsidRPr="00C5494E">
        <w:rPr>
          <w:iCs/>
          <w:lang w:val="en-GB"/>
        </w:rPr>
        <w:lastRenderedPageBreak/>
        <w:t>Bangladesh</w:t>
      </w:r>
    </w:p>
    <w:p w:rsidR="005422C1" w:rsidRPr="00C5494E" w:rsidRDefault="005422C1" w:rsidP="005422C1">
      <w:pPr>
        <w:spacing w:before="0"/>
      </w:pPr>
    </w:p>
    <w:tbl>
      <w:tblPr>
        <w:tblStyle w:val="TableGrid"/>
        <w:tblW w:w="9528" w:type="dxa"/>
        <w:jc w:val="center"/>
        <w:tblLook w:val="01E0"/>
      </w:tblPr>
      <w:tblGrid>
        <w:gridCol w:w="739"/>
        <w:gridCol w:w="3410"/>
        <w:gridCol w:w="1100"/>
        <w:gridCol w:w="4279"/>
      </w:tblGrid>
      <w:tr w:rsidR="005422C1" w:rsidRPr="00C5494E" w:rsidTr="00FB239F">
        <w:trPr>
          <w:jc w:val="center"/>
        </w:trPr>
        <w:tc>
          <w:tcPr>
            <w:tcW w:w="739" w:type="dxa"/>
            <w:tcBorders>
              <w:top w:val="nil"/>
              <w:left w:val="nil"/>
              <w:bottom w:val="single" w:sz="4" w:space="0" w:color="auto"/>
            </w:tcBorders>
            <w:shd w:val="clear" w:color="auto" w:fill="auto"/>
          </w:tcPr>
          <w:p w:rsidR="005422C1" w:rsidRPr="00C5494E" w:rsidRDefault="005422C1" w:rsidP="00FB239F">
            <w:pPr>
              <w:rPr>
                <w:b/>
                <w:bCs/>
                <w:iCs/>
              </w:rPr>
            </w:pPr>
          </w:p>
        </w:tc>
        <w:tc>
          <w:tcPr>
            <w:tcW w:w="3410" w:type="dxa"/>
            <w:tcBorders>
              <w:bottom w:val="single" w:sz="4" w:space="0" w:color="auto"/>
            </w:tcBorders>
            <w:shd w:val="clear" w:color="auto" w:fill="990033"/>
          </w:tcPr>
          <w:p w:rsidR="005422C1" w:rsidRPr="00C5494E" w:rsidRDefault="005422C1" w:rsidP="00FB239F">
            <w:pPr>
              <w:pStyle w:val="TableNoTitle"/>
              <w:rPr>
                <w:lang w:val="en-GB"/>
              </w:rPr>
            </w:pPr>
            <w:r w:rsidRPr="00C5494E">
              <w:rPr>
                <w:lang w:val="en-GB"/>
              </w:rPr>
              <w:t>Question</w:t>
            </w:r>
          </w:p>
        </w:tc>
        <w:tc>
          <w:tcPr>
            <w:tcW w:w="1100" w:type="dxa"/>
            <w:tcBorders>
              <w:bottom w:val="single" w:sz="4" w:space="0" w:color="auto"/>
            </w:tcBorders>
            <w:shd w:val="clear" w:color="auto" w:fill="990033"/>
          </w:tcPr>
          <w:p w:rsidR="005422C1" w:rsidRPr="00C5494E" w:rsidRDefault="005422C1" w:rsidP="00FB239F">
            <w:pPr>
              <w:pStyle w:val="TableNoTitle"/>
              <w:rPr>
                <w:lang w:val="en-GB"/>
              </w:rPr>
            </w:pPr>
            <w:r w:rsidRPr="00C5494E">
              <w:rPr>
                <w:lang w:val="en-GB"/>
              </w:rPr>
              <w:t>Answer</w:t>
            </w:r>
          </w:p>
        </w:tc>
        <w:tc>
          <w:tcPr>
            <w:tcW w:w="4279" w:type="dxa"/>
            <w:tcBorders>
              <w:bottom w:val="single" w:sz="4" w:space="0" w:color="auto"/>
            </w:tcBorders>
            <w:shd w:val="clear" w:color="auto" w:fill="990033"/>
          </w:tcPr>
          <w:p w:rsidR="005422C1" w:rsidRPr="00C5494E" w:rsidRDefault="005422C1" w:rsidP="00FB239F">
            <w:pPr>
              <w:pStyle w:val="TableNoTitle"/>
              <w:rPr>
                <w:lang w:val="en-GB"/>
              </w:rPr>
            </w:pPr>
            <w:r w:rsidRPr="00C5494E">
              <w:rPr>
                <w:lang w:val="en-GB"/>
              </w:rPr>
              <w:t>Remarks</w:t>
            </w:r>
          </w:p>
        </w:tc>
      </w:tr>
      <w:tr w:rsidR="005422C1" w:rsidRPr="00C5494E" w:rsidTr="00FB239F">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1</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Is there interconnection </w:t>
            </w:r>
            <w:r w:rsidR="00C5494E" w:rsidRPr="00C5494E">
              <w:rPr>
                <w:color w:val="auto"/>
              </w:rPr>
              <w:t>framework mandated by the regulator</w:t>
            </w:r>
            <w:r w:rsidRPr="00C5494E">
              <w:rPr>
                <w:color w:val="auto"/>
              </w:rPr>
              <w:t>?</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NIX Guidelines is under formulation. Many ISPs are voluntarily interconnected by the NIX, but it is not mandatory.</w:t>
            </w:r>
          </w:p>
        </w:tc>
      </w:tr>
      <w:tr w:rsidR="005422C1" w:rsidRPr="00C5494E" w:rsidTr="00FB239F">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2</w:t>
            </w:r>
          </w:p>
        </w:tc>
        <w:tc>
          <w:tcPr>
            <w:tcW w:w="3410" w:type="dxa"/>
            <w:shd w:val="clear" w:color="auto" w:fill="EFD3D2"/>
          </w:tcPr>
          <w:p w:rsidR="005422C1" w:rsidRPr="00C5494E" w:rsidRDefault="005422C1" w:rsidP="005422C1">
            <w:pPr>
              <w:pStyle w:val="Tabletext"/>
              <w:rPr>
                <w:color w:val="auto"/>
              </w:rPr>
            </w:pPr>
            <w:r w:rsidRPr="00C5494E">
              <w:rPr>
                <w:color w:val="auto"/>
              </w:rPr>
              <w:t>Is it mandatory to publish reference interconnection offer?</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FB239F">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3</w:t>
            </w:r>
          </w:p>
        </w:tc>
        <w:tc>
          <w:tcPr>
            <w:tcW w:w="3410" w:type="dxa"/>
            <w:shd w:val="clear" w:color="auto" w:fill="EFD3D2"/>
          </w:tcPr>
          <w:p w:rsidR="005422C1" w:rsidRPr="00C5494E" w:rsidRDefault="005422C1" w:rsidP="005422C1">
            <w:pPr>
              <w:pStyle w:val="Tabletext"/>
              <w:rPr>
                <w:color w:val="auto"/>
              </w:rPr>
            </w:pPr>
            <w:r w:rsidRPr="00C5494E">
              <w:rPr>
                <w:color w:val="auto"/>
              </w:rPr>
              <w:t>Is there specific time frame for seeking access to leased lines/ E1 circuits?</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But the concerned and eligible party may seek the intervention of the regulator for obtaining connection/access.</w:t>
            </w:r>
          </w:p>
        </w:tc>
      </w:tr>
      <w:tr w:rsidR="005422C1" w:rsidRPr="00C5494E" w:rsidTr="00FB239F">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4</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Is the price of backhaul regulated?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DA1546">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5</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Price for 2Mbps leased circuit </w:t>
            </w:r>
          </w:p>
          <w:p w:rsidR="005422C1" w:rsidRPr="00C5494E" w:rsidRDefault="005422C1" w:rsidP="005422C1">
            <w:pPr>
              <w:pStyle w:val="Tabletext"/>
              <w:rPr>
                <w:color w:val="auto"/>
              </w:rPr>
            </w:pPr>
            <w:r w:rsidRPr="00C5494E">
              <w:rPr>
                <w:color w:val="auto"/>
              </w:rPr>
              <w:t xml:space="preserve">(USD) </w:t>
            </w:r>
          </w:p>
        </w:tc>
        <w:tc>
          <w:tcPr>
            <w:tcW w:w="5379" w:type="dxa"/>
            <w:gridSpan w:val="2"/>
            <w:shd w:val="clear" w:color="auto" w:fill="EFD3D2"/>
            <w:vAlign w:val="center"/>
          </w:tcPr>
          <w:p w:rsidR="005422C1" w:rsidRPr="00C5494E" w:rsidRDefault="005422C1" w:rsidP="005422C1">
            <w:pPr>
              <w:pStyle w:val="Tabletext"/>
              <w:rPr>
                <w:color w:val="auto"/>
              </w:rPr>
            </w:pPr>
            <w:r w:rsidRPr="00C5494E">
              <w:rPr>
                <w:color w:val="auto"/>
              </w:rPr>
              <w:t>As per the directives issued by BTRC, The maximum price for 1 Mbps leased internet bandwidth is USD 258 (duplex). The IIG operators are offering the same rate.</w:t>
            </w:r>
          </w:p>
        </w:tc>
      </w:tr>
      <w:tr w:rsidR="005422C1" w:rsidRPr="00C5494E" w:rsidTr="00DA1546">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6</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Access to international gateway is allowed to access seekers?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Not for all</w:t>
            </w:r>
          </w:p>
        </w:tc>
        <w:tc>
          <w:tcPr>
            <w:tcW w:w="4279" w:type="dxa"/>
            <w:shd w:val="clear" w:color="auto" w:fill="EFD3D2"/>
          </w:tcPr>
          <w:p w:rsidR="005422C1" w:rsidRPr="00C5494E" w:rsidRDefault="005422C1" w:rsidP="005422C1">
            <w:pPr>
              <w:pStyle w:val="Tabletext"/>
              <w:rPr>
                <w:color w:val="auto"/>
              </w:rPr>
            </w:pPr>
            <w:r w:rsidRPr="00C5494E">
              <w:rPr>
                <w:color w:val="auto"/>
              </w:rPr>
              <w:t xml:space="preserve">Access to international gateway is allowed to access seekers? </w:t>
            </w:r>
          </w:p>
        </w:tc>
      </w:tr>
      <w:tr w:rsidR="005422C1" w:rsidRPr="00C5494E" w:rsidTr="00DA1546">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7</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VOIP termination rates mandated?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 (inter-national)</w:t>
            </w:r>
          </w:p>
        </w:tc>
        <w:tc>
          <w:tcPr>
            <w:tcW w:w="4279" w:type="dxa"/>
            <w:shd w:val="clear" w:color="auto" w:fill="EFD3D2"/>
          </w:tcPr>
          <w:p w:rsidR="005422C1" w:rsidRPr="00C5494E" w:rsidRDefault="005422C1" w:rsidP="005422C1">
            <w:pPr>
              <w:pStyle w:val="Tabletext"/>
              <w:rPr>
                <w:color w:val="auto"/>
              </w:rPr>
            </w:pPr>
            <w:r w:rsidRPr="00C5494E">
              <w:rPr>
                <w:color w:val="auto"/>
              </w:rPr>
              <w:t xml:space="preserve">VOIP termination rates mandated? </w:t>
            </w:r>
          </w:p>
        </w:tc>
      </w:tr>
      <w:tr w:rsidR="005422C1" w:rsidRPr="00C5494E" w:rsidTr="00DA1546">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8</w:t>
            </w:r>
          </w:p>
        </w:tc>
        <w:tc>
          <w:tcPr>
            <w:tcW w:w="3410" w:type="dxa"/>
            <w:shd w:val="clear" w:color="auto" w:fill="EFD3D2"/>
          </w:tcPr>
          <w:p w:rsidR="005422C1" w:rsidRPr="00C5494E" w:rsidRDefault="005422C1" w:rsidP="005422C1">
            <w:pPr>
              <w:pStyle w:val="Tabletext"/>
              <w:rPr>
                <w:color w:val="auto"/>
              </w:rPr>
            </w:pPr>
            <w:r w:rsidRPr="00C5494E">
              <w:rPr>
                <w:color w:val="auto"/>
              </w:rPr>
              <w:t>Is VOIP interconnection with PSTN/PLMN permitted?</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w:t>
            </w:r>
          </w:p>
        </w:tc>
        <w:tc>
          <w:tcPr>
            <w:tcW w:w="4279" w:type="dxa"/>
            <w:shd w:val="clear" w:color="auto" w:fill="EFD3D2"/>
          </w:tcPr>
          <w:p w:rsidR="005422C1" w:rsidRPr="00C5494E" w:rsidRDefault="005422C1" w:rsidP="005422C1">
            <w:pPr>
              <w:pStyle w:val="Tabletext"/>
              <w:rPr>
                <w:color w:val="auto"/>
              </w:rPr>
            </w:pPr>
            <w:r w:rsidRPr="00C5494E">
              <w:rPr>
                <w:color w:val="auto"/>
              </w:rPr>
              <w:t>Is VOIP interconnection with PSTN/PLMN permitted?</w:t>
            </w:r>
          </w:p>
        </w:tc>
      </w:tr>
      <w:tr w:rsidR="005422C1" w:rsidRPr="00C5494E" w:rsidTr="00DA1546">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9</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Is the price for collocation mandated?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tcPr>
          <w:p w:rsidR="005422C1" w:rsidRPr="00C5494E" w:rsidRDefault="005422C1" w:rsidP="005422C1">
            <w:pPr>
              <w:pStyle w:val="Tabletext"/>
              <w:rPr>
                <w:color w:val="auto"/>
              </w:rPr>
            </w:pPr>
            <w:r w:rsidRPr="00C5494E">
              <w:rPr>
                <w:color w:val="auto"/>
              </w:rPr>
              <w:t xml:space="preserve">Is the price for collocation mandated? </w:t>
            </w:r>
          </w:p>
        </w:tc>
      </w:tr>
      <w:tr w:rsidR="005422C1" w:rsidRPr="00C5494E" w:rsidTr="00DA1546">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10</w:t>
            </w:r>
          </w:p>
        </w:tc>
        <w:tc>
          <w:tcPr>
            <w:tcW w:w="3410" w:type="dxa"/>
            <w:shd w:val="clear" w:color="auto" w:fill="EFD3D2"/>
          </w:tcPr>
          <w:p w:rsidR="005422C1" w:rsidRPr="00C5494E" w:rsidRDefault="005422C1" w:rsidP="005422C1">
            <w:pPr>
              <w:pStyle w:val="Tabletext"/>
              <w:tabs>
                <w:tab w:val="clear" w:pos="3119"/>
              </w:tabs>
              <w:ind w:right="-157"/>
              <w:rPr>
                <w:color w:val="auto"/>
              </w:rPr>
            </w:pPr>
            <w:r w:rsidRPr="00C5494E">
              <w:rPr>
                <w:color w:val="auto"/>
              </w:rPr>
              <w:t>Is price for 3G termination mandated? Is it different than 2G termination rates?</w:t>
            </w:r>
          </w:p>
        </w:tc>
        <w:tc>
          <w:tcPr>
            <w:tcW w:w="1100" w:type="dxa"/>
            <w:shd w:val="clear" w:color="auto" w:fill="EFD3D2"/>
            <w:vAlign w:val="center"/>
          </w:tcPr>
          <w:p w:rsidR="005422C1" w:rsidRPr="00C5494E" w:rsidRDefault="005422C1" w:rsidP="005422C1">
            <w:pPr>
              <w:pStyle w:val="Tabletext"/>
              <w:jc w:val="center"/>
              <w:rPr>
                <w:color w:val="auto"/>
              </w:rPr>
            </w:pPr>
          </w:p>
        </w:tc>
        <w:tc>
          <w:tcPr>
            <w:tcW w:w="4279" w:type="dxa"/>
            <w:shd w:val="clear" w:color="auto" w:fill="EFD3D2"/>
          </w:tcPr>
          <w:p w:rsidR="005422C1" w:rsidRPr="00C5494E" w:rsidRDefault="005422C1" w:rsidP="005422C1">
            <w:pPr>
              <w:pStyle w:val="Tabletext"/>
              <w:rPr>
                <w:color w:val="auto"/>
              </w:rPr>
            </w:pPr>
            <w:r w:rsidRPr="00C5494E">
              <w:rPr>
                <w:color w:val="auto"/>
              </w:rPr>
              <w:t>Is price for 3G termination mandated? Is it different than 2G termination rates?</w:t>
            </w:r>
          </w:p>
        </w:tc>
      </w:tr>
      <w:tr w:rsidR="005422C1" w:rsidRPr="00C5494E" w:rsidTr="00FB239F">
        <w:trPr>
          <w:jc w:val="center"/>
        </w:trPr>
        <w:tc>
          <w:tcPr>
            <w:tcW w:w="739" w:type="dxa"/>
            <w:vMerge w:val="restart"/>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11</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Mandated </w:t>
            </w:r>
            <w:r w:rsidR="00C5494E" w:rsidRPr="00C5494E">
              <w:rPr>
                <w:color w:val="auto"/>
              </w:rPr>
              <w:t xml:space="preserve">termination rates by regulator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(USD)</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FB239F">
        <w:trPr>
          <w:jc w:val="center"/>
        </w:trPr>
        <w:tc>
          <w:tcPr>
            <w:tcW w:w="739" w:type="dxa"/>
            <w:vMerge/>
            <w:shd w:val="clear" w:color="auto" w:fill="990033"/>
          </w:tcPr>
          <w:p w:rsidR="005422C1" w:rsidRPr="00C5494E" w:rsidRDefault="005422C1" w:rsidP="005422C1">
            <w:pPr>
              <w:pStyle w:val="Tablehead"/>
              <w:keepNext w:val="0"/>
              <w:rPr>
                <w:color w:val="FFFFFF" w:themeColor="background1"/>
                <w:lang w:val="en-GB"/>
              </w:rPr>
            </w:pPr>
          </w:p>
        </w:tc>
        <w:tc>
          <w:tcPr>
            <w:tcW w:w="3410" w:type="dxa"/>
            <w:shd w:val="clear" w:color="auto" w:fill="EFD3D2"/>
          </w:tcPr>
          <w:p w:rsidR="005422C1" w:rsidRPr="00C5494E" w:rsidRDefault="005422C1" w:rsidP="005422C1">
            <w:pPr>
              <w:pStyle w:val="Tabletext"/>
              <w:rPr>
                <w:color w:val="auto"/>
              </w:rPr>
            </w:pPr>
            <w:r w:rsidRPr="00C5494E">
              <w:rPr>
                <w:color w:val="auto"/>
              </w:rPr>
              <w:tab/>
              <w:t xml:space="preserve">a) </w:t>
            </w:r>
            <w:smartTag w:uri="urn:schemas-microsoft-com:office:smarttags" w:element="place">
              <w:smartTag w:uri="urn:schemas-microsoft-com:office:smarttags" w:element="City">
                <w:r w:rsidRPr="00C5494E">
                  <w:rPr>
                    <w:color w:val="auto"/>
                  </w:rPr>
                  <w:t>Mobile</w:t>
                </w:r>
              </w:smartTag>
            </w:smartTag>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0.31 cents</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For inter operator calls, the call originating operator shall pay 0.18 BDT per minute to the terminating operator and 0.04 BDT per minute to the ICX operator providing the interconnection</w:t>
            </w:r>
          </w:p>
        </w:tc>
      </w:tr>
      <w:tr w:rsidR="005422C1" w:rsidRPr="00C5494E" w:rsidTr="00FB239F">
        <w:trPr>
          <w:jc w:val="center"/>
        </w:trPr>
        <w:tc>
          <w:tcPr>
            <w:tcW w:w="739" w:type="dxa"/>
            <w:vMerge/>
            <w:shd w:val="clear" w:color="auto" w:fill="990033"/>
          </w:tcPr>
          <w:p w:rsidR="005422C1" w:rsidRPr="00C5494E" w:rsidRDefault="005422C1" w:rsidP="005422C1">
            <w:pPr>
              <w:pStyle w:val="Tablehead"/>
              <w:keepNext w:val="0"/>
              <w:rPr>
                <w:color w:val="FFFFFF" w:themeColor="background1"/>
                <w:lang w:val="en-GB"/>
              </w:rPr>
            </w:pPr>
          </w:p>
        </w:tc>
        <w:tc>
          <w:tcPr>
            <w:tcW w:w="3410" w:type="dxa"/>
            <w:shd w:val="clear" w:color="auto" w:fill="EFD3D2"/>
          </w:tcPr>
          <w:p w:rsidR="005422C1" w:rsidRPr="00C5494E" w:rsidRDefault="005422C1" w:rsidP="005422C1">
            <w:pPr>
              <w:pStyle w:val="Tabletext"/>
              <w:rPr>
                <w:color w:val="auto"/>
              </w:rPr>
            </w:pPr>
            <w:r w:rsidRPr="00C5494E">
              <w:rPr>
                <w:color w:val="auto"/>
              </w:rPr>
              <w:tab/>
              <w:t xml:space="preserve">b) Fixed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0.31 cents</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FB239F">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12</w:t>
            </w:r>
          </w:p>
        </w:tc>
        <w:tc>
          <w:tcPr>
            <w:tcW w:w="3410" w:type="dxa"/>
            <w:shd w:val="clear" w:color="auto" w:fill="EFD3D2"/>
          </w:tcPr>
          <w:p w:rsidR="005422C1" w:rsidRPr="00C5494E" w:rsidRDefault="005422C1" w:rsidP="005422C1">
            <w:pPr>
              <w:pStyle w:val="Tabletext"/>
              <w:rPr>
                <w:color w:val="auto"/>
              </w:rPr>
            </w:pPr>
            <w:r w:rsidRPr="00C5494E">
              <w:rPr>
                <w:color w:val="auto"/>
              </w:rPr>
              <w:t>Price of 1MB data download using speeds higher than 256 kbps on mobile devices</w:t>
            </w:r>
          </w:p>
        </w:tc>
        <w:tc>
          <w:tcPr>
            <w:tcW w:w="1100" w:type="dxa"/>
            <w:shd w:val="clear" w:color="auto" w:fill="EFD3D2"/>
            <w:vAlign w:val="center"/>
          </w:tcPr>
          <w:p w:rsidR="005422C1" w:rsidRPr="00C5494E" w:rsidRDefault="005422C1" w:rsidP="005422C1">
            <w:pPr>
              <w:pStyle w:val="Tabletext"/>
              <w:jc w:val="center"/>
              <w:rPr>
                <w:color w:val="auto"/>
              </w:rPr>
            </w:pPr>
          </w:p>
        </w:tc>
        <w:tc>
          <w:tcPr>
            <w:tcW w:w="4279" w:type="dxa"/>
            <w:shd w:val="clear" w:color="auto" w:fill="EFD3D2"/>
            <w:vAlign w:val="center"/>
          </w:tcPr>
          <w:p w:rsidR="005422C1" w:rsidRPr="00C5494E" w:rsidRDefault="005422C1" w:rsidP="005422C1">
            <w:pPr>
              <w:pStyle w:val="Tabletext"/>
              <w:rPr>
                <w:color w:val="auto"/>
                <w:sz w:val="18"/>
                <w:szCs w:val="18"/>
              </w:rPr>
            </w:pPr>
            <w:r w:rsidRPr="00C5494E">
              <w:rPr>
                <w:color w:val="auto"/>
                <w:sz w:val="18"/>
                <w:szCs w:val="18"/>
              </w:rPr>
              <w:t>Only one mobile operator is offering 256 Kbps + speed (only for big-screen usage). The price mentioned here is for Maximum 1.5 GB usage per month. To go beyond this volume cap, BDT 0.003/KB shall be applied. Though in offer it is mentioned that the speed is up-to 512 kbps, but practically user experience is about 100-120 kbps on average.</w:t>
            </w:r>
          </w:p>
        </w:tc>
      </w:tr>
      <w:tr w:rsidR="005422C1" w:rsidRPr="00C5494E" w:rsidTr="00FB239F">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13</w:t>
            </w:r>
          </w:p>
        </w:tc>
        <w:tc>
          <w:tcPr>
            <w:tcW w:w="3410" w:type="dxa"/>
            <w:shd w:val="clear" w:color="auto" w:fill="EFD3D2"/>
          </w:tcPr>
          <w:p w:rsidR="005422C1" w:rsidRPr="00C5494E" w:rsidRDefault="005422C1" w:rsidP="005422C1">
            <w:pPr>
              <w:pStyle w:val="Tabletext"/>
              <w:rPr>
                <w:color w:val="auto"/>
              </w:rPr>
            </w:pPr>
            <w:r w:rsidRPr="00C5494E">
              <w:rPr>
                <w:color w:val="auto"/>
              </w:rPr>
              <w:t>Price for connection service (connecting to International portion of leased circuit)</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 xml:space="preserve">360 USD Fast </w:t>
            </w:r>
            <w:smartTag w:uri="urn:schemas-microsoft-com:office:smarttags" w:element="PlaceName">
              <w:r w:rsidRPr="00C5494E">
                <w:rPr>
                  <w:color w:val="auto"/>
                </w:rPr>
                <w:t>Ethernet</w:t>
              </w:r>
            </w:smartTag>
            <w:r w:rsidRPr="00C5494E">
              <w:rPr>
                <w:color w:val="auto"/>
              </w:rPr>
              <w:t xml:space="preserve"> </w:t>
            </w:r>
            <w:smartTag w:uri="urn:schemas-microsoft-com:office:smarttags" w:element="PlaceType">
              <w:r w:rsidRPr="00C5494E">
                <w:rPr>
                  <w:color w:val="auto"/>
                </w:rPr>
                <w:t>Port</w:t>
              </w:r>
            </w:smartTag>
            <w:r w:rsidRPr="00C5494E">
              <w:rPr>
                <w:color w:val="auto"/>
              </w:rPr>
              <w:t>;</w:t>
            </w:r>
          </w:p>
          <w:p w:rsidR="005422C1" w:rsidRPr="00C5494E" w:rsidRDefault="005422C1" w:rsidP="005422C1">
            <w:pPr>
              <w:pStyle w:val="Tabletext"/>
              <w:jc w:val="center"/>
              <w:rPr>
                <w:color w:val="auto"/>
              </w:rPr>
            </w:pPr>
            <w:r w:rsidRPr="00C5494E">
              <w:rPr>
                <w:color w:val="auto"/>
              </w:rPr>
              <w:t>572 USD Gigabit Ethernet Port.</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Offer from the International Internet Gateway Operators (IIG)</w:t>
            </w:r>
          </w:p>
        </w:tc>
      </w:tr>
      <w:tr w:rsidR="005422C1" w:rsidRPr="00C5494E" w:rsidTr="00FB239F">
        <w:trPr>
          <w:jc w:val="center"/>
        </w:trPr>
        <w:tc>
          <w:tcPr>
            <w:tcW w:w="739" w:type="dxa"/>
            <w:shd w:val="clear" w:color="auto" w:fill="990033"/>
          </w:tcPr>
          <w:p w:rsidR="005422C1" w:rsidRPr="00C5494E" w:rsidRDefault="005422C1" w:rsidP="005422C1">
            <w:pPr>
              <w:pStyle w:val="Tablehead"/>
              <w:keepNext w:val="0"/>
              <w:rPr>
                <w:color w:val="FFFFFF" w:themeColor="background1"/>
                <w:lang w:val="en-GB"/>
              </w:rPr>
            </w:pPr>
            <w:r w:rsidRPr="00C5494E">
              <w:rPr>
                <w:color w:val="FFFFFF" w:themeColor="background1"/>
                <w:lang w:val="en-GB"/>
              </w:rPr>
              <w:t>14</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Price for 2Mbps DSL </w:t>
            </w:r>
            <w:r w:rsidR="00C5494E" w:rsidRPr="00C5494E">
              <w:rPr>
                <w:color w:val="auto"/>
              </w:rPr>
              <w:t xml:space="preserve">connection </w:t>
            </w:r>
            <w:r w:rsidRPr="00C5494E">
              <w:rPr>
                <w:color w:val="auto"/>
              </w:rPr>
              <w:t>per month</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27 USD/ month</w:t>
            </w:r>
          </w:p>
        </w:tc>
        <w:tc>
          <w:tcPr>
            <w:tcW w:w="4279" w:type="dxa"/>
            <w:shd w:val="clear" w:color="auto" w:fill="EFD3D2"/>
            <w:vAlign w:val="center"/>
          </w:tcPr>
          <w:p w:rsidR="005422C1" w:rsidRPr="00C5494E" w:rsidRDefault="005422C1" w:rsidP="005422C1">
            <w:pPr>
              <w:pStyle w:val="Tabletext"/>
              <w:rPr>
                <w:color w:val="auto"/>
                <w:sz w:val="18"/>
                <w:szCs w:val="18"/>
              </w:rPr>
            </w:pPr>
            <w:r w:rsidRPr="00C5494E">
              <w:rPr>
                <w:color w:val="auto"/>
                <w:sz w:val="18"/>
                <w:szCs w:val="18"/>
              </w:rPr>
              <w:t>The Government owned incumbent is offering only a 2 Mbps package (from 08.00 PM to 08.00 AM) for BDT 5520 per 3 months. 1 Mbps connection price is 32 USD per month (unlimited).</w:t>
            </w:r>
          </w:p>
        </w:tc>
      </w:tr>
    </w:tbl>
    <w:p w:rsidR="005422C1" w:rsidRPr="00C5494E" w:rsidRDefault="005422C1" w:rsidP="005422C1">
      <w:pPr>
        <w:pStyle w:val="Heading9"/>
        <w:rPr>
          <w:lang w:val="en-GB"/>
        </w:rPr>
      </w:pPr>
      <w:r w:rsidRPr="00C5494E">
        <w:rPr>
          <w:lang w:val="en-GB"/>
        </w:rPr>
        <w:lastRenderedPageBreak/>
        <w:t>Bhutan</w:t>
      </w:r>
    </w:p>
    <w:p w:rsidR="005422C1" w:rsidRPr="00C5494E" w:rsidRDefault="005422C1" w:rsidP="005422C1"/>
    <w:tbl>
      <w:tblPr>
        <w:tblStyle w:val="TableGrid"/>
        <w:tblW w:w="9528" w:type="dxa"/>
        <w:jc w:val="center"/>
        <w:tblLook w:val="01E0"/>
      </w:tblPr>
      <w:tblGrid>
        <w:gridCol w:w="739"/>
        <w:gridCol w:w="3410"/>
        <w:gridCol w:w="1100"/>
        <w:gridCol w:w="4279"/>
      </w:tblGrid>
      <w:tr w:rsidR="005422C1" w:rsidRPr="00C5494E" w:rsidTr="00FB239F">
        <w:trPr>
          <w:jc w:val="center"/>
        </w:trPr>
        <w:tc>
          <w:tcPr>
            <w:tcW w:w="739" w:type="dxa"/>
            <w:tcBorders>
              <w:top w:val="nil"/>
              <w:left w:val="nil"/>
              <w:bottom w:val="single" w:sz="4" w:space="0" w:color="auto"/>
            </w:tcBorders>
            <w:shd w:val="clear" w:color="auto" w:fill="auto"/>
          </w:tcPr>
          <w:p w:rsidR="005422C1" w:rsidRPr="00C5494E" w:rsidRDefault="005422C1" w:rsidP="00FB239F">
            <w:pPr>
              <w:rPr>
                <w:iCs/>
              </w:rPr>
            </w:pPr>
          </w:p>
        </w:tc>
        <w:tc>
          <w:tcPr>
            <w:tcW w:w="3410" w:type="dxa"/>
            <w:tcBorders>
              <w:bottom w:val="single" w:sz="4" w:space="0" w:color="auto"/>
            </w:tcBorders>
            <w:shd w:val="clear" w:color="auto" w:fill="990033"/>
          </w:tcPr>
          <w:p w:rsidR="005422C1" w:rsidRPr="00C5494E" w:rsidRDefault="005422C1" w:rsidP="00FB239F">
            <w:pPr>
              <w:pStyle w:val="TableNoTitle"/>
              <w:rPr>
                <w:lang w:val="en-GB"/>
              </w:rPr>
            </w:pPr>
            <w:r w:rsidRPr="00C5494E">
              <w:rPr>
                <w:lang w:val="en-GB"/>
              </w:rPr>
              <w:t>Question</w:t>
            </w:r>
          </w:p>
        </w:tc>
        <w:tc>
          <w:tcPr>
            <w:tcW w:w="1100" w:type="dxa"/>
            <w:tcBorders>
              <w:bottom w:val="single" w:sz="4" w:space="0" w:color="auto"/>
            </w:tcBorders>
            <w:shd w:val="clear" w:color="auto" w:fill="990033"/>
          </w:tcPr>
          <w:p w:rsidR="005422C1" w:rsidRPr="00C5494E" w:rsidRDefault="005422C1" w:rsidP="00FB239F">
            <w:pPr>
              <w:pStyle w:val="TableNoTitle"/>
              <w:rPr>
                <w:lang w:val="en-GB"/>
              </w:rPr>
            </w:pPr>
            <w:r w:rsidRPr="00C5494E">
              <w:rPr>
                <w:lang w:val="en-GB"/>
              </w:rPr>
              <w:t>Answer</w:t>
            </w:r>
          </w:p>
        </w:tc>
        <w:tc>
          <w:tcPr>
            <w:tcW w:w="4279" w:type="dxa"/>
            <w:tcBorders>
              <w:bottom w:val="single" w:sz="4" w:space="0" w:color="auto"/>
            </w:tcBorders>
            <w:shd w:val="clear" w:color="auto" w:fill="990033"/>
          </w:tcPr>
          <w:p w:rsidR="005422C1" w:rsidRPr="00C5494E" w:rsidRDefault="005422C1" w:rsidP="00FB239F">
            <w:pPr>
              <w:pStyle w:val="TableNoTitle"/>
              <w:rPr>
                <w:lang w:val="en-GB"/>
              </w:rPr>
            </w:pPr>
            <w:r w:rsidRPr="00C5494E">
              <w:rPr>
                <w:lang w:val="en-GB"/>
              </w:rPr>
              <w:t>Remarks</w:t>
            </w: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1</w:t>
            </w:r>
          </w:p>
        </w:tc>
        <w:tc>
          <w:tcPr>
            <w:tcW w:w="3410" w:type="dxa"/>
            <w:shd w:val="clear" w:color="auto" w:fill="EFD3D2"/>
          </w:tcPr>
          <w:p w:rsidR="005422C1" w:rsidRPr="00C5494E" w:rsidRDefault="005422C1" w:rsidP="00C5494E">
            <w:pPr>
              <w:pStyle w:val="Tabletext"/>
              <w:rPr>
                <w:color w:val="auto"/>
              </w:rPr>
            </w:pPr>
            <w:r w:rsidRPr="00C5494E">
              <w:rPr>
                <w:color w:val="auto"/>
              </w:rPr>
              <w:t xml:space="preserve">Is there interconnection </w:t>
            </w:r>
            <w:r w:rsidR="00C5494E" w:rsidRPr="00C5494E">
              <w:rPr>
                <w:color w:val="auto"/>
              </w:rPr>
              <w:t>framework mandated by the regulator</w:t>
            </w:r>
            <w:r w:rsidRPr="00C5494E">
              <w:rPr>
                <w:color w:val="auto"/>
              </w:rPr>
              <w:t>?</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2</w:t>
            </w:r>
          </w:p>
        </w:tc>
        <w:tc>
          <w:tcPr>
            <w:tcW w:w="3410" w:type="dxa"/>
            <w:shd w:val="clear" w:color="auto" w:fill="EFD3D2"/>
          </w:tcPr>
          <w:p w:rsidR="005422C1" w:rsidRPr="00C5494E" w:rsidRDefault="005422C1" w:rsidP="005422C1">
            <w:pPr>
              <w:pStyle w:val="Tabletext"/>
              <w:rPr>
                <w:color w:val="auto"/>
              </w:rPr>
            </w:pPr>
            <w:r w:rsidRPr="00C5494E">
              <w:rPr>
                <w:color w:val="auto"/>
              </w:rPr>
              <w:t>Is it mandatory to publish reference interconnection offer?</w:t>
            </w:r>
          </w:p>
        </w:tc>
        <w:tc>
          <w:tcPr>
            <w:tcW w:w="1100" w:type="dxa"/>
            <w:shd w:val="clear" w:color="auto" w:fill="EFD3D2"/>
            <w:vAlign w:val="center"/>
          </w:tcPr>
          <w:p w:rsidR="005422C1" w:rsidRPr="00C5494E" w:rsidRDefault="005422C1" w:rsidP="005422C1">
            <w:pPr>
              <w:pStyle w:val="Tabletext"/>
              <w:jc w:val="center"/>
              <w:rPr>
                <w:color w:val="auto"/>
              </w:rPr>
            </w:pP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3</w:t>
            </w:r>
          </w:p>
        </w:tc>
        <w:tc>
          <w:tcPr>
            <w:tcW w:w="3410" w:type="dxa"/>
            <w:shd w:val="clear" w:color="auto" w:fill="EFD3D2"/>
          </w:tcPr>
          <w:p w:rsidR="005422C1" w:rsidRPr="00C5494E" w:rsidRDefault="005422C1" w:rsidP="005422C1">
            <w:pPr>
              <w:pStyle w:val="Tabletext"/>
              <w:rPr>
                <w:color w:val="auto"/>
              </w:rPr>
            </w:pPr>
            <w:r w:rsidRPr="00C5494E">
              <w:rPr>
                <w:color w:val="auto"/>
              </w:rPr>
              <w:t>Is there specific time frame for seeking access to leased lines/ E1 circuits?</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30 days</w:t>
            </w: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4</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Is the price of backhaul regulated?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C2182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5</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Price for 2Mbps leased circuit </w:t>
            </w:r>
          </w:p>
          <w:p w:rsidR="005422C1" w:rsidRPr="00C5494E" w:rsidRDefault="00844684" w:rsidP="005422C1">
            <w:pPr>
              <w:pStyle w:val="Tabletext"/>
              <w:rPr>
                <w:color w:val="auto"/>
              </w:rPr>
            </w:pPr>
            <w:r w:rsidRPr="00C5494E">
              <w:rPr>
                <w:color w:val="auto"/>
              </w:rPr>
              <w:t>(</w:t>
            </w:r>
            <w:r w:rsidR="00043D0F" w:rsidRPr="00C5494E">
              <w:rPr>
                <w:color w:val="auto"/>
              </w:rPr>
              <w:t>USD</w:t>
            </w:r>
            <w:r w:rsidR="005422C1" w:rsidRPr="00C5494E">
              <w:rPr>
                <w:color w:val="auto"/>
              </w:rPr>
              <w:t xml:space="preserve">) </w:t>
            </w:r>
          </w:p>
        </w:tc>
        <w:tc>
          <w:tcPr>
            <w:tcW w:w="5379" w:type="dxa"/>
            <w:gridSpan w:val="2"/>
            <w:shd w:val="clear" w:color="auto" w:fill="EFD3D2"/>
            <w:vAlign w:val="center"/>
          </w:tcPr>
          <w:p w:rsidR="005422C1" w:rsidRPr="00C5494E" w:rsidRDefault="00043D0F" w:rsidP="005422C1">
            <w:pPr>
              <w:pStyle w:val="Tabletext"/>
              <w:rPr>
                <w:color w:val="auto"/>
              </w:rPr>
            </w:pPr>
            <w:r w:rsidRPr="00C5494E">
              <w:rPr>
                <w:color w:val="auto"/>
              </w:rPr>
              <w:t>USD</w:t>
            </w:r>
            <w:r w:rsidR="005422C1" w:rsidRPr="00C5494E">
              <w:rPr>
                <w:color w:val="auto"/>
              </w:rPr>
              <w:t xml:space="preserve"> 278 (5 Km)</w:t>
            </w: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6</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Access to international gateway is allowed to access seekers?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7</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VOIP termination rates mandated?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8</w:t>
            </w:r>
          </w:p>
        </w:tc>
        <w:tc>
          <w:tcPr>
            <w:tcW w:w="3410" w:type="dxa"/>
            <w:shd w:val="clear" w:color="auto" w:fill="EFD3D2"/>
          </w:tcPr>
          <w:p w:rsidR="005422C1" w:rsidRPr="00C5494E" w:rsidRDefault="005422C1" w:rsidP="005422C1">
            <w:pPr>
              <w:pStyle w:val="Tabletext"/>
              <w:rPr>
                <w:color w:val="auto"/>
              </w:rPr>
            </w:pPr>
            <w:r w:rsidRPr="00C5494E">
              <w:rPr>
                <w:color w:val="auto"/>
              </w:rPr>
              <w:t>Is VOIP interconnection with PSTN/PLMN permitted?</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No</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9</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Is the price for collocation mandated?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10</w:t>
            </w:r>
          </w:p>
        </w:tc>
        <w:tc>
          <w:tcPr>
            <w:tcW w:w="3410" w:type="dxa"/>
            <w:shd w:val="clear" w:color="auto" w:fill="EFD3D2"/>
          </w:tcPr>
          <w:p w:rsidR="005422C1" w:rsidRPr="00C5494E" w:rsidRDefault="005422C1" w:rsidP="005422C1">
            <w:pPr>
              <w:pStyle w:val="Tabletext"/>
              <w:rPr>
                <w:color w:val="auto"/>
              </w:rPr>
            </w:pPr>
            <w:r w:rsidRPr="00C5494E">
              <w:rPr>
                <w:color w:val="auto"/>
              </w:rPr>
              <w:t>Is price for 3G termination mandated? Is it different than 2G termination rates?</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Yes</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Same as 2G.</w:t>
            </w:r>
          </w:p>
        </w:tc>
      </w:tr>
      <w:tr w:rsidR="005422C1" w:rsidRPr="00C5494E" w:rsidTr="00FB239F">
        <w:trPr>
          <w:jc w:val="center"/>
        </w:trPr>
        <w:tc>
          <w:tcPr>
            <w:tcW w:w="739" w:type="dxa"/>
            <w:vMerge w:val="restart"/>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11</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Mandated </w:t>
            </w:r>
            <w:r w:rsidR="00C5494E" w:rsidRPr="00C5494E">
              <w:rPr>
                <w:color w:val="auto"/>
              </w:rPr>
              <w:t xml:space="preserve">termination rates by regulator </w:t>
            </w:r>
          </w:p>
        </w:tc>
        <w:tc>
          <w:tcPr>
            <w:tcW w:w="1100" w:type="dxa"/>
            <w:shd w:val="clear" w:color="auto" w:fill="EFD3D2"/>
            <w:vAlign w:val="center"/>
          </w:tcPr>
          <w:p w:rsidR="005422C1" w:rsidRPr="00C5494E" w:rsidRDefault="00043D0F" w:rsidP="005422C1">
            <w:pPr>
              <w:pStyle w:val="Tabletext"/>
              <w:jc w:val="center"/>
              <w:rPr>
                <w:color w:val="auto"/>
              </w:rPr>
            </w:pPr>
            <w:r w:rsidRPr="00C5494E">
              <w:rPr>
                <w:color w:val="auto"/>
              </w:rPr>
              <w:t>USD</w:t>
            </w:r>
          </w:p>
        </w:tc>
        <w:tc>
          <w:tcPr>
            <w:tcW w:w="4279" w:type="dxa"/>
            <w:shd w:val="clear" w:color="auto" w:fill="EFD3D2"/>
            <w:vAlign w:val="center"/>
          </w:tcPr>
          <w:p w:rsidR="005422C1" w:rsidRPr="00C5494E" w:rsidRDefault="005422C1" w:rsidP="005422C1">
            <w:pPr>
              <w:pStyle w:val="Tabletext"/>
              <w:rPr>
                <w:color w:val="auto"/>
              </w:rPr>
            </w:pPr>
          </w:p>
        </w:tc>
      </w:tr>
      <w:tr w:rsidR="005422C1" w:rsidRPr="00DC056F" w:rsidTr="00FB239F">
        <w:trPr>
          <w:jc w:val="center"/>
        </w:trPr>
        <w:tc>
          <w:tcPr>
            <w:tcW w:w="739" w:type="dxa"/>
            <w:vMerge/>
            <w:shd w:val="clear" w:color="auto" w:fill="990033"/>
          </w:tcPr>
          <w:p w:rsidR="005422C1" w:rsidRPr="00C5494E" w:rsidRDefault="005422C1" w:rsidP="00FB239F">
            <w:pPr>
              <w:pStyle w:val="Tablehead"/>
              <w:rPr>
                <w:color w:val="FFFFFF" w:themeColor="background1"/>
                <w:lang w:val="en-GB"/>
              </w:rPr>
            </w:pPr>
          </w:p>
        </w:tc>
        <w:tc>
          <w:tcPr>
            <w:tcW w:w="3410" w:type="dxa"/>
            <w:shd w:val="clear" w:color="auto" w:fill="EFD3D2"/>
          </w:tcPr>
          <w:p w:rsidR="005422C1" w:rsidRPr="00C5494E" w:rsidRDefault="00043D0F" w:rsidP="005422C1">
            <w:pPr>
              <w:pStyle w:val="Tabletext"/>
              <w:rPr>
                <w:color w:val="auto"/>
              </w:rPr>
            </w:pPr>
            <w:r w:rsidRPr="00C5494E">
              <w:rPr>
                <w:color w:val="auto"/>
              </w:rPr>
              <w:tab/>
            </w:r>
            <w:r w:rsidR="005422C1" w:rsidRPr="00C5494E">
              <w:rPr>
                <w:color w:val="auto"/>
              </w:rPr>
              <w:t xml:space="preserve">a) </w:t>
            </w:r>
            <w:smartTag w:uri="urn:schemas-microsoft-com:office:smarttags" w:element="place">
              <w:smartTag w:uri="urn:schemas-microsoft-com:office:smarttags" w:element="City">
                <w:r w:rsidR="005422C1" w:rsidRPr="00C5494E">
                  <w:rPr>
                    <w:color w:val="auto"/>
                  </w:rPr>
                  <w:t>Mobile</w:t>
                </w:r>
              </w:smartTag>
            </w:smartTag>
          </w:p>
        </w:tc>
        <w:tc>
          <w:tcPr>
            <w:tcW w:w="1100" w:type="dxa"/>
            <w:shd w:val="clear" w:color="auto" w:fill="EFD3D2"/>
            <w:vAlign w:val="center"/>
          </w:tcPr>
          <w:p w:rsidR="005422C1" w:rsidRPr="0048461C" w:rsidRDefault="005422C1" w:rsidP="005422C1">
            <w:pPr>
              <w:pStyle w:val="Tabletext"/>
              <w:jc w:val="center"/>
              <w:rPr>
                <w:color w:val="auto"/>
                <w:lang w:val="fr-CH"/>
              </w:rPr>
            </w:pPr>
            <w:r w:rsidRPr="0048461C">
              <w:rPr>
                <w:color w:val="auto"/>
                <w:lang w:val="fr-CH"/>
              </w:rPr>
              <w:t xml:space="preserve">3.3 cents </w:t>
            </w:r>
            <w:proofErr w:type="spellStart"/>
            <w:r w:rsidRPr="0048461C">
              <w:rPr>
                <w:color w:val="auto"/>
                <w:lang w:val="fr-CH"/>
              </w:rPr>
              <w:t>fixed</w:t>
            </w:r>
            <w:proofErr w:type="spellEnd"/>
            <w:r w:rsidRPr="0048461C">
              <w:rPr>
                <w:color w:val="auto"/>
                <w:lang w:val="fr-CH"/>
              </w:rPr>
              <w:t>-mobile</w:t>
            </w:r>
          </w:p>
          <w:p w:rsidR="005422C1" w:rsidRPr="0048461C" w:rsidRDefault="005422C1" w:rsidP="005422C1">
            <w:pPr>
              <w:pStyle w:val="Tabletext"/>
              <w:jc w:val="center"/>
              <w:rPr>
                <w:color w:val="auto"/>
                <w:lang w:val="fr-CH"/>
              </w:rPr>
            </w:pPr>
            <w:r w:rsidRPr="0048461C">
              <w:rPr>
                <w:color w:val="auto"/>
                <w:lang w:val="fr-CH"/>
              </w:rPr>
              <w:t>2.2 cents mobile-mobile</w:t>
            </w:r>
          </w:p>
        </w:tc>
        <w:tc>
          <w:tcPr>
            <w:tcW w:w="4279" w:type="dxa"/>
            <w:shd w:val="clear" w:color="auto" w:fill="EFD3D2"/>
            <w:vAlign w:val="center"/>
          </w:tcPr>
          <w:p w:rsidR="005422C1" w:rsidRPr="0048461C" w:rsidRDefault="005422C1" w:rsidP="005422C1">
            <w:pPr>
              <w:pStyle w:val="Tabletext"/>
              <w:rPr>
                <w:color w:val="auto"/>
                <w:lang w:val="fr-CH"/>
              </w:rPr>
            </w:pPr>
          </w:p>
        </w:tc>
      </w:tr>
      <w:tr w:rsidR="005422C1" w:rsidRPr="00C5494E" w:rsidTr="00FB239F">
        <w:trPr>
          <w:jc w:val="center"/>
        </w:trPr>
        <w:tc>
          <w:tcPr>
            <w:tcW w:w="739" w:type="dxa"/>
            <w:vMerge/>
            <w:shd w:val="clear" w:color="auto" w:fill="990033"/>
          </w:tcPr>
          <w:p w:rsidR="005422C1" w:rsidRPr="0048461C" w:rsidRDefault="005422C1" w:rsidP="00FB239F">
            <w:pPr>
              <w:pStyle w:val="Tablehead"/>
              <w:rPr>
                <w:color w:val="FFFFFF" w:themeColor="background1"/>
                <w:lang w:val="fr-CH"/>
              </w:rPr>
            </w:pPr>
          </w:p>
        </w:tc>
        <w:tc>
          <w:tcPr>
            <w:tcW w:w="3410" w:type="dxa"/>
            <w:shd w:val="clear" w:color="auto" w:fill="EFD3D2"/>
          </w:tcPr>
          <w:p w:rsidR="005422C1" w:rsidRPr="00C5494E" w:rsidRDefault="00043D0F" w:rsidP="005422C1">
            <w:pPr>
              <w:pStyle w:val="Tabletext"/>
              <w:rPr>
                <w:color w:val="auto"/>
              </w:rPr>
            </w:pPr>
            <w:r w:rsidRPr="0048461C">
              <w:rPr>
                <w:color w:val="auto"/>
                <w:lang w:val="fr-CH"/>
              </w:rPr>
              <w:tab/>
            </w:r>
            <w:r w:rsidR="005422C1" w:rsidRPr="00C5494E">
              <w:rPr>
                <w:color w:val="auto"/>
              </w:rPr>
              <w:t xml:space="preserve">b) Fixed </w:t>
            </w:r>
          </w:p>
        </w:tc>
        <w:tc>
          <w:tcPr>
            <w:tcW w:w="1100" w:type="dxa"/>
            <w:shd w:val="clear" w:color="auto" w:fill="EFD3D2"/>
            <w:vAlign w:val="center"/>
          </w:tcPr>
          <w:p w:rsidR="005422C1" w:rsidRPr="00C5494E" w:rsidRDefault="005422C1" w:rsidP="005422C1">
            <w:pPr>
              <w:pStyle w:val="Tabletext"/>
              <w:jc w:val="center"/>
              <w:rPr>
                <w:color w:val="auto"/>
              </w:rPr>
            </w:pPr>
            <w:r w:rsidRPr="00C5494E">
              <w:rPr>
                <w:color w:val="auto"/>
              </w:rPr>
              <w:t>3.3 cents</w:t>
            </w: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12</w:t>
            </w:r>
          </w:p>
        </w:tc>
        <w:tc>
          <w:tcPr>
            <w:tcW w:w="3410" w:type="dxa"/>
            <w:shd w:val="clear" w:color="auto" w:fill="EFD3D2"/>
          </w:tcPr>
          <w:p w:rsidR="005422C1" w:rsidRPr="00C5494E" w:rsidRDefault="005422C1" w:rsidP="005422C1">
            <w:pPr>
              <w:pStyle w:val="Tabletext"/>
              <w:rPr>
                <w:color w:val="auto"/>
              </w:rPr>
            </w:pPr>
            <w:r w:rsidRPr="00C5494E">
              <w:rPr>
                <w:color w:val="auto"/>
              </w:rPr>
              <w:t>Price of 1MB data download using speeds higher than 256 kbps on mobile devices</w:t>
            </w:r>
          </w:p>
        </w:tc>
        <w:tc>
          <w:tcPr>
            <w:tcW w:w="1100" w:type="dxa"/>
            <w:shd w:val="clear" w:color="auto" w:fill="EFD3D2"/>
            <w:vAlign w:val="center"/>
          </w:tcPr>
          <w:p w:rsidR="005422C1" w:rsidRPr="00C5494E" w:rsidRDefault="00043D0F" w:rsidP="005422C1">
            <w:pPr>
              <w:pStyle w:val="Tabletext"/>
              <w:jc w:val="center"/>
              <w:rPr>
                <w:color w:val="auto"/>
              </w:rPr>
            </w:pPr>
            <w:r w:rsidRPr="00C5494E">
              <w:rPr>
                <w:color w:val="auto"/>
              </w:rPr>
              <w:t>USD</w:t>
            </w:r>
            <w:r w:rsidR="005422C1" w:rsidRPr="00C5494E">
              <w:rPr>
                <w:color w:val="auto"/>
              </w:rPr>
              <w:t xml:space="preserve"> 3.31</w:t>
            </w:r>
          </w:p>
        </w:tc>
        <w:tc>
          <w:tcPr>
            <w:tcW w:w="4279" w:type="dxa"/>
            <w:shd w:val="clear" w:color="auto" w:fill="EFD3D2"/>
            <w:vAlign w:val="center"/>
          </w:tcPr>
          <w:p w:rsidR="005422C1" w:rsidRPr="00C5494E" w:rsidRDefault="005422C1" w:rsidP="005422C1">
            <w:pPr>
              <w:pStyle w:val="Tabletext"/>
              <w:rPr>
                <w:color w:val="auto"/>
              </w:rPr>
            </w:pPr>
            <w:r w:rsidRPr="00C5494E">
              <w:rPr>
                <w:color w:val="auto"/>
              </w:rPr>
              <w:t>Rate per month</w:t>
            </w: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13</w:t>
            </w:r>
          </w:p>
        </w:tc>
        <w:tc>
          <w:tcPr>
            <w:tcW w:w="3410" w:type="dxa"/>
            <w:shd w:val="clear" w:color="auto" w:fill="EFD3D2"/>
          </w:tcPr>
          <w:p w:rsidR="005422C1" w:rsidRPr="00C5494E" w:rsidRDefault="00844684" w:rsidP="005422C1">
            <w:pPr>
              <w:pStyle w:val="Tabletext"/>
              <w:rPr>
                <w:color w:val="auto"/>
              </w:rPr>
            </w:pPr>
            <w:r w:rsidRPr="00C5494E">
              <w:rPr>
                <w:color w:val="auto"/>
              </w:rPr>
              <w:t>Price for connection service (</w:t>
            </w:r>
            <w:r w:rsidR="005422C1" w:rsidRPr="00C5494E">
              <w:rPr>
                <w:color w:val="auto"/>
              </w:rPr>
              <w:t>connecting to International portion of leased circuit)</w:t>
            </w:r>
          </w:p>
        </w:tc>
        <w:tc>
          <w:tcPr>
            <w:tcW w:w="1100" w:type="dxa"/>
            <w:shd w:val="clear" w:color="auto" w:fill="EFD3D2"/>
            <w:vAlign w:val="center"/>
          </w:tcPr>
          <w:p w:rsidR="005422C1" w:rsidRPr="00C5494E" w:rsidRDefault="005422C1" w:rsidP="005422C1">
            <w:pPr>
              <w:pStyle w:val="Tabletext"/>
              <w:jc w:val="center"/>
              <w:rPr>
                <w:color w:val="auto"/>
              </w:rPr>
            </w:pPr>
          </w:p>
        </w:tc>
        <w:tc>
          <w:tcPr>
            <w:tcW w:w="4279" w:type="dxa"/>
            <w:shd w:val="clear" w:color="auto" w:fill="EFD3D2"/>
            <w:vAlign w:val="center"/>
          </w:tcPr>
          <w:p w:rsidR="005422C1" w:rsidRPr="00C5494E" w:rsidRDefault="005422C1" w:rsidP="005422C1">
            <w:pPr>
              <w:pStyle w:val="Tabletext"/>
              <w:rPr>
                <w:color w:val="auto"/>
              </w:rPr>
            </w:pPr>
          </w:p>
        </w:tc>
      </w:tr>
      <w:tr w:rsidR="005422C1" w:rsidRPr="00C5494E" w:rsidTr="00FB239F">
        <w:trPr>
          <w:jc w:val="center"/>
        </w:trPr>
        <w:tc>
          <w:tcPr>
            <w:tcW w:w="739" w:type="dxa"/>
            <w:shd w:val="clear" w:color="auto" w:fill="990033"/>
          </w:tcPr>
          <w:p w:rsidR="005422C1" w:rsidRPr="00C5494E" w:rsidRDefault="005422C1" w:rsidP="00FB239F">
            <w:pPr>
              <w:pStyle w:val="Tablehead"/>
              <w:rPr>
                <w:color w:val="FFFFFF" w:themeColor="background1"/>
                <w:lang w:val="en-GB"/>
              </w:rPr>
            </w:pPr>
            <w:r w:rsidRPr="00C5494E">
              <w:rPr>
                <w:color w:val="FFFFFF" w:themeColor="background1"/>
                <w:lang w:val="en-GB"/>
              </w:rPr>
              <w:t>14</w:t>
            </w:r>
          </w:p>
        </w:tc>
        <w:tc>
          <w:tcPr>
            <w:tcW w:w="3410" w:type="dxa"/>
            <w:shd w:val="clear" w:color="auto" w:fill="EFD3D2"/>
          </w:tcPr>
          <w:p w:rsidR="005422C1" w:rsidRPr="00C5494E" w:rsidRDefault="005422C1" w:rsidP="005422C1">
            <w:pPr>
              <w:pStyle w:val="Tabletext"/>
              <w:rPr>
                <w:color w:val="auto"/>
              </w:rPr>
            </w:pPr>
            <w:r w:rsidRPr="00C5494E">
              <w:rPr>
                <w:color w:val="auto"/>
              </w:rPr>
              <w:t xml:space="preserve">Price for 2Mbps DSL </w:t>
            </w:r>
            <w:r w:rsidR="00C5494E" w:rsidRPr="00C5494E">
              <w:rPr>
                <w:color w:val="auto"/>
              </w:rPr>
              <w:t xml:space="preserve">connection </w:t>
            </w:r>
            <w:r w:rsidRPr="00C5494E">
              <w:rPr>
                <w:color w:val="auto"/>
              </w:rPr>
              <w:t>per month</w:t>
            </w:r>
          </w:p>
        </w:tc>
        <w:tc>
          <w:tcPr>
            <w:tcW w:w="1100" w:type="dxa"/>
            <w:shd w:val="clear" w:color="auto" w:fill="EFD3D2"/>
            <w:vAlign w:val="center"/>
          </w:tcPr>
          <w:p w:rsidR="005422C1" w:rsidRPr="00C5494E" w:rsidRDefault="00043D0F" w:rsidP="005422C1">
            <w:pPr>
              <w:pStyle w:val="Tabletext"/>
              <w:jc w:val="center"/>
              <w:rPr>
                <w:color w:val="auto"/>
              </w:rPr>
            </w:pPr>
            <w:r w:rsidRPr="00C5494E">
              <w:rPr>
                <w:color w:val="auto"/>
              </w:rPr>
              <w:t>USD</w:t>
            </w:r>
            <w:r w:rsidR="005422C1" w:rsidRPr="00C5494E">
              <w:rPr>
                <w:color w:val="auto"/>
              </w:rPr>
              <w:t xml:space="preserve"> 8.86</w:t>
            </w:r>
          </w:p>
        </w:tc>
        <w:tc>
          <w:tcPr>
            <w:tcW w:w="4279" w:type="dxa"/>
            <w:shd w:val="clear" w:color="auto" w:fill="EFD3D2"/>
            <w:vAlign w:val="center"/>
          </w:tcPr>
          <w:p w:rsidR="005422C1" w:rsidRPr="00C5494E" w:rsidRDefault="005422C1" w:rsidP="005422C1">
            <w:pPr>
              <w:pStyle w:val="Tabletext"/>
              <w:rPr>
                <w:color w:val="auto"/>
              </w:rPr>
            </w:pPr>
          </w:p>
        </w:tc>
      </w:tr>
    </w:tbl>
    <w:p w:rsidR="005422C1" w:rsidRPr="00C5494E" w:rsidRDefault="005422C1" w:rsidP="005422C1"/>
    <w:p w:rsidR="005422C1" w:rsidRPr="00C5494E" w:rsidRDefault="005422C1" w:rsidP="00F75B07"/>
    <w:p w:rsidR="00844684" w:rsidRPr="00C5494E" w:rsidRDefault="00844684">
      <w:pPr>
        <w:tabs>
          <w:tab w:val="clear" w:pos="794"/>
          <w:tab w:val="clear" w:pos="1191"/>
          <w:tab w:val="clear" w:pos="1588"/>
          <w:tab w:val="clear" w:pos="1985"/>
        </w:tabs>
        <w:overflowPunct/>
        <w:autoSpaceDE/>
        <w:autoSpaceDN/>
        <w:adjustRightInd/>
        <w:spacing w:before="0"/>
        <w:jc w:val="left"/>
        <w:textAlignment w:val="auto"/>
      </w:pPr>
      <w:r w:rsidRPr="00C5494E">
        <w:br w:type="page"/>
      </w:r>
    </w:p>
    <w:p w:rsidR="00844684" w:rsidRPr="00C5494E" w:rsidRDefault="00844684" w:rsidP="00844684">
      <w:pPr>
        <w:pStyle w:val="Heading9"/>
        <w:rPr>
          <w:lang w:val="en-GB"/>
        </w:rPr>
      </w:pPr>
      <w:r w:rsidRPr="00C5494E">
        <w:rPr>
          <w:lang w:val="en-GB"/>
        </w:rPr>
        <w:lastRenderedPageBreak/>
        <w:t>Nepal</w:t>
      </w:r>
    </w:p>
    <w:p w:rsidR="00844684" w:rsidRPr="00C5494E" w:rsidRDefault="00844684" w:rsidP="00844684"/>
    <w:tbl>
      <w:tblPr>
        <w:tblStyle w:val="TableGrid"/>
        <w:tblW w:w="9528" w:type="dxa"/>
        <w:jc w:val="center"/>
        <w:tblLook w:val="01E0"/>
      </w:tblPr>
      <w:tblGrid>
        <w:gridCol w:w="739"/>
        <w:gridCol w:w="3410"/>
        <w:gridCol w:w="1100"/>
        <w:gridCol w:w="4279"/>
      </w:tblGrid>
      <w:tr w:rsidR="00844684" w:rsidRPr="00C5494E" w:rsidTr="00FB239F">
        <w:trPr>
          <w:jc w:val="center"/>
        </w:trPr>
        <w:tc>
          <w:tcPr>
            <w:tcW w:w="739" w:type="dxa"/>
            <w:tcBorders>
              <w:top w:val="nil"/>
              <w:left w:val="nil"/>
              <w:bottom w:val="single" w:sz="4" w:space="0" w:color="auto"/>
            </w:tcBorders>
            <w:shd w:val="clear" w:color="auto" w:fill="auto"/>
          </w:tcPr>
          <w:p w:rsidR="00844684" w:rsidRPr="00C5494E" w:rsidRDefault="00844684" w:rsidP="00FB239F">
            <w:pPr>
              <w:rPr>
                <w:iCs/>
              </w:rPr>
            </w:pPr>
          </w:p>
        </w:tc>
        <w:tc>
          <w:tcPr>
            <w:tcW w:w="3410" w:type="dxa"/>
            <w:tcBorders>
              <w:bottom w:val="single" w:sz="4" w:space="0" w:color="auto"/>
            </w:tcBorders>
            <w:shd w:val="clear" w:color="auto" w:fill="990033"/>
          </w:tcPr>
          <w:p w:rsidR="00844684" w:rsidRPr="00C5494E" w:rsidRDefault="00844684" w:rsidP="00FB239F">
            <w:pPr>
              <w:pStyle w:val="TableNoTitle"/>
              <w:rPr>
                <w:lang w:val="en-GB"/>
              </w:rPr>
            </w:pPr>
            <w:r w:rsidRPr="00C5494E">
              <w:rPr>
                <w:lang w:val="en-GB"/>
              </w:rPr>
              <w:t>Question</w:t>
            </w:r>
          </w:p>
        </w:tc>
        <w:tc>
          <w:tcPr>
            <w:tcW w:w="1100" w:type="dxa"/>
            <w:tcBorders>
              <w:bottom w:val="single" w:sz="4" w:space="0" w:color="auto"/>
            </w:tcBorders>
            <w:shd w:val="clear" w:color="auto" w:fill="990033"/>
          </w:tcPr>
          <w:p w:rsidR="00844684" w:rsidRPr="00C5494E" w:rsidRDefault="00844684" w:rsidP="00FB239F">
            <w:pPr>
              <w:pStyle w:val="TableNoTitle"/>
              <w:rPr>
                <w:lang w:val="en-GB"/>
              </w:rPr>
            </w:pPr>
            <w:r w:rsidRPr="00C5494E">
              <w:rPr>
                <w:lang w:val="en-GB"/>
              </w:rPr>
              <w:t>Answer</w:t>
            </w:r>
          </w:p>
        </w:tc>
        <w:tc>
          <w:tcPr>
            <w:tcW w:w="4279" w:type="dxa"/>
            <w:tcBorders>
              <w:bottom w:val="single" w:sz="4" w:space="0" w:color="auto"/>
            </w:tcBorders>
            <w:shd w:val="clear" w:color="auto" w:fill="990033"/>
          </w:tcPr>
          <w:p w:rsidR="00844684" w:rsidRPr="00C5494E" w:rsidRDefault="00844684" w:rsidP="00FB239F">
            <w:pPr>
              <w:pStyle w:val="TableNoTitle"/>
              <w:rPr>
                <w:lang w:val="en-GB"/>
              </w:rPr>
            </w:pPr>
            <w:r w:rsidRPr="00C5494E">
              <w:rPr>
                <w:lang w:val="en-GB"/>
              </w:rPr>
              <w:t>Remarks</w:t>
            </w: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1</w:t>
            </w:r>
          </w:p>
        </w:tc>
        <w:tc>
          <w:tcPr>
            <w:tcW w:w="3410" w:type="dxa"/>
            <w:shd w:val="clear" w:color="auto" w:fill="EFD3D2"/>
          </w:tcPr>
          <w:p w:rsidR="00844684" w:rsidRPr="00C5494E" w:rsidRDefault="00844684" w:rsidP="00844684">
            <w:pPr>
              <w:pStyle w:val="Tabletext"/>
              <w:rPr>
                <w:color w:val="auto"/>
              </w:rPr>
            </w:pPr>
            <w:r w:rsidRPr="00C5494E">
              <w:rPr>
                <w:color w:val="auto"/>
              </w:rPr>
              <w:t xml:space="preserve">Is there interconnection </w:t>
            </w:r>
            <w:r w:rsidR="00C5494E" w:rsidRPr="00C5494E">
              <w:rPr>
                <w:color w:val="auto"/>
              </w:rPr>
              <w:t>framework mandated by the regulator</w:t>
            </w:r>
            <w:r w:rsidRPr="00C5494E">
              <w:rPr>
                <w:color w:val="auto"/>
              </w:rPr>
              <w:t>?</w:t>
            </w:r>
          </w:p>
        </w:tc>
        <w:tc>
          <w:tcPr>
            <w:tcW w:w="1100" w:type="dxa"/>
            <w:shd w:val="clear" w:color="auto" w:fill="EFD3D2"/>
            <w:vAlign w:val="center"/>
          </w:tcPr>
          <w:p w:rsidR="00844684" w:rsidRPr="00C5494E" w:rsidRDefault="00844684" w:rsidP="00844684">
            <w:pPr>
              <w:pStyle w:val="Tabletext"/>
              <w:jc w:val="center"/>
              <w:rPr>
                <w:color w:val="auto"/>
              </w:rPr>
            </w:pPr>
            <w:r w:rsidRPr="00C5494E">
              <w:rPr>
                <w:color w:val="auto"/>
              </w:rPr>
              <w:t>Yes</w:t>
            </w:r>
          </w:p>
        </w:tc>
        <w:tc>
          <w:tcPr>
            <w:tcW w:w="4279" w:type="dxa"/>
            <w:shd w:val="clear" w:color="auto" w:fill="EFD3D2"/>
            <w:vAlign w:val="center"/>
          </w:tcPr>
          <w:p w:rsidR="00844684" w:rsidRPr="00C5494E" w:rsidRDefault="00844684" w:rsidP="00844684">
            <w:pPr>
              <w:pStyle w:val="Tabletext"/>
              <w:rPr>
                <w:color w:val="auto"/>
              </w:rPr>
            </w:pPr>
            <w:r w:rsidRPr="00C5494E">
              <w:rPr>
                <w:color w:val="auto"/>
              </w:rPr>
              <w:t xml:space="preserve">Interconnection </w:t>
            </w:r>
            <w:r w:rsidR="00C5494E" w:rsidRPr="00C5494E">
              <w:rPr>
                <w:color w:val="auto"/>
              </w:rPr>
              <w:t xml:space="preserve">guidelines </w:t>
            </w:r>
            <w:r w:rsidRPr="00C5494E">
              <w:rPr>
                <w:color w:val="auto"/>
              </w:rPr>
              <w:t>is available only for voice communication</w:t>
            </w: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2</w:t>
            </w:r>
          </w:p>
        </w:tc>
        <w:tc>
          <w:tcPr>
            <w:tcW w:w="3410" w:type="dxa"/>
            <w:shd w:val="clear" w:color="auto" w:fill="EFD3D2"/>
          </w:tcPr>
          <w:p w:rsidR="00844684" w:rsidRPr="00C5494E" w:rsidRDefault="00844684" w:rsidP="00844684">
            <w:pPr>
              <w:pStyle w:val="Tabletext"/>
              <w:rPr>
                <w:color w:val="auto"/>
              </w:rPr>
            </w:pPr>
            <w:r w:rsidRPr="00C5494E">
              <w:rPr>
                <w:color w:val="auto"/>
              </w:rPr>
              <w:t>Is it mandatory to publish reference interconnection offer?</w:t>
            </w:r>
          </w:p>
        </w:tc>
        <w:tc>
          <w:tcPr>
            <w:tcW w:w="1100" w:type="dxa"/>
            <w:shd w:val="clear" w:color="auto" w:fill="EFD3D2"/>
            <w:vAlign w:val="center"/>
          </w:tcPr>
          <w:p w:rsidR="00844684" w:rsidRPr="00C5494E" w:rsidRDefault="00844684" w:rsidP="00844684">
            <w:pPr>
              <w:pStyle w:val="Tabletext"/>
              <w:jc w:val="center"/>
              <w:rPr>
                <w:color w:val="auto"/>
              </w:rPr>
            </w:pPr>
            <w:r w:rsidRPr="00C5494E">
              <w:rPr>
                <w:color w:val="auto"/>
              </w:rPr>
              <w:t>Yes</w:t>
            </w:r>
          </w:p>
        </w:tc>
        <w:tc>
          <w:tcPr>
            <w:tcW w:w="4279" w:type="dxa"/>
            <w:shd w:val="clear" w:color="auto" w:fill="EFD3D2"/>
            <w:vAlign w:val="center"/>
          </w:tcPr>
          <w:p w:rsidR="00844684" w:rsidRPr="00C5494E" w:rsidRDefault="00844684" w:rsidP="00844684">
            <w:pPr>
              <w:pStyle w:val="Tabletext"/>
              <w:rPr>
                <w:color w:val="auto"/>
              </w:rPr>
            </w:pP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3</w:t>
            </w:r>
          </w:p>
        </w:tc>
        <w:tc>
          <w:tcPr>
            <w:tcW w:w="3410" w:type="dxa"/>
            <w:shd w:val="clear" w:color="auto" w:fill="EFD3D2"/>
          </w:tcPr>
          <w:p w:rsidR="00844684" w:rsidRPr="00C5494E" w:rsidRDefault="00844684" w:rsidP="00844684">
            <w:pPr>
              <w:pStyle w:val="Tabletext"/>
              <w:rPr>
                <w:color w:val="auto"/>
              </w:rPr>
            </w:pPr>
            <w:r w:rsidRPr="00C5494E">
              <w:rPr>
                <w:color w:val="auto"/>
              </w:rPr>
              <w:t>Is there specific time frame for seeking access to leased lines/ E1 circuits?</w:t>
            </w:r>
          </w:p>
        </w:tc>
        <w:tc>
          <w:tcPr>
            <w:tcW w:w="1100" w:type="dxa"/>
            <w:shd w:val="clear" w:color="auto" w:fill="EFD3D2"/>
            <w:vAlign w:val="center"/>
          </w:tcPr>
          <w:p w:rsidR="00844684" w:rsidRPr="00C5494E" w:rsidRDefault="00844684" w:rsidP="00844684">
            <w:pPr>
              <w:pStyle w:val="Tabletext"/>
              <w:jc w:val="center"/>
              <w:rPr>
                <w:color w:val="auto"/>
              </w:rPr>
            </w:pPr>
            <w:r w:rsidRPr="00C5494E">
              <w:rPr>
                <w:color w:val="auto"/>
              </w:rPr>
              <w:t>Yes</w:t>
            </w:r>
          </w:p>
        </w:tc>
        <w:tc>
          <w:tcPr>
            <w:tcW w:w="4279" w:type="dxa"/>
            <w:shd w:val="clear" w:color="auto" w:fill="EFD3D2"/>
            <w:vAlign w:val="center"/>
          </w:tcPr>
          <w:p w:rsidR="00844684" w:rsidRPr="00C5494E" w:rsidRDefault="00844684" w:rsidP="00844684">
            <w:pPr>
              <w:pStyle w:val="Tabletext"/>
              <w:rPr>
                <w:color w:val="auto"/>
              </w:rPr>
            </w:pP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4</w:t>
            </w:r>
          </w:p>
        </w:tc>
        <w:tc>
          <w:tcPr>
            <w:tcW w:w="3410" w:type="dxa"/>
            <w:shd w:val="clear" w:color="auto" w:fill="EFD3D2"/>
          </w:tcPr>
          <w:p w:rsidR="00844684" w:rsidRPr="00C5494E" w:rsidRDefault="00844684" w:rsidP="00844684">
            <w:pPr>
              <w:pStyle w:val="Tabletext"/>
              <w:rPr>
                <w:color w:val="auto"/>
              </w:rPr>
            </w:pPr>
            <w:r w:rsidRPr="00C5494E">
              <w:rPr>
                <w:color w:val="auto"/>
              </w:rPr>
              <w:t xml:space="preserve">Is the price of backhaul regulated? </w:t>
            </w:r>
          </w:p>
        </w:tc>
        <w:tc>
          <w:tcPr>
            <w:tcW w:w="1100" w:type="dxa"/>
            <w:shd w:val="clear" w:color="auto" w:fill="EFD3D2"/>
            <w:vAlign w:val="center"/>
          </w:tcPr>
          <w:p w:rsidR="00844684" w:rsidRPr="00C5494E" w:rsidRDefault="00844684" w:rsidP="00844684">
            <w:pPr>
              <w:pStyle w:val="Tabletext"/>
              <w:jc w:val="center"/>
              <w:rPr>
                <w:color w:val="auto"/>
              </w:rPr>
            </w:pPr>
            <w:r w:rsidRPr="00C5494E">
              <w:rPr>
                <w:color w:val="auto"/>
              </w:rPr>
              <w:t>No</w:t>
            </w:r>
          </w:p>
        </w:tc>
        <w:tc>
          <w:tcPr>
            <w:tcW w:w="4279" w:type="dxa"/>
            <w:shd w:val="clear" w:color="auto" w:fill="EFD3D2"/>
            <w:vAlign w:val="center"/>
          </w:tcPr>
          <w:p w:rsidR="00844684" w:rsidRPr="00C5494E" w:rsidRDefault="00844684" w:rsidP="00844684">
            <w:pPr>
              <w:pStyle w:val="Tabletext"/>
              <w:rPr>
                <w:color w:val="auto"/>
              </w:rPr>
            </w:pP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5</w:t>
            </w:r>
          </w:p>
        </w:tc>
        <w:tc>
          <w:tcPr>
            <w:tcW w:w="3410" w:type="dxa"/>
            <w:shd w:val="clear" w:color="auto" w:fill="EFD3D2"/>
          </w:tcPr>
          <w:p w:rsidR="00844684" w:rsidRPr="00C5494E" w:rsidRDefault="00844684" w:rsidP="00844684">
            <w:pPr>
              <w:pStyle w:val="Tabletext"/>
              <w:rPr>
                <w:color w:val="auto"/>
              </w:rPr>
            </w:pPr>
            <w:r w:rsidRPr="00C5494E">
              <w:rPr>
                <w:color w:val="auto"/>
              </w:rPr>
              <w:t xml:space="preserve">Price for 2Mbps leased circuit </w:t>
            </w:r>
          </w:p>
          <w:p w:rsidR="00844684" w:rsidRPr="00C5494E" w:rsidRDefault="00844684" w:rsidP="00844684">
            <w:pPr>
              <w:pStyle w:val="Tabletext"/>
              <w:rPr>
                <w:color w:val="auto"/>
              </w:rPr>
            </w:pPr>
            <w:r w:rsidRPr="00C5494E">
              <w:rPr>
                <w:color w:val="auto"/>
              </w:rPr>
              <w:t xml:space="preserve">(USD) </w:t>
            </w:r>
          </w:p>
        </w:tc>
        <w:tc>
          <w:tcPr>
            <w:tcW w:w="5379" w:type="dxa"/>
            <w:gridSpan w:val="2"/>
            <w:shd w:val="clear" w:color="auto" w:fill="EFD3D2"/>
            <w:vAlign w:val="center"/>
          </w:tcPr>
          <w:p w:rsidR="00844684" w:rsidRPr="00C5494E" w:rsidRDefault="00844684" w:rsidP="00844684">
            <w:pPr>
              <w:pStyle w:val="Tabletext"/>
              <w:jc w:val="center"/>
              <w:rPr>
                <w:color w:val="auto"/>
              </w:rPr>
            </w:pP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6</w:t>
            </w:r>
          </w:p>
        </w:tc>
        <w:tc>
          <w:tcPr>
            <w:tcW w:w="3410" w:type="dxa"/>
            <w:shd w:val="clear" w:color="auto" w:fill="EFD3D2"/>
          </w:tcPr>
          <w:p w:rsidR="00844684" w:rsidRPr="00C5494E" w:rsidRDefault="00844684" w:rsidP="00844684">
            <w:pPr>
              <w:pStyle w:val="Tabletext"/>
              <w:rPr>
                <w:color w:val="auto"/>
              </w:rPr>
            </w:pPr>
            <w:r w:rsidRPr="00C5494E">
              <w:rPr>
                <w:color w:val="auto"/>
              </w:rPr>
              <w:t xml:space="preserve">Access to international gateway is allowed to access seekers? </w:t>
            </w:r>
          </w:p>
        </w:tc>
        <w:tc>
          <w:tcPr>
            <w:tcW w:w="1100" w:type="dxa"/>
            <w:shd w:val="clear" w:color="auto" w:fill="EFD3D2"/>
            <w:vAlign w:val="center"/>
          </w:tcPr>
          <w:p w:rsidR="00844684" w:rsidRPr="00C5494E" w:rsidRDefault="00844684" w:rsidP="00844684">
            <w:pPr>
              <w:pStyle w:val="Tabletext"/>
              <w:jc w:val="center"/>
              <w:rPr>
                <w:color w:val="auto"/>
              </w:rPr>
            </w:pPr>
            <w:r w:rsidRPr="00C5494E">
              <w:rPr>
                <w:color w:val="auto"/>
              </w:rPr>
              <w:t>Yes</w:t>
            </w:r>
          </w:p>
        </w:tc>
        <w:tc>
          <w:tcPr>
            <w:tcW w:w="4279" w:type="dxa"/>
            <w:shd w:val="clear" w:color="auto" w:fill="EFD3D2"/>
            <w:vAlign w:val="center"/>
          </w:tcPr>
          <w:p w:rsidR="00844684" w:rsidRPr="00C5494E" w:rsidRDefault="00844684" w:rsidP="00844684">
            <w:pPr>
              <w:pStyle w:val="Tabletext"/>
              <w:rPr>
                <w:color w:val="auto"/>
              </w:rPr>
            </w:pP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7</w:t>
            </w:r>
          </w:p>
        </w:tc>
        <w:tc>
          <w:tcPr>
            <w:tcW w:w="3410" w:type="dxa"/>
            <w:shd w:val="clear" w:color="auto" w:fill="EFD3D2"/>
          </w:tcPr>
          <w:p w:rsidR="00844684" w:rsidRPr="00C5494E" w:rsidRDefault="00844684" w:rsidP="00844684">
            <w:pPr>
              <w:pStyle w:val="Tabletext"/>
              <w:rPr>
                <w:color w:val="auto"/>
              </w:rPr>
            </w:pPr>
            <w:r w:rsidRPr="00C5494E">
              <w:rPr>
                <w:color w:val="auto"/>
              </w:rPr>
              <w:t xml:space="preserve">VOIP termination rates mandated? </w:t>
            </w:r>
          </w:p>
        </w:tc>
        <w:tc>
          <w:tcPr>
            <w:tcW w:w="1100" w:type="dxa"/>
            <w:shd w:val="clear" w:color="auto" w:fill="EFD3D2"/>
            <w:vAlign w:val="center"/>
          </w:tcPr>
          <w:p w:rsidR="00844684" w:rsidRPr="00C5494E" w:rsidRDefault="00844684" w:rsidP="00844684">
            <w:pPr>
              <w:pStyle w:val="Tabletext"/>
              <w:jc w:val="center"/>
              <w:rPr>
                <w:color w:val="auto"/>
              </w:rPr>
            </w:pPr>
            <w:r w:rsidRPr="00C5494E">
              <w:rPr>
                <w:color w:val="auto"/>
              </w:rPr>
              <w:t>No</w:t>
            </w:r>
          </w:p>
        </w:tc>
        <w:tc>
          <w:tcPr>
            <w:tcW w:w="4279" w:type="dxa"/>
            <w:shd w:val="clear" w:color="auto" w:fill="EFD3D2"/>
            <w:vAlign w:val="center"/>
          </w:tcPr>
          <w:p w:rsidR="00844684" w:rsidRPr="00C5494E" w:rsidRDefault="00844684" w:rsidP="000F4A58">
            <w:pPr>
              <w:pStyle w:val="Tabletext"/>
              <w:rPr>
                <w:color w:val="auto"/>
              </w:rPr>
            </w:pPr>
            <w:r w:rsidRPr="00C5494E">
              <w:rPr>
                <w:color w:val="auto"/>
              </w:rPr>
              <w:t>Only outgoing international calls require a licen</w:t>
            </w:r>
            <w:r w:rsidR="000F4A58" w:rsidRPr="00C5494E">
              <w:rPr>
                <w:color w:val="auto"/>
              </w:rPr>
              <w:t>c</w:t>
            </w:r>
            <w:r w:rsidRPr="00C5494E">
              <w:rPr>
                <w:color w:val="auto"/>
              </w:rPr>
              <w:t>e for VOIP</w:t>
            </w: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8</w:t>
            </w:r>
          </w:p>
        </w:tc>
        <w:tc>
          <w:tcPr>
            <w:tcW w:w="3410" w:type="dxa"/>
            <w:shd w:val="clear" w:color="auto" w:fill="EFD3D2"/>
          </w:tcPr>
          <w:p w:rsidR="00844684" w:rsidRPr="00C5494E" w:rsidRDefault="00844684" w:rsidP="00844684">
            <w:pPr>
              <w:pStyle w:val="Tabletext"/>
              <w:rPr>
                <w:color w:val="auto"/>
              </w:rPr>
            </w:pPr>
            <w:r w:rsidRPr="00C5494E">
              <w:rPr>
                <w:color w:val="auto"/>
              </w:rPr>
              <w:t>Is VOIP interconnection with PSTN/PLMN permitted?</w:t>
            </w:r>
          </w:p>
        </w:tc>
        <w:tc>
          <w:tcPr>
            <w:tcW w:w="1100" w:type="dxa"/>
            <w:shd w:val="clear" w:color="auto" w:fill="EFD3D2"/>
            <w:vAlign w:val="center"/>
          </w:tcPr>
          <w:p w:rsidR="00844684" w:rsidRPr="00C5494E" w:rsidRDefault="00844684" w:rsidP="00844684">
            <w:pPr>
              <w:pStyle w:val="Tabletext"/>
              <w:jc w:val="center"/>
              <w:rPr>
                <w:color w:val="auto"/>
              </w:rPr>
            </w:pPr>
            <w:r w:rsidRPr="00C5494E">
              <w:rPr>
                <w:color w:val="auto"/>
              </w:rPr>
              <w:t>No</w:t>
            </w:r>
          </w:p>
        </w:tc>
        <w:tc>
          <w:tcPr>
            <w:tcW w:w="4279" w:type="dxa"/>
            <w:shd w:val="clear" w:color="auto" w:fill="EFD3D2"/>
            <w:vAlign w:val="center"/>
          </w:tcPr>
          <w:p w:rsidR="00844684" w:rsidRPr="00C5494E" w:rsidRDefault="00844684" w:rsidP="00844684">
            <w:pPr>
              <w:pStyle w:val="Tabletext"/>
              <w:rPr>
                <w:color w:val="auto"/>
              </w:rPr>
            </w:pP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9</w:t>
            </w:r>
          </w:p>
        </w:tc>
        <w:tc>
          <w:tcPr>
            <w:tcW w:w="3410" w:type="dxa"/>
            <w:shd w:val="clear" w:color="auto" w:fill="EFD3D2"/>
          </w:tcPr>
          <w:p w:rsidR="00844684" w:rsidRPr="00C5494E" w:rsidRDefault="00844684" w:rsidP="00844684">
            <w:pPr>
              <w:pStyle w:val="Tabletext"/>
              <w:rPr>
                <w:color w:val="auto"/>
              </w:rPr>
            </w:pPr>
            <w:r w:rsidRPr="00C5494E">
              <w:rPr>
                <w:color w:val="auto"/>
              </w:rPr>
              <w:t xml:space="preserve">Is the price for collocation mandated? </w:t>
            </w:r>
          </w:p>
        </w:tc>
        <w:tc>
          <w:tcPr>
            <w:tcW w:w="1100" w:type="dxa"/>
            <w:shd w:val="clear" w:color="auto" w:fill="EFD3D2"/>
            <w:vAlign w:val="center"/>
          </w:tcPr>
          <w:p w:rsidR="00844684" w:rsidRPr="00C5494E" w:rsidRDefault="00844684" w:rsidP="00844684">
            <w:pPr>
              <w:pStyle w:val="Tabletext"/>
              <w:jc w:val="center"/>
              <w:rPr>
                <w:color w:val="auto"/>
              </w:rPr>
            </w:pPr>
            <w:r w:rsidRPr="00C5494E">
              <w:rPr>
                <w:color w:val="auto"/>
              </w:rPr>
              <w:t>No</w:t>
            </w:r>
          </w:p>
        </w:tc>
        <w:tc>
          <w:tcPr>
            <w:tcW w:w="4279" w:type="dxa"/>
            <w:shd w:val="clear" w:color="auto" w:fill="EFD3D2"/>
            <w:vAlign w:val="center"/>
          </w:tcPr>
          <w:p w:rsidR="00844684" w:rsidRPr="00C5494E" w:rsidRDefault="00844684" w:rsidP="00844684">
            <w:pPr>
              <w:pStyle w:val="Tabletext"/>
              <w:rPr>
                <w:color w:val="auto"/>
              </w:rPr>
            </w:pP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10</w:t>
            </w:r>
          </w:p>
        </w:tc>
        <w:tc>
          <w:tcPr>
            <w:tcW w:w="3410" w:type="dxa"/>
            <w:shd w:val="clear" w:color="auto" w:fill="EFD3D2"/>
          </w:tcPr>
          <w:p w:rsidR="00844684" w:rsidRPr="00C5494E" w:rsidRDefault="00844684" w:rsidP="00844684">
            <w:pPr>
              <w:pStyle w:val="Tabletext"/>
              <w:rPr>
                <w:color w:val="auto"/>
              </w:rPr>
            </w:pPr>
            <w:r w:rsidRPr="00C5494E">
              <w:rPr>
                <w:color w:val="auto"/>
              </w:rPr>
              <w:t>Is price for 3G termination mandated? Is it different than 2G termination rates?</w:t>
            </w:r>
          </w:p>
        </w:tc>
        <w:tc>
          <w:tcPr>
            <w:tcW w:w="1100" w:type="dxa"/>
            <w:shd w:val="clear" w:color="auto" w:fill="EFD3D2"/>
            <w:vAlign w:val="center"/>
          </w:tcPr>
          <w:p w:rsidR="00844684" w:rsidRPr="00C5494E" w:rsidRDefault="00844684" w:rsidP="00844684">
            <w:pPr>
              <w:pStyle w:val="Tabletext"/>
              <w:jc w:val="center"/>
              <w:rPr>
                <w:color w:val="auto"/>
              </w:rPr>
            </w:pPr>
            <w:r w:rsidRPr="00C5494E">
              <w:rPr>
                <w:color w:val="auto"/>
              </w:rPr>
              <w:t>No</w:t>
            </w:r>
          </w:p>
        </w:tc>
        <w:tc>
          <w:tcPr>
            <w:tcW w:w="4279" w:type="dxa"/>
            <w:shd w:val="clear" w:color="auto" w:fill="EFD3D2"/>
            <w:vAlign w:val="center"/>
          </w:tcPr>
          <w:p w:rsidR="00844684" w:rsidRPr="00C5494E" w:rsidRDefault="00844684" w:rsidP="00844684">
            <w:pPr>
              <w:pStyle w:val="Tabletext"/>
              <w:rPr>
                <w:color w:val="auto"/>
              </w:rPr>
            </w:pPr>
          </w:p>
        </w:tc>
      </w:tr>
      <w:tr w:rsidR="00844684" w:rsidRPr="00C5494E" w:rsidTr="00FB239F">
        <w:trPr>
          <w:jc w:val="center"/>
        </w:trPr>
        <w:tc>
          <w:tcPr>
            <w:tcW w:w="739" w:type="dxa"/>
            <w:vMerge w:val="restart"/>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11</w:t>
            </w:r>
          </w:p>
        </w:tc>
        <w:tc>
          <w:tcPr>
            <w:tcW w:w="3410" w:type="dxa"/>
            <w:shd w:val="clear" w:color="auto" w:fill="EFD3D2"/>
          </w:tcPr>
          <w:p w:rsidR="00844684" w:rsidRPr="00C5494E" w:rsidRDefault="00844684" w:rsidP="00844684">
            <w:pPr>
              <w:pStyle w:val="Tabletext"/>
              <w:rPr>
                <w:color w:val="auto"/>
              </w:rPr>
            </w:pPr>
            <w:r w:rsidRPr="00C5494E">
              <w:rPr>
                <w:color w:val="auto"/>
              </w:rPr>
              <w:t xml:space="preserve">Mandated </w:t>
            </w:r>
            <w:r w:rsidR="00C5494E" w:rsidRPr="00C5494E">
              <w:rPr>
                <w:color w:val="auto"/>
              </w:rPr>
              <w:t xml:space="preserve">termination rates by regulator </w:t>
            </w:r>
          </w:p>
        </w:tc>
        <w:tc>
          <w:tcPr>
            <w:tcW w:w="1100" w:type="dxa"/>
            <w:shd w:val="clear" w:color="auto" w:fill="EFD3D2"/>
            <w:vAlign w:val="center"/>
          </w:tcPr>
          <w:p w:rsidR="00844684" w:rsidRPr="00C5494E" w:rsidRDefault="00844684" w:rsidP="00844684">
            <w:pPr>
              <w:pStyle w:val="Tabletext"/>
              <w:jc w:val="center"/>
              <w:rPr>
                <w:color w:val="auto"/>
              </w:rPr>
            </w:pPr>
          </w:p>
        </w:tc>
        <w:tc>
          <w:tcPr>
            <w:tcW w:w="4279" w:type="dxa"/>
            <w:shd w:val="clear" w:color="auto" w:fill="EFD3D2"/>
            <w:vAlign w:val="center"/>
          </w:tcPr>
          <w:p w:rsidR="00844684" w:rsidRPr="00C5494E" w:rsidRDefault="00844684" w:rsidP="00844684">
            <w:pPr>
              <w:pStyle w:val="Tabletext"/>
              <w:rPr>
                <w:color w:val="auto"/>
              </w:rPr>
            </w:pPr>
          </w:p>
        </w:tc>
      </w:tr>
      <w:tr w:rsidR="00844684" w:rsidRPr="00C5494E" w:rsidTr="00FB239F">
        <w:trPr>
          <w:jc w:val="center"/>
        </w:trPr>
        <w:tc>
          <w:tcPr>
            <w:tcW w:w="739" w:type="dxa"/>
            <w:vMerge/>
            <w:shd w:val="clear" w:color="auto" w:fill="990033"/>
          </w:tcPr>
          <w:p w:rsidR="00844684" w:rsidRPr="00C5494E" w:rsidRDefault="00844684" w:rsidP="00FB239F">
            <w:pPr>
              <w:pStyle w:val="Tablehead"/>
              <w:rPr>
                <w:color w:val="FFFFFF" w:themeColor="background1"/>
                <w:lang w:val="en-GB"/>
              </w:rPr>
            </w:pPr>
          </w:p>
        </w:tc>
        <w:tc>
          <w:tcPr>
            <w:tcW w:w="3410" w:type="dxa"/>
            <w:shd w:val="clear" w:color="auto" w:fill="EFD3D2"/>
          </w:tcPr>
          <w:p w:rsidR="00844684" w:rsidRPr="00C5494E" w:rsidRDefault="00844684" w:rsidP="00844684">
            <w:pPr>
              <w:pStyle w:val="Tabletext"/>
              <w:rPr>
                <w:color w:val="auto"/>
              </w:rPr>
            </w:pPr>
            <w:r w:rsidRPr="00C5494E">
              <w:rPr>
                <w:color w:val="auto"/>
              </w:rPr>
              <w:tab/>
              <w:t xml:space="preserve">a) </w:t>
            </w:r>
            <w:smartTag w:uri="urn:schemas-microsoft-com:office:smarttags" w:element="place">
              <w:smartTag w:uri="urn:schemas-microsoft-com:office:smarttags" w:element="City">
                <w:r w:rsidRPr="00C5494E">
                  <w:rPr>
                    <w:color w:val="auto"/>
                  </w:rPr>
                  <w:t>Mobile</w:t>
                </w:r>
              </w:smartTag>
            </w:smartTag>
          </w:p>
        </w:tc>
        <w:tc>
          <w:tcPr>
            <w:tcW w:w="1100" w:type="dxa"/>
            <w:shd w:val="clear" w:color="auto" w:fill="EFD3D2"/>
            <w:vAlign w:val="center"/>
          </w:tcPr>
          <w:p w:rsidR="00844684" w:rsidRPr="00C5494E" w:rsidRDefault="006423A3" w:rsidP="00844684">
            <w:pPr>
              <w:pStyle w:val="Tabletext"/>
              <w:jc w:val="center"/>
              <w:rPr>
                <w:color w:val="auto"/>
              </w:rPr>
            </w:pPr>
            <w:r w:rsidRPr="00C5494E">
              <w:rPr>
                <w:color w:val="auto"/>
              </w:rPr>
              <w:t>–</w:t>
            </w:r>
          </w:p>
        </w:tc>
        <w:tc>
          <w:tcPr>
            <w:tcW w:w="4279" w:type="dxa"/>
            <w:shd w:val="clear" w:color="auto" w:fill="EFD3D2"/>
            <w:vAlign w:val="center"/>
          </w:tcPr>
          <w:p w:rsidR="00844684" w:rsidRPr="00C5494E" w:rsidRDefault="00844684" w:rsidP="00844684">
            <w:pPr>
              <w:pStyle w:val="Tabletext"/>
              <w:rPr>
                <w:color w:val="auto"/>
              </w:rPr>
            </w:pPr>
            <w:r w:rsidRPr="00C5494E">
              <w:rPr>
                <w:color w:val="auto"/>
              </w:rPr>
              <w:t>Not mandated</w:t>
            </w:r>
          </w:p>
        </w:tc>
      </w:tr>
      <w:tr w:rsidR="00844684" w:rsidRPr="00C5494E" w:rsidTr="00FB239F">
        <w:trPr>
          <w:jc w:val="center"/>
        </w:trPr>
        <w:tc>
          <w:tcPr>
            <w:tcW w:w="739" w:type="dxa"/>
            <w:vMerge/>
            <w:shd w:val="clear" w:color="auto" w:fill="990033"/>
          </w:tcPr>
          <w:p w:rsidR="00844684" w:rsidRPr="00C5494E" w:rsidRDefault="00844684" w:rsidP="00FB239F">
            <w:pPr>
              <w:pStyle w:val="Tablehead"/>
              <w:rPr>
                <w:color w:val="FFFFFF" w:themeColor="background1"/>
                <w:lang w:val="en-GB"/>
              </w:rPr>
            </w:pPr>
          </w:p>
        </w:tc>
        <w:tc>
          <w:tcPr>
            <w:tcW w:w="3410" w:type="dxa"/>
            <w:shd w:val="clear" w:color="auto" w:fill="EFD3D2"/>
          </w:tcPr>
          <w:p w:rsidR="00844684" w:rsidRPr="00C5494E" w:rsidRDefault="00844684" w:rsidP="00844684">
            <w:pPr>
              <w:pStyle w:val="Tabletext"/>
              <w:rPr>
                <w:color w:val="auto"/>
              </w:rPr>
            </w:pPr>
            <w:r w:rsidRPr="00C5494E">
              <w:rPr>
                <w:color w:val="auto"/>
              </w:rPr>
              <w:tab/>
              <w:t xml:space="preserve">b) Fixed </w:t>
            </w:r>
          </w:p>
        </w:tc>
        <w:tc>
          <w:tcPr>
            <w:tcW w:w="1100" w:type="dxa"/>
            <w:shd w:val="clear" w:color="auto" w:fill="EFD3D2"/>
            <w:vAlign w:val="center"/>
          </w:tcPr>
          <w:p w:rsidR="00844684" w:rsidRPr="00C5494E" w:rsidRDefault="006423A3" w:rsidP="006423A3">
            <w:pPr>
              <w:pStyle w:val="Tabletext"/>
              <w:jc w:val="center"/>
              <w:rPr>
                <w:color w:val="auto"/>
              </w:rPr>
            </w:pPr>
            <w:r w:rsidRPr="00C5494E">
              <w:rPr>
                <w:color w:val="auto"/>
              </w:rPr>
              <w:t>–</w:t>
            </w:r>
          </w:p>
        </w:tc>
        <w:tc>
          <w:tcPr>
            <w:tcW w:w="4279" w:type="dxa"/>
            <w:shd w:val="clear" w:color="auto" w:fill="EFD3D2"/>
            <w:vAlign w:val="center"/>
          </w:tcPr>
          <w:p w:rsidR="00844684" w:rsidRPr="00C5494E" w:rsidRDefault="00844684" w:rsidP="00844684">
            <w:pPr>
              <w:pStyle w:val="Tabletext"/>
              <w:rPr>
                <w:color w:val="auto"/>
              </w:rPr>
            </w:pP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12</w:t>
            </w:r>
          </w:p>
        </w:tc>
        <w:tc>
          <w:tcPr>
            <w:tcW w:w="3410" w:type="dxa"/>
            <w:shd w:val="clear" w:color="auto" w:fill="EFD3D2"/>
          </w:tcPr>
          <w:p w:rsidR="00844684" w:rsidRPr="00C5494E" w:rsidRDefault="00844684" w:rsidP="00844684">
            <w:pPr>
              <w:pStyle w:val="Tabletext"/>
              <w:rPr>
                <w:color w:val="auto"/>
              </w:rPr>
            </w:pPr>
            <w:r w:rsidRPr="00C5494E">
              <w:rPr>
                <w:color w:val="auto"/>
              </w:rPr>
              <w:t>Price of 1MB data download using speeds higher than 256 kbps on mobile devices</w:t>
            </w:r>
          </w:p>
        </w:tc>
        <w:tc>
          <w:tcPr>
            <w:tcW w:w="1100" w:type="dxa"/>
            <w:shd w:val="clear" w:color="auto" w:fill="EFD3D2"/>
            <w:vAlign w:val="center"/>
          </w:tcPr>
          <w:p w:rsidR="00844684" w:rsidRPr="00C5494E" w:rsidRDefault="00844684" w:rsidP="00844684">
            <w:pPr>
              <w:pStyle w:val="Tabletext"/>
              <w:jc w:val="center"/>
              <w:rPr>
                <w:color w:val="auto"/>
              </w:rPr>
            </w:pPr>
          </w:p>
        </w:tc>
        <w:tc>
          <w:tcPr>
            <w:tcW w:w="4279" w:type="dxa"/>
            <w:shd w:val="clear" w:color="auto" w:fill="EFD3D2"/>
            <w:vAlign w:val="center"/>
          </w:tcPr>
          <w:p w:rsidR="00844684" w:rsidRPr="00C5494E" w:rsidRDefault="00844684" w:rsidP="00C5494E">
            <w:pPr>
              <w:pStyle w:val="Tabletext"/>
              <w:rPr>
                <w:color w:val="auto"/>
              </w:rPr>
            </w:pPr>
            <w:r w:rsidRPr="00C5494E">
              <w:rPr>
                <w:color w:val="auto"/>
              </w:rPr>
              <w:t xml:space="preserve">Only </w:t>
            </w:r>
            <w:r w:rsidR="00C5494E" w:rsidRPr="00C5494E">
              <w:rPr>
                <w:color w:val="auto"/>
              </w:rPr>
              <w:t>v</w:t>
            </w:r>
            <w:r w:rsidRPr="00C5494E">
              <w:rPr>
                <w:color w:val="auto"/>
              </w:rPr>
              <w:t>olume</w:t>
            </w:r>
            <w:r w:rsidR="00C5494E">
              <w:rPr>
                <w:color w:val="auto"/>
              </w:rPr>
              <w:t>-</w:t>
            </w:r>
            <w:r w:rsidRPr="00C5494E">
              <w:rPr>
                <w:color w:val="auto"/>
              </w:rPr>
              <w:t>based tariff exists</w:t>
            </w: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13</w:t>
            </w:r>
          </w:p>
        </w:tc>
        <w:tc>
          <w:tcPr>
            <w:tcW w:w="3410" w:type="dxa"/>
            <w:shd w:val="clear" w:color="auto" w:fill="EFD3D2"/>
          </w:tcPr>
          <w:p w:rsidR="00844684" w:rsidRPr="00C5494E" w:rsidRDefault="00844684" w:rsidP="00844684">
            <w:pPr>
              <w:pStyle w:val="Tabletext"/>
              <w:rPr>
                <w:color w:val="auto"/>
              </w:rPr>
            </w:pPr>
            <w:r w:rsidRPr="00C5494E">
              <w:rPr>
                <w:color w:val="auto"/>
              </w:rPr>
              <w:t>Price for connection service (connecting to International portion of leased circuit)</w:t>
            </w:r>
          </w:p>
        </w:tc>
        <w:tc>
          <w:tcPr>
            <w:tcW w:w="1100" w:type="dxa"/>
            <w:shd w:val="clear" w:color="auto" w:fill="EFD3D2"/>
            <w:vAlign w:val="center"/>
          </w:tcPr>
          <w:p w:rsidR="00844684" w:rsidRPr="00C5494E" w:rsidRDefault="00844684" w:rsidP="00844684">
            <w:pPr>
              <w:pStyle w:val="Tabletext"/>
              <w:jc w:val="center"/>
              <w:rPr>
                <w:color w:val="auto"/>
              </w:rPr>
            </w:pPr>
          </w:p>
        </w:tc>
        <w:tc>
          <w:tcPr>
            <w:tcW w:w="4279" w:type="dxa"/>
            <w:shd w:val="clear" w:color="auto" w:fill="EFD3D2"/>
            <w:vAlign w:val="center"/>
          </w:tcPr>
          <w:p w:rsidR="00844684" w:rsidRPr="00C5494E" w:rsidRDefault="00844684" w:rsidP="00844684">
            <w:pPr>
              <w:pStyle w:val="Tabletext"/>
              <w:rPr>
                <w:color w:val="auto"/>
              </w:rPr>
            </w:pPr>
            <w:r w:rsidRPr="00C5494E">
              <w:rPr>
                <w:color w:val="auto"/>
              </w:rPr>
              <w:t>No control. Varies with different NSP.</w:t>
            </w:r>
          </w:p>
        </w:tc>
      </w:tr>
      <w:tr w:rsidR="00844684" w:rsidRPr="00C5494E" w:rsidTr="00FB239F">
        <w:trPr>
          <w:jc w:val="center"/>
        </w:trPr>
        <w:tc>
          <w:tcPr>
            <w:tcW w:w="739" w:type="dxa"/>
            <w:shd w:val="clear" w:color="auto" w:fill="990033"/>
          </w:tcPr>
          <w:p w:rsidR="00844684" w:rsidRPr="00C5494E" w:rsidRDefault="00844684" w:rsidP="00FB239F">
            <w:pPr>
              <w:pStyle w:val="Tablehead"/>
              <w:rPr>
                <w:color w:val="FFFFFF" w:themeColor="background1"/>
                <w:lang w:val="en-GB"/>
              </w:rPr>
            </w:pPr>
            <w:r w:rsidRPr="00C5494E">
              <w:rPr>
                <w:color w:val="FFFFFF" w:themeColor="background1"/>
                <w:lang w:val="en-GB"/>
              </w:rPr>
              <w:t>14</w:t>
            </w:r>
          </w:p>
        </w:tc>
        <w:tc>
          <w:tcPr>
            <w:tcW w:w="3410" w:type="dxa"/>
            <w:shd w:val="clear" w:color="auto" w:fill="EFD3D2"/>
          </w:tcPr>
          <w:p w:rsidR="00844684" w:rsidRPr="00C5494E" w:rsidRDefault="00844684" w:rsidP="00844684">
            <w:pPr>
              <w:pStyle w:val="Tabletext"/>
              <w:rPr>
                <w:color w:val="auto"/>
              </w:rPr>
            </w:pPr>
            <w:r w:rsidRPr="00C5494E">
              <w:rPr>
                <w:color w:val="auto"/>
              </w:rPr>
              <w:t xml:space="preserve">Price for 2Mbps DSL </w:t>
            </w:r>
            <w:r w:rsidR="00C5494E" w:rsidRPr="00C5494E">
              <w:rPr>
                <w:color w:val="auto"/>
              </w:rPr>
              <w:t xml:space="preserve">connection </w:t>
            </w:r>
            <w:r w:rsidRPr="00C5494E">
              <w:rPr>
                <w:color w:val="auto"/>
              </w:rPr>
              <w:t>per month</w:t>
            </w:r>
          </w:p>
        </w:tc>
        <w:tc>
          <w:tcPr>
            <w:tcW w:w="1100" w:type="dxa"/>
            <w:shd w:val="clear" w:color="auto" w:fill="EFD3D2"/>
            <w:vAlign w:val="center"/>
          </w:tcPr>
          <w:p w:rsidR="00844684" w:rsidRPr="00C5494E" w:rsidRDefault="00844684" w:rsidP="00844684">
            <w:pPr>
              <w:pStyle w:val="Tabletext"/>
              <w:jc w:val="center"/>
              <w:rPr>
                <w:color w:val="auto"/>
              </w:rPr>
            </w:pPr>
          </w:p>
        </w:tc>
        <w:tc>
          <w:tcPr>
            <w:tcW w:w="4279" w:type="dxa"/>
            <w:shd w:val="clear" w:color="auto" w:fill="EFD3D2"/>
            <w:vAlign w:val="center"/>
          </w:tcPr>
          <w:p w:rsidR="00844684" w:rsidRPr="00C5494E" w:rsidRDefault="00844684" w:rsidP="00844684">
            <w:pPr>
              <w:pStyle w:val="Tabletext"/>
              <w:rPr>
                <w:color w:val="auto"/>
              </w:rPr>
            </w:pPr>
            <w:r w:rsidRPr="00C5494E">
              <w:rPr>
                <w:color w:val="auto"/>
              </w:rPr>
              <w:t>USD</w:t>
            </w:r>
            <w:r w:rsidR="00C5494E">
              <w:rPr>
                <w:color w:val="auto"/>
              </w:rPr>
              <w:t> </w:t>
            </w:r>
            <w:r w:rsidRPr="00C5494E">
              <w:rPr>
                <w:color w:val="auto"/>
              </w:rPr>
              <w:t>1400 for symmetric Internet access</w:t>
            </w:r>
          </w:p>
          <w:p w:rsidR="00844684" w:rsidRPr="00C5494E" w:rsidRDefault="00844684" w:rsidP="00844684">
            <w:pPr>
              <w:pStyle w:val="Tabletext"/>
              <w:rPr>
                <w:color w:val="auto"/>
              </w:rPr>
            </w:pPr>
            <w:r w:rsidRPr="00C5494E">
              <w:rPr>
                <w:color w:val="auto"/>
              </w:rPr>
              <w:t>USD</w:t>
            </w:r>
            <w:r w:rsidR="00C5494E">
              <w:rPr>
                <w:color w:val="auto"/>
              </w:rPr>
              <w:t> </w:t>
            </w:r>
            <w:r w:rsidRPr="00C5494E">
              <w:rPr>
                <w:color w:val="auto"/>
              </w:rPr>
              <w:t>150 for intranet access</w:t>
            </w:r>
          </w:p>
        </w:tc>
      </w:tr>
    </w:tbl>
    <w:p w:rsidR="00844684" w:rsidRPr="00C5494E" w:rsidRDefault="00844684" w:rsidP="00844684"/>
    <w:p w:rsidR="00844684" w:rsidRPr="00C5494E" w:rsidRDefault="00844684" w:rsidP="00F75B07"/>
    <w:sectPr w:rsidR="00844684" w:rsidRPr="00C5494E" w:rsidSect="00C55197">
      <w:headerReference w:type="even" r:id="rId86"/>
      <w:footerReference w:type="even" r:id="rId87"/>
      <w:footerReference w:type="default" r:id="rId88"/>
      <w:type w:val="oddPage"/>
      <w:pgSz w:w="11907" w:h="16834"/>
      <w:pgMar w:top="1134" w:right="1134" w:bottom="1134" w:left="1134" w:header="567" w:footer="567"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3E4" w:rsidRDefault="009643E4" w:rsidP="00295598">
      <w:pPr>
        <w:spacing w:before="0"/>
      </w:pPr>
      <w:r>
        <w:separator/>
      </w:r>
    </w:p>
  </w:endnote>
  <w:endnote w:type="continuationSeparator" w:id="0">
    <w:p w:rsidR="009643E4" w:rsidRDefault="009643E4" w:rsidP="00295598">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tarbats">
    <w:panose1 w:val="00000000000000000000"/>
    <w:charset w:val="02"/>
    <w:family w:val="auto"/>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Tahoma">
    <w:panose1 w:val="020B0604030504040204"/>
    <w:charset w:val="00"/>
    <w:family w:val="swiss"/>
    <w:pitch w:val="variable"/>
    <w:sig w:usb0="61002A87" w:usb1="80000000" w:usb2="00000008" w:usb3="00000000" w:csb0="000101FF" w:csb1="00000000"/>
  </w:font>
  <w:font w:name="Aharoni">
    <w:panose1 w:val="00000000000000000000"/>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Univers BoldExt">
    <w:panose1 w:val="02000807060000020003"/>
    <w:charset w:val="00"/>
    <w:family w:val="auto"/>
    <w:pitch w:val="variable"/>
    <w:sig w:usb0="80000027"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A3B" w:rsidRDefault="00E05D72">
    <w:pPr>
      <w:pStyle w:val="FooterQP"/>
      <w:rPr>
        <w:b w:val="0"/>
      </w:rPr>
    </w:pPr>
    <w:r>
      <w:tab/>
    </w:r>
    <w:r>
      <w:tab/>
      <w:t>AMNT-04 – Resolution 2</w:t>
    </w:r>
    <w:r>
      <w:tab/>
    </w:r>
    <w:r w:rsidR="00D736C6">
      <w:rPr>
        <w:b w:val="0"/>
      </w:rPr>
      <w:fldChar w:fldCharType="begin"/>
    </w:r>
    <w:r>
      <w:rPr>
        <w:b w:val="0"/>
      </w:rPr>
      <w:instrText xml:space="preserve"> PAGE  \* MERGEFORMAT </w:instrText>
    </w:r>
    <w:r w:rsidR="00D736C6">
      <w:rPr>
        <w:b w:val="0"/>
      </w:rPr>
      <w:fldChar w:fldCharType="separate"/>
    </w:r>
    <w:r w:rsidR="00011BA4">
      <w:rPr>
        <w:b w:val="0"/>
        <w:noProof/>
      </w:rPr>
      <w:t>3</w:t>
    </w:r>
    <w:r w:rsidR="00D736C6">
      <w:rPr>
        <w:b w:val="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5C4" w:rsidRPr="008105C4" w:rsidRDefault="008105C4" w:rsidP="008105C4">
    <w:pPr>
      <w:pStyle w:val="FooterQP"/>
      <w:pBdr>
        <w:top w:val="single" w:sz="12" w:space="1" w:color="990033"/>
      </w:pBdr>
      <w:ind w:left="7371"/>
      <w:rPr>
        <w:bCs/>
      </w:rPr>
    </w:pPr>
    <w:r>
      <w:tab/>
    </w:r>
    <w:r>
      <w:tab/>
    </w:r>
    <w:r w:rsidR="00D736C6" w:rsidRPr="008105C4">
      <w:rPr>
        <w:bCs/>
      </w:rPr>
      <w:fldChar w:fldCharType="begin"/>
    </w:r>
    <w:r w:rsidRPr="008105C4">
      <w:rPr>
        <w:bCs/>
      </w:rPr>
      <w:instrText xml:space="preserve"> PAGE  \* MERGEFORMAT </w:instrText>
    </w:r>
    <w:r w:rsidR="00D736C6" w:rsidRPr="008105C4">
      <w:rPr>
        <w:bCs/>
      </w:rPr>
      <w:fldChar w:fldCharType="separate"/>
    </w:r>
    <w:r w:rsidR="00DC056F">
      <w:rPr>
        <w:bCs/>
        <w:noProof/>
      </w:rPr>
      <w:t>iii</w:t>
    </w:r>
    <w:r w:rsidR="00D736C6" w:rsidRPr="008105C4">
      <w:rPr>
        <w:bCs/>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DD9" w:rsidRPr="00A326B4" w:rsidRDefault="00D736C6" w:rsidP="00A326B4">
    <w:pPr>
      <w:pStyle w:val="FooterQP"/>
      <w:pBdr>
        <w:top w:val="single" w:sz="12" w:space="1" w:color="990033"/>
      </w:pBdr>
      <w:tabs>
        <w:tab w:val="clear" w:pos="9639"/>
      </w:tabs>
      <w:ind w:right="7371"/>
      <w:rPr>
        <w:bCs/>
      </w:rPr>
    </w:pPr>
    <w:r w:rsidRPr="008105C4">
      <w:rPr>
        <w:bCs/>
      </w:rPr>
      <w:fldChar w:fldCharType="begin"/>
    </w:r>
    <w:r w:rsidR="008A5DD9" w:rsidRPr="008105C4">
      <w:rPr>
        <w:bCs/>
      </w:rPr>
      <w:instrText xml:space="preserve"> PAGE  \* MERGEFORMAT </w:instrText>
    </w:r>
    <w:r w:rsidRPr="008105C4">
      <w:rPr>
        <w:bCs/>
      </w:rPr>
      <w:fldChar w:fldCharType="separate"/>
    </w:r>
    <w:r w:rsidR="00DC056F">
      <w:rPr>
        <w:bCs/>
        <w:noProof/>
      </w:rPr>
      <w:t>4</w:t>
    </w:r>
    <w:r w:rsidRPr="008105C4">
      <w:rPr>
        <w:bCs/>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197" w:rsidRPr="008105C4" w:rsidRDefault="00C55197" w:rsidP="008105C4">
    <w:pPr>
      <w:pStyle w:val="FooterQP"/>
      <w:pBdr>
        <w:top w:val="single" w:sz="12" w:space="1" w:color="990033"/>
      </w:pBdr>
      <w:ind w:left="7371"/>
      <w:rPr>
        <w:bCs/>
      </w:rPr>
    </w:pPr>
    <w:r>
      <w:tab/>
    </w:r>
    <w:r>
      <w:tab/>
    </w:r>
    <w:r w:rsidR="00D736C6" w:rsidRPr="008105C4">
      <w:rPr>
        <w:bCs/>
      </w:rPr>
      <w:fldChar w:fldCharType="begin"/>
    </w:r>
    <w:r w:rsidRPr="008105C4">
      <w:rPr>
        <w:bCs/>
      </w:rPr>
      <w:instrText xml:space="preserve"> PAGE  \* MERGEFORMAT </w:instrText>
    </w:r>
    <w:r w:rsidR="00D736C6" w:rsidRPr="008105C4">
      <w:rPr>
        <w:bCs/>
      </w:rPr>
      <w:fldChar w:fldCharType="separate"/>
    </w:r>
    <w:r w:rsidR="00DC056F">
      <w:rPr>
        <w:bCs/>
        <w:noProof/>
      </w:rPr>
      <w:t>3</w:t>
    </w:r>
    <w:r w:rsidR="00D736C6" w:rsidRPr="008105C4">
      <w:rPr>
        <w:bCs/>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6B4" w:rsidRPr="00A326B4" w:rsidRDefault="00D736C6" w:rsidP="00A326B4">
    <w:pPr>
      <w:pStyle w:val="FooterQP"/>
      <w:pBdr>
        <w:top w:val="single" w:sz="12" w:space="1" w:color="990033"/>
      </w:pBdr>
      <w:tabs>
        <w:tab w:val="clear" w:pos="9639"/>
      </w:tabs>
      <w:ind w:right="7371"/>
      <w:rPr>
        <w:bCs/>
      </w:rPr>
    </w:pPr>
    <w:r w:rsidRPr="008105C4">
      <w:rPr>
        <w:bCs/>
      </w:rPr>
      <w:fldChar w:fldCharType="begin"/>
    </w:r>
    <w:r w:rsidR="00A326B4" w:rsidRPr="008105C4">
      <w:rPr>
        <w:bCs/>
      </w:rPr>
      <w:instrText xml:space="preserve"> PAGE  \* MERGEFORMAT </w:instrText>
    </w:r>
    <w:r w:rsidRPr="008105C4">
      <w:rPr>
        <w:bCs/>
      </w:rPr>
      <w:fldChar w:fldCharType="separate"/>
    </w:r>
    <w:r w:rsidR="00DC056F">
      <w:rPr>
        <w:bCs/>
        <w:noProof/>
      </w:rPr>
      <w:t>62</w:t>
    </w:r>
    <w:r w:rsidRPr="008105C4">
      <w:rPr>
        <w:bCs/>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6B4" w:rsidRPr="008105C4" w:rsidRDefault="00A326B4" w:rsidP="008105C4">
    <w:pPr>
      <w:pStyle w:val="FooterQP"/>
      <w:pBdr>
        <w:top w:val="single" w:sz="12" w:space="1" w:color="990033"/>
      </w:pBdr>
      <w:ind w:left="7371"/>
      <w:rPr>
        <w:bCs/>
      </w:rPr>
    </w:pPr>
    <w:r>
      <w:tab/>
    </w:r>
    <w:r>
      <w:tab/>
    </w:r>
    <w:r w:rsidR="00D736C6" w:rsidRPr="008105C4">
      <w:rPr>
        <w:bCs/>
      </w:rPr>
      <w:fldChar w:fldCharType="begin"/>
    </w:r>
    <w:r w:rsidRPr="008105C4">
      <w:rPr>
        <w:bCs/>
      </w:rPr>
      <w:instrText xml:space="preserve"> PAGE  \* MERGEFORMAT </w:instrText>
    </w:r>
    <w:r w:rsidR="00D736C6" w:rsidRPr="008105C4">
      <w:rPr>
        <w:bCs/>
      </w:rPr>
      <w:fldChar w:fldCharType="separate"/>
    </w:r>
    <w:r w:rsidR="00DC056F">
      <w:rPr>
        <w:bCs/>
        <w:noProof/>
      </w:rPr>
      <w:t>61</w:t>
    </w:r>
    <w:r w:rsidR="00D736C6" w:rsidRPr="008105C4">
      <w:rPr>
        <w:bC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3E4" w:rsidRDefault="009643E4">
      <w:r>
        <w:t>____________________</w:t>
      </w:r>
    </w:p>
  </w:footnote>
  <w:footnote w:type="continuationSeparator" w:id="0">
    <w:p w:rsidR="009643E4" w:rsidRPr="005C4BB4" w:rsidRDefault="005C4BB4" w:rsidP="005C4BB4">
      <w:r>
        <w:t>____________________</w:t>
      </w:r>
    </w:p>
  </w:footnote>
  <w:footnote w:type="continuationNotice" w:id="1">
    <w:p w:rsidR="005C4BB4" w:rsidRDefault="005C4BB4">
      <w:pPr>
        <w:spacing w:before="0"/>
      </w:pPr>
    </w:p>
  </w:footnote>
  <w:footnote w:id="2">
    <w:p w:rsidR="005704BD" w:rsidRPr="005704BD" w:rsidRDefault="005704BD" w:rsidP="000F4A58">
      <w:pPr>
        <w:pStyle w:val="FootnoteText"/>
        <w:rPr>
          <w:sz w:val="16"/>
          <w:szCs w:val="16"/>
          <w:lang w:val="en-US"/>
        </w:rPr>
      </w:pPr>
      <w:r w:rsidRPr="0043302A">
        <w:rPr>
          <w:rStyle w:val="FootnoteReference"/>
          <w:sz w:val="16"/>
          <w:szCs w:val="16"/>
        </w:rPr>
        <w:footnoteRef/>
      </w:r>
      <w:r w:rsidRPr="005704BD">
        <w:rPr>
          <w:sz w:val="16"/>
          <w:szCs w:val="16"/>
          <w:lang w:val="en-US"/>
        </w:rPr>
        <w:t xml:space="preserve"> </w:t>
      </w:r>
      <w:r>
        <w:rPr>
          <w:sz w:val="16"/>
          <w:szCs w:val="16"/>
          <w:lang w:val="en-US"/>
        </w:rPr>
        <w:tab/>
      </w:r>
      <w:r w:rsidR="000F4A58" w:rsidRPr="005704BD">
        <w:rPr>
          <w:sz w:val="16"/>
          <w:szCs w:val="16"/>
          <w:lang w:val="en-US"/>
        </w:rPr>
        <w:t>See</w:t>
      </w:r>
      <w:r w:rsidRPr="005704BD">
        <w:rPr>
          <w:sz w:val="16"/>
          <w:szCs w:val="16"/>
          <w:lang w:val="en-US"/>
        </w:rPr>
        <w:t>:</w:t>
      </w:r>
      <w:r>
        <w:rPr>
          <w:sz w:val="16"/>
          <w:szCs w:val="16"/>
          <w:lang w:val="en-US"/>
        </w:rPr>
        <w:t xml:space="preserve"> </w:t>
      </w:r>
      <w:hyperlink r:id="rId1" w:history="1">
        <w:r w:rsidRPr="00810397">
          <w:rPr>
            <w:rStyle w:val="Hyperlink"/>
            <w:sz w:val="16"/>
            <w:szCs w:val="16"/>
            <w:lang w:val="en-US"/>
          </w:rPr>
          <w:t>http://data.worldbank.org/indicator/NY.GNP.PCAP.CD</w:t>
        </w:r>
      </w:hyperlink>
    </w:p>
  </w:footnote>
  <w:footnote w:id="3">
    <w:p w:rsidR="005704BD" w:rsidRPr="005704BD" w:rsidRDefault="005704BD" w:rsidP="005704BD">
      <w:pPr>
        <w:pStyle w:val="FootnoteText"/>
        <w:rPr>
          <w:lang w:val="en-US"/>
        </w:rPr>
      </w:pPr>
      <w:r>
        <w:rPr>
          <w:rStyle w:val="FootnoteReference"/>
        </w:rPr>
        <w:footnoteRef/>
      </w:r>
      <w:r w:rsidRPr="005704BD">
        <w:rPr>
          <w:lang w:val="en-US"/>
        </w:rPr>
        <w:t xml:space="preserve"> </w:t>
      </w:r>
      <w:r>
        <w:rPr>
          <w:lang w:val="en-US"/>
        </w:rPr>
        <w:tab/>
      </w:r>
      <w:r w:rsidRPr="005704BD">
        <w:rPr>
          <w:lang w:val="en-US"/>
        </w:rPr>
        <w:t>See, for example, ITU (2006, 2008, 2009a, 2009b).</w:t>
      </w:r>
    </w:p>
  </w:footnote>
  <w:footnote w:id="4">
    <w:p w:rsidR="005704BD" w:rsidRPr="00A17DAC" w:rsidRDefault="005704BD" w:rsidP="005704BD">
      <w:pPr>
        <w:pStyle w:val="FootnoteText"/>
      </w:pPr>
      <w:r>
        <w:rPr>
          <w:rStyle w:val="FootnoteReference"/>
        </w:rPr>
        <w:footnoteRef/>
      </w:r>
      <w:r w:rsidRPr="00A17DAC">
        <w:t xml:space="preserve"> </w:t>
      </w:r>
      <w:r>
        <w:tab/>
      </w:r>
      <w:r w:rsidRPr="00A17DAC">
        <w:t>See</w:t>
      </w:r>
      <w:r>
        <w:t>, for example,</w:t>
      </w:r>
      <w:r w:rsidRPr="00A17DAC">
        <w:t xml:space="preserve"> R</w:t>
      </w:r>
      <w:r>
        <w:t xml:space="preserve">apport et al. (2002), and </w:t>
      </w:r>
      <w:proofErr w:type="spellStart"/>
      <w:r>
        <w:t>Whisler</w:t>
      </w:r>
      <w:proofErr w:type="spellEnd"/>
      <w:r>
        <w:t xml:space="preserve"> and </w:t>
      </w:r>
      <w:proofErr w:type="spellStart"/>
      <w:r>
        <w:t>Saksena</w:t>
      </w:r>
      <w:proofErr w:type="spellEnd"/>
      <w:r>
        <w:t xml:space="preserve"> (2003). </w:t>
      </w:r>
    </w:p>
  </w:footnote>
  <w:footnote w:id="5">
    <w:p w:rsidR="005704BD" w:rsidRPr="005704BD" w:rsidRDefault="005704BD" w:rsidP="005704BD">
      <w:pPr>
        <w:pStyle w:val="FootnoteText"/>
        <w:rPr>
          <w:lang w:val="en-US"/>
        </w:rPr>
      </w:pPr>
      <w:r>
        <w:rPr>
          <w:rStyle w:val="FootnoteReference"/>
        </w:rPr>
        <w:footnoteRef/>
      </w:r>
      <w:r w:rsidRPr="005704BD">
        <w:rPr>
          <w:lang w:val="en-US"/>
        </w:rPr>
        <w:t xml:space="preserve"> </w:t>
      </w:r>
      <w:r>
        <w:rPr>
          <w:lang w:val="en-US"/>
        </w:rPr>
        <w:tab/>
      </w:r>
      <w:r w:rsidRPr="005704BD">
        <w:rPr>
          <w:lang w:val="en-US"/>
        </w:rPr>
        <w:t>See Varian et al. (2002).</w:t>
      </w:r>
    </w:p>
  </w:footnote>
  <w:footnote w:id="6">
    <w:p w:rsidR="005704BD" w:rsidRPr="00854232" w:rsidRDefault="005704BD" w:rsidP="000F4A58">
      <w:pPr>
        <w:pStyle w:val="FootnoteText"/>
      </w:pPr>
      <w:r>
        <w:rPr>
          <w:rStyle w:val="FootnoteReference"/>
        </w:rPr>
        <w:footnoteRef/>
      </w:r>
      <w:r w:rsidRPr="005704BD">
        <w:rPr>
          <w:lang w:val="en-US"/>
        </w:rPr>
        <w:t xml:space="preserve"> </w:t>
      </w:r>
      <w:r>
        <w:rPr>
          <w:lang w:val="en-US"/>
        </w:rPr>
        <w:tab/>
      </w:r>
      <w:r w:rsidRPr="005704BD">
        <w:rPr>
          <w:lang w:val="en-US"/>
        </w:rPr>
        <w:t>Between 1999 and 2004, the software and business process outsourcing delivered through the Internet sectors in India passed from 284</w:t>
      </w:r>
      <w:r w:rsidR="000F4A58">
        <w:rPr>
          <w:lang w:val="en-US"/>
        </w:rPr>
        <w:t> </w:t>
      </w:r>
      <w:r w:rsidRPr="005704BD">
        <w:rPr>
          <w:lang w:val="en-US"/>
        </w:rPr>
        <w:t>000 professionals employed to 813</w:t>
      </w:r>
      <w:r w:rsidR="000F4A58">
        <w:rPr>
          <w:lang w:val="en-US"/>
        </w:rPr>
        <w:t> </w:t>
      </w:r>
      <w:r w:rsidRPr="005704BD">
        <w:rPr>
          <w:lang w:val="en-US"/>
        </w:rPr>
        <w:t xml:space="preserve">500 (Kumar and Joseph, 2005). </w:t>
      </w:r>
      <w:r>
        <w:t xml:space="preserve">According to the </w:t>
      </w:r>
      <w:r w:rsidRPr="00854232">
        <w:t>Government</w:t>
      </w:r>
      <w:r>
        <w:t xml:space="preserve"> of India</w:t>
      </w:r>
      <w:r w:rsidRPr="00854232">
        <w:t xml:space="preserve">, </w:t>
      </w:r>
      <w:r>
        <w:t xml:space="preserve">the revenues of this sector accounted for an estimated 5.5 </w:t>
      </w:r>
      <w:r w:rsidR="000F4A58">
        <w:t>per cent</w:t>
      </w:r>
      <w:r>
        <w:t xml:space="preserve"> of </w:t>
      </w:r>
      <w:smartTag w:uri="urn:schemas-microsoft-com:office:smarttags" w:element="place">
        <w:smartTag w:uri="urn:schemas-microsoft-com:office:smarttags" w:element="country-region">
          <w:r>
            <w:t>India</w:t>
          </w:r>
        </w:smartTag>
      </w:smartTag>
      <w:r>
        <w:t xml:space="preserve">’s GDP in 2007-08 (see </w:t>
      </w:r>
      <w:hyperlink r:id="rId2" w:history="1">
        <w:r w:rsidRPr="00635306">
          <w:rPr>
            <w:rStyle w:val="Hyperlink"/>
          </w:rPr>
          <w:t>http://business.gov.in/outsourcing/outsourcing.php</w:t>
        </w:r>
      </w:hyperlink>
      <w:r>
        <w:t xml:space="preserve">). This booming of software exports and the outsourcing sector in </w:t>
      </w:r>
      <w:smartTag w:uri="urn:schemas-microsoft-com:office:smarttags" w:element="place">
        <w:smartTag w:uri="urn:schemas-microsoft-com:office:smarttags" w:element="country-region">
          <w:r>
            <w:t>India</w:t>
          </w:r>
        </w:smartTag>
      </w:smartTag>
      <w:r>
        <w:t xml:space="preserve"> would not have been possible without an underlying broadband infrastructure, as broadband is necessary for such tasks as electronic delivery of software, remote product updating or technical assistance for customized software. </w:t>
      </w:r>
    </w:p>
  </w:footnote>
  <w:footnote w:id="7">
    <w:p w:rsidR="008105C4" w:rsidRPr="008105C4" w:rsidRDefault="008105C4" w:rsidP="008105C4">
      <w:pPr>
        <w:pStyle w:val="FootnoteText"/>
        <w:rPr>
          <w:lang w:val="en-US"/>
        </w:rPr>
      </w:pPr>
      <w:r>
        <w:rPr>
          <w:rStyle w:val="FootnoteReference"/>
        </w:rPr>
        <w:footnoteRef/>
      </w:r>
      <w:r w:rsidRPr="008105C4">
        <w:rPr>
          <w:lang w:val="en-US"/>
        </w:rPr>
        <w:t xml:space="preserve"> </w:t>
      </w:r>
      <w:r>
        <w:rPr>
          <w:lang w:val="en-US"/>
        </w:rPr>
        <w:tab/>
      </w:r>
      <w:r w:rsidRPr="008105C4">
        <w:rPr>
          <w:lang w:val="en-US"/>
        </w:rPr>
        <w:t xml:space="preserve">See </w:t>
      </w:r>
      <w:hyperlink r:id="rId3" w:history="1">
        <w:r w:rsidR="00810397" w:rsidRPr="001D329C">
          <w:rPr>
            <w:rStyle w:val="Hyperlink"/>
            <w:lang w:val="en-US"/>
          </w:rPr>
          <w:t>www.echoupal.com/</w:t>
        </w:r>
      </w:hyperlink>
      <w:r w:rsidRPr="008105C4">
        <w:rPr>
          <w:lang w:val="en-US"/>
        </w:rPr>
        <w:t xml:space="preserve"> for more information.</w:t>
      </w:r>
    </w:p>
  </w:footnote>
  <w:footnote w:id="8">
    <w:p w:rsidR="005704BD" w:rsidRPr="00EE5949" w:rsidRDefault="005704BD" w:rsidP="005704BD">
      <w:pPr>
        <w:pStyle w:val="FootnoteText"/>
      </w:pPr>
      <w:r>
        <w:rPr>
          <w:rStyle w:val="FootnoteReference"/>
        </w:rPr>
        <w:footnoteRef/>
      </w:r>
      <w:r w:rsidRPr="005704BD">
        <w:rPr>
          <w:lang w:val="en-US"/>
        </w:rPr>
        <w:t xml:space="preserve"> </w:t>
      </w:r>
      <w:r>
        <w:rPr>
          <w:lang w:val="en-US"/>
        </w:rPr>
        <w:tab/>
      </w:r>
      <w:r w:rsidRPr="005704BD">
        <w:rPr>
          <w:lang w:val="en-US"/>
        </w:rPr>
        <w:t xml:space="preserve">In this sense, broadband is commonly compared to other historical </w:t>
      </w:r>
      <w:r w:rsidRPr="005704BD">
        <w:rPr>
          <w:bCs/>
          <w:lang w:val="en-US"/>
        </w:rPr>
        <w:t>general purpose technologies</w:t>
      </w:r>
      <w:r w:rsidR="000F4A58">
        <w:rPr>
          <w:lang w:val="en-US"/>
        </w:rPr>
        <w:t xml:space="preserve"> (GPTs)</w:t>
      </w:r>
      <w:r w:rsidRPr="005704BD">
        <w:rPr>
          <w:lang w:val="en-US"/>
        </w:rPr>
        <w:t xml:space="preserve"> such as the railway and electricity. See for example </w:t>
      </w:r>
      <w:r w:rsidR="000F4A58">
        <w:rPr>
          <w:lang w:val="en-US"/>
        </w:rPr>
        <w:t xml:space="preserve">Federal Communications Commission – </w:t>
      </w:r>
      <w:r w:rsidRPr="005704BD">
        <w:rPr>
          <w:lang w:val="en-US"/>
        </w:rPr>
        <w:t>FCC (2010), Kelly (2009) or OECD (2008).</w:t>
      </w:r>
    </w:p>
  </w:footnote>
  <w:footnote w:id="9">
    <w:p w:rsidR="005704BD" w:rsidRPr="00C27D9F" w:rsidRDefault="005704BD" w:rsidP="005704BD">
      <w:pPr>
        <w:pStyle w:val="FootnoteText"/>
      </w:pPr>
      <w:r w:rsidRPr="00C27D9F">
        <w:rPr>
          <w:rStyle w:val="FootnoteReference"/>
        </w:rPr>
        <w:footnoteRef/>
      </w:r>
      <w:r w:rsidRPr="00C27D9F">
        <w:t xml:space="preserve"> </w:t>
      </w:r>
      <w:r>
        <w:tab/>
        <w:t xml:space="preserve">The study took a sample of 120 countries, the majority of which were developing countries, and studied their GDP growth and broadband penetration between 1980 and 2006. </w:t>
      </w:r>
    </w:p>
  </w:footnote>
  <w:footnote w:id="10">
    <w:p w:rsidR="005704BD" w:rsidRPr="002E757E" w:rsidRDefault="005704BD" w:rsidP="000F4A58">
      <w:pPr>
        <w:pStyle w:val="FootnoteText"/>
      </w:pPr>
      <w:r>
        <w:rPr>
          <w:rStyle w:val="FootnoteReference"/>
        </w:rPr>
        <w:footnoteRef/>
      </w:r>
      <w:r w:rsidRPr="005704BD">
        <w:rPr>
          <w:lang w:val="en-US"/>
        </w:rPr>
        <w:t xml:space="preserve"> </w:t>
      </w:r>
      <w:r>
        <w:rPr>
          <w:lang w:val="en-US"/>
        </w:rPr>
        <w:tab/>
      </w:r>
      <w:r w:rsidRPr="005704BD">
        <w:rPr>
          <w:lang w:val="en-US"/>
        </w:rPr>
        <w:t xml:space="preserve">“The contribution of telecommunication services (including broadband) to GDP more </w:t>
      </w:r>
      <w:proofErr w:type="spellStart"/>
      <w:r w:rsidRPr="005704BD">
        <w:rPr>
          <w:lang w:val="en-US"/>
        </w:rPr>
        <w:t>that</w:t>
      </w:r>
      <w:proofErr w:type="spellEnd"/>
      <w:r w:rsidRPr="005704BD">
        <w:rPr>
          <w:lang w:val="en-US"/>
        </w:rPr>
        <w:t xml:space="preserve"> doubled, from 2.05</w:t>
      </w:r>
      <w:r w:rsidR="000F4A58">
        <w:rPr>
          <w:lang w:val="en-US"/>
        </w:rPr>
        <w:t xml:space="preserve"> per cent </w:t>
      </w:r>
      <w:r w:rsidRPr="005704BD">
        <w:rPr>
          <w:lang w:val="en-US"/>
        </w:rPr>
        <w:t>to 4.99</w:t>
      </w:r>
      <w:r w:rsidR="000F4A58">
        <w:rPr>
          <w:lang w:val="en-US"/>
        </w:rPr>
        <w:t> per cent</w:t>
      </w:r>
      <w:r w:rsidRPr="005704BD">
        <w:rPr>
          <w:lang w:val="en-US"/>
        </w:rPr>
        <w:t xml:space="preserve">, between 1995 and 2005, the decade of </w:t>
      </w:r>
      <w:proofErr w:type="spellStart"/>
      <w:r w:rsidRPr="005704BD">
        <w:rPr>
          <w:lang w:val="en-US"/>
        </w:rPr>
        <w:t>broadband’s</w:t>
      </w:r>
      <w:proofErr w:type="spellEnd"/>
      <w:r w:rsidRPr="005704BD">
        <w:rPr>
          <w:lang w:val="en-US"/>
        </w:rPr>
        <w:t xml:space="preserve"> expansion in the Korean economy.”</w:t>
      </w:r>
    </w:p>
  </w:footnote>
  <w:footnote w:id="11">
    <w:p w:rsidR="005704BD" w:rsidRPr="00A14392" w:rsidRDefault="005704BD" w:rsidP="005704BD">
      <w:pPr>
        <w:pStyle w:val="FootnoteText"/>
      </w:pPr>
      <w:r w:rsidRPr="00A14392">
        <w:rPr>
          <w:rStyle w:val="FootnoteReference"/>
        </w:rPr>
        <w:footnoteRef/>
      </w:r>
      <w:r w:rsidRPr="00A14392">
        <w:t xml:space="preserve"> </w:t>
      </w:r>
      <w:r>
        <w:tab/>
        <w:t xml:space="preserve">See, for examples in Asia and the Pacific, ITU (2009b), Chart 2.4, which shows that some countries such as </w:t>
      </w:r>
      <w:smartTag w:uri="urn:schemas-microsoft-com:office:smarttags" w:element="country-region">
        <w:r>
          <w:t>China</w:t>
        </w:r>
      </w:smartTag>
      <w:r>
        <w:t xml:space="preserve">, </w:t>
      </w:r>
      <w:smartTag w:uri="urn:schemas-microsoft-com:office:smarttags" w:element="country-region">
        <w:r>
          <w:t>Maldives</w:t>
        </w:r>
      </w:smartTag>
      <w:r>
        <w:t xml:space="preserve"> or </w:t>
      </w:r>
      <w:smartTag w:uri="urn:schemas-microsoft-com:office:smarttags" w:element="country-region">
        <w:smartTag w:uri="urn:schemas-microsoft-com:office:smarttags" w:element="place">
          <w:r>
            <w:t>Viet Nam</w:t>
          </w:r>
        </w:smartTag>
      </w:smartTag>
      <w:r>
        <w:t xml:space="preserve"> have higher fixed broadband penetration than other countries with higher GNI per capita.</w:t>
      </w:r>
    </w:p>
  </w:footnote>
  <w:footnote w:id="12">
    <w:p w:rsidR="000F4A58" w:rsidRDefault="00A326B4" w:rsidP="000F4A58">
      <w:pPr>
        <w:pStyle w:val="FootnoteText"/>
        <w:rPr>
          <w:lang w:val="en-US"/>
        </w:rPr>
      </w:pPr>
      <w:r>
        <w:rPr>
          <w:rStyle w:val="FootnoteReference"/>
        </w:rPr>
        <w:footnoteRef/>
      </w:r>
      <w:r w:rsidRPr="00A326B4">
        <w:rPr>
          <w:lang w:val="en-US"/>
        </w:rPr>
        <w:t xml:space="preserve"> </w:t>
      </w:r>
      <w:r>
        <w:rPr>
          <w:lang w:val="en-US"/>
        </w:rPr>
        <w:tab/>
      </w:r>
      <w:r w:rsidR="005704BD">
        <w:rPr>
          <w:lang w:val="en-US"/>
        </w:rPr>
        <w:t>The World Bank</w:t>
      </w:r>
      <w:r w:rsidRPr="00A326B4">
        <w:rPr>
          <w:lang w:val="en-US"/>
        </w:rPr>
        <w:t xml:space="preserve"> Atlas method is used for the Bank’s official estimates of the size of economies in terms of GNI converted to current US</w:t>
      </w:r>
      <w:r w:rsidR="000F4A58">
        <w:rPr>
          <w:lang w:val="en-US"/>
        </w:rPr>
        <w:t>D</w:t>
      </w:r>
      <w:r w:rsidRPr="00A326B4">
        <w:rPr>
          <w:lang w:val="en-US"/>
        </w:rPr>
        <w:t xml:space="preserve">. GNI takes into account all production in the domestic economy (GDP) plus the net flows of factor income (such as rents, profits, and </w:t>
      </w:r>
      <w:r w:rsidRPr="00834B63">
        <w:t>labo</w:t>
      </w:r>
      <w:r w:rsidR="000F4A58" w:rsidRPr="00834B63">
        <w:t>u</w:t>
      </w:r>
      <w:r w:rsidRPr="00834B63">
        <w:t>r</w:t>
      </w:r>
      <w:r w:rsidRPr="00A326B4">
        <w:rPr>
          <w:lang w:val="en-US"/>
        </w:rPr>
        <w:t xml:space="preserve"> income) from abroad. The Atlas method smoothes exchange rate fluctuations by using a three</w:t>
      </w:r>
      <w:r w:rsidR="000F4A58">
        <w:rPr>
          <w:lang w:val="en-US"/>
        </w:rPr>
        <w:t>-</w:t>
      </w:r>
      <w:r w:rsidRPr="00A326B4">
        <w:rPr>
          <w:lang w:val="en-US"/>
        </w:rPr>
        <w:t xml:space="preserve">year moving average, price-adjusted conversion factor. </w:t>
      </w:r>
      <w:r w:rsidRPr="00E13A38">
        <w:rPr>
          <w:lang w:val="en-US"/>
        </w:rPr>
        <w:t xml:space="preserve">See: </w:t>
      </w:r>
    </w:p>
    <w:p w:rsidR="00A326B4" w:rsidRPr="00E13A38" w:rsidRDefault="000F4A58" w:rsidP="000F4A58">
      <w:pPr>
        <w:pStyle w:val="FootnoteText"/>
        <w:spacing w:before="0"/>
        <w:rPr>
          <w:lang w:val="en-US"/>
        </w:rPr>
      </w:pPr>
      <w:r>
        <w:rPr>
          <w:lang w:val="en-US"/>
        </w:rPr>
        <w:tab/>
      </w:r>
      <w:hyperlink r:id="rId4" w:history="1">
        <w:r w:rsidR="00A326B4" w:rsidRPr="00E13A38">
          <w:rPr>
            <w:rStyle w:val="Hyperlink"/>
            <w:lang w:val="en-US"/>
          </w:rPr>
          <w:t>http://data.worldbank.org/indicator/NY.GNP.PCAP.CD</w:t>
        </w:r>
      </w:hyperlink>
      <w:r w:rsidR="00A326B4" w:rsidRPr="00E13A38">
        <w:rPr>
          <w:lang w:val="en-US"/>
        </w:rPr>
        <w:t xml:space="preserve"> </w:t>
      </w:r>
    </w:p>
  </w:footnote>
  <w:footnote w:id="13">
    <w:p w:rsidR="005704BD" w:rsidRPr="0009635D" w:rsidRDefault="005704BD" w:rsidP="005704BD">
      <w:pPr>
        <w:pStyle w:val="FootnoteText"/>
      </w:pPr>
      <w:r>
        <w:rPr>
          <w:rStyle w:val="FootnoteReference"/>
        </w:rPr>
        <w:footnoteRef/>
      </w:r>
      <w:r w:rsidRPr="005704BD">
        <w:rPr>
          <w:lang w:val="en-US"/>
        </w:rPr>
        <w:t xml:space="preserve"> </w:t>
      </w:r>
      <w:r>
        <w:rPr>
          <w:lang w:val="en-US"/>
        </w:rPr>
        <w:tab/>
      </w:r>
      <w:r w:rsidRPr="0009635D">
        <w:t xml:space="preserve">According to ITU’s definition: Fixed broadband Internet </w:t>
      </w:r>
      <w:r>
        <w:t>subscriptions</w:t>
      </w:r>
      <w:r w:rsidRPr="0009635D">
        <w:t xml:space="preserve"> refer to users of</w:t>
      </w:r>
      <w:r>
        <w:t xml:space="preserve"> </w:t>
      </w:r>
      <w:r w:rsidRPr="0009635D">
        <w:t>the Internet subscribing to paid high-speed access to</w:t>
      </w:r>
      <w:r>
        <w:t xml:space="preserve"> </w:t>
      </w:r>
      <w:r w:rsidRPr="0009635D">
        <w:t>the public Internet (a TCP/IP connection). High speed</w:t>
      </w:r>
      <w:r>
        <w:t xml:space="preserve"> </w:t>
      </w:r>
      <w:r w:rsidRPr="0009635D">
        <w:t xml:space="preserve">access is defined as being at least 256 </w:t>
      </w:r>
      <w:proofErr w:type="spellStart"/>
      <w:r w:rsidRPr="0009635D">
        <w:t>kbit</w:t>
      </w:r>
      <w:proofErr w:type="spellEnd"/>
      <w:r w:rsidRPr="0009635D">
        <w:t>/s, in one or</w:t>
      </w:r>
      <w:r>
        <w:t xml:space="preserve"> </w:t>
      </w:r>
      <w:r w:rsidRPr="0009635D">
        <w:t>both directions. Fixed broadband Internet includes</w:t>
      </w:r>
      <w:r>
        <w:t xml:space="preserve"> </w:t>
      </w:r>
      <w:r w:rsidRPr="0009635D">
        <w:t>cable modem, DSL, fibre and other fixed broadband</w:t>
      </w:r>
      <w:r>
        <w:t xml:space="preserve"> </w:t>
      </w:r>
      <w:r w:rsidRPr="0009635D">
        <w:t>technology (such as satellite broadband Internet,</w:t>
      </w:r>
      <w:r>
        <w:t xml:space="preserve"> </w:t>
      </w:r>
      <w:r w:rsidRPr="0009635D">
        <w:t>Ethernet LANs, fixed-wireless access, Wireless Local</w:t>
      </w:r>
      <w:r>
        <w:t xml:space="preserve"> </w:t>
      </w:r>
      <w:r w:rsidRPr="0009635D">
        <w:t xml:space="preserve">Area Network, WiMAX etc.). </w:t>
      </w:r>
      <w:r>
        <w:t>Subscriptions</w:t>
      </w:r>
      <w:r w:rsidRPr="0009635D">
        <w:t xml:space="preserve"> with access to</w:t>
      </w:r>
      <w:r>
        <w:t xml:space="preserve"> </w:t>
      </w:r>
      <w:r w:rsidRPr="0009635D">
        <w:t>data communications (including the Internet) via mobile</w:t>
      </w:r>
      <w:r>
        <w:t xml:space="preserve"> </w:t>
      </w:r>
      <w:r w:rsidRPr="0009635D">
        <w:t>cellular networks are excluded.</w:t>
      </w:r>
    </w:p>
  </w:footnote>
  <w:footnote w:id="14">
    <w:p w:rsidR="005704BD" w:rsidRPr="005704BD" w:rsidRDefault="005704BD" w:rsidP="000F4A58">
      <w:pPr>
        <w:pStyle w:val="FootnoteText"/>
        <w:rPr>
          <w:lang w:val="en-US"/>
        </w:rPr>
      </w:pPr>
      <w:r>
        <w:rPr>
          <w:rStyle w:val="FootnoteReference"/>
        </w:rPr>
        <w:footnoteRef/>
      </w:r>
      <w:r w:rsidRPr="005704BD">
        <w:rPr>
          <w:lang w:val="en-US"/>
        </w:rPr>
        <w:t xml:space="preserve"> </w:t>
      </w:r>
      <w:r>
        <w:rPr>
          <w:lang w:val="en-US"/>
        </w:rPr>
        <w:tab/>
      </w:r>
      <w:r w:rsidRPr="005704BD">
        <w:rPr>
          <w:lang w:val="en-US"/>
        </w:rPr>
        <w:t>According to ITU’s definition</w:t>
      </w:r>
      <w:r w:rsidR="000F4A58">
        <w:rPr>
          <w:lang w:val="en-US"/>
        </w:rPr>
        <w:t>,</w:t>
      </w:r>
      <w:r w:rsidRPr="005704BD">
        <w:rPr>
          <w:lang w:val="en-US"/>
        </w:rPr>
        <w:t xml:space="preserve"> </w:t>
      </w:r>
      <w:r w:rsidR="000F4A58" w:rsidRPr="005704BD">
        <w:rPr>
          <w:lang w:val="en-US"/>
        </w:rPr>
        <w:t xml:space="preserve">mobile </w:t>
      </w:r>
      <w:r w:rsidRPr="005704BD">
        <w:rPr>
          <w:lang w:val="en-US"/>
        </w:rPr>
        <w:t xml:space="preserve">broadband subscriptions refer to subscriptions to mobile cellular networks with access to data communications (e.g. the Internet) at broadband speeds (here defined as greater than or equal to 256 </w:t>
      </w:r>
      <w:proofErr w:type="spellStart"/>
      <w:r w:rsidRPr="005704BD">
        <w:rPr>
          <w:lang w:val="en-US"/>
        </w:rPr>
        <w:t>kbit</w:t>
      </w:r>
      <w:proofErr w:type="spellEnd"/>
      <w:r w:rsidRPr="005704BD">
        <w:rPr>
          <w:lang w:val="en-US"/>
        </w:rPr>
        <w:t>/s in one or both directions) such as WCDMA, HSDPA, CDMA2000 1xEV-DO, CDMA 2000 1xEV-DV etc</w:t>
      </w:r>
      <w:r w:rsidR="000F4A58">
        <w:rPr>
          <w:lang w:val="en-US"/>
        </w:rPr>
        <w:t>.</w:t>
      </w:r>
      <w:r w:rsidRPr="005704BD">
        <w:rPr>
          <w:lang w:val="en-US"/>
        </w:rPr>
        <w:t>, irrespective of the device used to access the Internet (handheld computer, laptop or mobile cellular telephone</w:t>
      </w:r>
      <w:r w:rsidR="000F4A58">
        <w:rPr>
          <w:lang w:val="en-US"/>
        </w:rPr>
        <w:t>,</w:t>
      </w:r>
      <w:r w:rsidRPr="005704BD">
        <w:rPr>
          <w:lang w:val="en-US"/>
        </w:rPr>
        <w:t xml:space="preserve"> etc</w:t>
      </w:r>
      <w:r w:rsidR="000F4A58">
        <w:rPr>
          <w:lang w:val="en-US"/>
        </w:rPr>
        <w:t>.</w:t>
      </w:r>
      <w:r w:rsidRPr="005704BD">
        <w:rPr>
          <w:lang w:val="en-US"/>
        </w:rPr>
        <w:t>).</w:t>
      </w:r>
    </w:p>
  </w:footnote>
  <w:footnote w:id="15">
    <w:p w:rsidR="005704BD" w:rsidRPr="005704BD" w:rsidRDefault="005704BD" w:rsidP="005704BD">
      <w:pPr>
        <w:pStyle w:val="FootnoteText"/>
        <w:rPr>
          <w:lang w:val="en-US"/>
        </w:rPr>
      </w:pPr>
      <w:r>
        <w:rPr>
          <w:rStyle w:val="FootnoteReference"/>
        </w:rPr>
        <w:footnoteRef/>
      </w:r>
      <w:r w:rsidRPr="005704BD">
        <w:rPr>
          <w:lang w:val="en-US"/>
        </w:rPr>
        <w:t xml:space="preserve"> </w:t>
      </w:r>
      <w:r>
        <w:rPr>
          <w:lang w:val="en-US"/>
        </w:rPr>
        <w:tab/>
      </w:r>
      <w:r w:rsidRPr="005704BD">
        <w:rPr>
          <w:lang w:val="en-US"/>
        </w:rPr>
        <w:t xml:space="preserve">See </w:t>
      </w:r>
      <w:hyperlink r:id="rId5" w:history="1">
        <w:r w:rsidR="00810397" w:rsidRPr="001D329C">
          <w:rPr>
            <w:rStyle w:val="Hyperlink"/>
            <w:lang w:val="en-US"/>
          </w:rPr>
          <w:t>www.druknet.bt/gprsedge-3g/</w:t>
        </w:r>
      </w:hyperlink>
      <w:r w:rsidRPr="005704BD">
        <w:rPr>
          <w:lang w:val="en-US"/>
        </w:rPr>
        <w:t xml:space="preserve"> </w:t>
      </w:r>
    </w:p>
  </w:footnote>
  <w:footnote w:id="16">
    <w:p w:rsidR="005704BD" w:rsidRPr="005704BD" w:rsidRDefault="005704BD" w:rsidP="005704BD">
      <w:pPr>
        <w:pStyle w:val="FootnoteText"/>
        <w:rPr>
          <w:lang w:val="en-US"/>
        </w:rPr>
      </w:pPr>
      <w:r>
        <w:rPr>
          <w:rStyle w:val="FootnoteReference"/>
        </w:rPr>
        <w:footnoteRef/>
      </w:r>
      <w:r w:rsidRPr="005704BD">
        <w:rPr>
          <w:lang w:val="en-US"/>
        </w:rPr>
        <w:t xml:space="preserve"> </w:t>
      </w:r>
      <w:r>
        <w:rPr>
          <w:lang w:val="en-US"/>
        </w:rPr>
        <w:tab/>
      </w:r>
      <w:r w:rsidRPr="005704BD">
        <w:rPr>
          <w:lang w:val="en-US"/>
        </w:rPr>
        <w:t>See, for example, OECD (2008, 2009); Ford et al. (2007).</w:t>
      </w:r>
    </w:p>
  </w:footnote>
  <w:footnote w:id="17">
    <w:p w:rsidR="005704BD" w:rsidRPr="00687B23" w:rsidRDefault="005704BD" w:rsidP="000F4A58">
      <w:pPr>
        <w:pStyle w:val="FootnoteText"/>
      </w:pPr>
      <w:r>
        <w:rPr>
          <w:rStyle w:val="FootnoteReference"/>
        </w:rPr>
        <w:footnoteRef/>
      </w:r>
      <w:r w:rsidRPr="005704BD">
        <w:rPr>
          <w:lang w:val="en-US"/>
        </w:rPr>
        <w:t xml:space="preserve"> </w:t>
      </w:r>
      <w:r>
        <w:rPr>
          <w:lang w:val="en-US"/>
        </w:rPr>
        <w:tab/>
      </w:r>
      <w:r w:rsidRPr="00687B23">
        <w:t xml:space="preserve">Rural broadband connectivity remains an issue even in </w:t>
      </w:r>
      <w:r>
        <w:t>developed</w:t>
      </w:r>
      <w:r w:rsidRPr="00687B23">
        <w:t xml:space="preserve"> </w:t>
      </w:r>
      <w:r>
        <w:t xml:space="preserve">countries, as proved </w:t>
      </w:r>
      <w:r w:rsidRPr="00687B23">
        <w:t>by the recent</w:t>
      </w:r>
      <w:r>
        <w:t xml:space="preserve"> policy initiatives undertaken in this field, such as those carried out in the United States – USD 7.2 billion allocated in the American Recovery and Reinvestment Act of 2009 to promote broadband in underserved areas, especially in rural areas – or in the European Union – </w:t>
      </w:r>
      <w:r w:rsidR="000F4A58">
        <w:t>EUR</w:t>
      </w:r>
      <w:r>
        <w:t xml:space="preserve"> 1 billion earmarked in the European Economic Recovery Plan (December 2008) to promote broadband in rural areas. </w:t>
      </w:r>
    </w:p>
  </w:footnote>
  <w:footnote w:id="18">
    <w:p w:rsidR="005704BD" w:rsidRPr="002138E0" w:rsidRDefault="005704BD" w:rsidP="000F4A58">
      <w:pPr>
        <w:pStyle w:val="FootnoteText"/>
      </w:pPr>
      <w:r>
        <w:rPr>
          <w:rStyle w:val="FootnoteReference"/>
        </w:rPr>
        <w:footnoteRef/>
      </w:r>
      <w:r w:rsidRPr="005704BD">
        <w:rPr>
          <w:lang w:val="en-US"/>
        </w:rPr>
        <w:t xml:space="preserve"> </w:t>
      </w:r>
      <w:r w:rsidR="00834B63">
        <w:rPr>
          <w:lang w:val="en-US"/>
        </w:rPr>
        <w:tab/>
      </w:r>
      <w:r w:rsidRPr="005704BD">
        <w:rPr>
          <w:lang w:val="en-US"/>
        </w:rPr>
        <w:t xml:space="preserve">See (OECD, 2008) for a comparison with other OECD countries, and </w:t>
      </w:r>
      <w:r w:rsidRPr="00834B63">
        <w:t>analy</w:t>
      </w:r>
      <w:r w:rsidR="000F4A58" w:rsidRPr="00834B63">
        <w:t>zi</w:t>
      </w:r>
      <w:r w:rsidRPr="00834B63">
        <w:t>s</w:t>
      </w:r>
      <w:r w:rsidRPr="005704BD">
        <w:rPr>
          <w:lang w:val="en-US"/>
        </w:rPr>
        <w:t xml:space="preserve"> of broadband correlation with </w:t>
      </w:r>
      <w:r w:rsidRPr="002138E0">
        <w:t>landmass and population dispersion.</w:t>
      </w:r>
    </w:p>
  </w:footnote>
  <w:footnote w:id="19">
    <w:p w:rsidR="005704BD" w:rsidRPr="005704BD" w:rsidRDefault="005704BD" w:rsidP="006423A3">
      <w:pPr>
        <w:pStyle w:val="FootnoteText"/>
        <w:rPr>
          <w:lang w:val="en-US"/>
        </w:rPr>
      </w:pPr>
      <w:r w:rsidRPr="002138E0">
        <w:rPr>
          <w:rStyle w:val="FootnoteReference"/>
        </w:rPr>
        <w:footnoteRef/>
      </w:r>
      <w:r w:rsidRPr="005704BD">
        <w:rPr>
          <w:lang w:val="en-US"/>
        </w:rPr>
        <w:t xml:space="preserve"> </w:t>
      </w:r>
      <w:r w:rsidR="00834B63">
        <w:rPr>
          <w:lang w:val="en-US"/>
        </w:rPr>
        <w:tab/>
      </w:r>
      <w:r w:rsidRPr="005704BD">
        <w:rPr>
          <w:lang w:val="en-US"/>
        </w:rPr>
        <w:t xml:space="preserve">In Spain, a recent feasibility study on </w:t>
      </w:r>
      <w:r w:rsidRPr="00834B63">
        <w:t>fibre</w:t>
      </w:r>
      <w:r w:rsidRPr="005704BD">
        <w:rPr>
          <w:lang w:val="en-US"/>
        </w:rPr>
        <w:t xml:space="preserve"> deployment commissioned by CMT (the Spanish telecommunications regulator) concluded that public intervention would be needed in rural areas in order to make available the benefits of NGN in those areas. The study showed that in some rural zones there would not be enough incentives for private operators to invest in the deployment of a new </w:t>
      </w:r>
      <w:r w:rsidRPr="00834B63">
        <w:t>fibre</w:t>
      </w:r>
      <w:r w:rsidRPr="005704BD">
        <w:rPr>
          <w:lang w:val="en-US"/>
        </w:rPr>
        <w:t xml:space="preserve"> network, and that this could affect some 1.5</w:t>
      </w:r>
      <w:r w:rsidR="006423A3">
        <w:rPr>
          <w:lang w:val="en-US"/>
        </w:rPr>
        <w:t> </w:t>
      </w:r>
      <w:r w:rsidRPr="005704BD">
        <w:rPr>
          <w:lang w:val="en-US"/>
        </w:rPr>
        <w:t>million people in the country. See ISDF (2009) for more information.</w:t>
      </w:r>
      <w:r>
        <w:rPr>
          <w:lang w:val="en-US"/>
        </w:rPr>
        <w:t xml:space="preserve"> </w:t>
      </w:r>
    </w:p>
  </w:footnote>
  <w:footnote w:id="20">
    <w:p w:rsidR="005704BD" w:rsidRPr="00180663" w:rsidRDefault="005704BD" w:rsidP="005704BD">
      <w:pPr>
        <w:pStyle w:val="FootnoteText"/>
      </w:pPr>
      <w:r>
        <w:rPr>
          <w:rStyle w:val="FootnoteReference"/>
        </w:rPr>
        <w:footnoteRef/>
      </w:r>
      <w:r w:rsidRPr="005704BD">
        <w:rPr>
          <w:lang w:val="en-US"/>
        </w:rPr>
        <w:t xml:space="preserve"> </w:t>
      </w:r>
      <w:r>
        <w:rPr>
          <w:lang w:val="en-US"/>
        </w:rPr>
        <w:tab/>
      </w:r>
      <w:r w:rsidRPr="005704BD">
        <w:rPr>
          <w:lang w:val="en-US"/>
        </w:rPr>
        <w:t>Despite positive demographic factors for the first stages of broadband penetration growth, it is to be noted that Maldives has a very particular geography, which makes universal access to broadband a very challenging task (i.e. to achieve affordable broadband coverage in all inhabited islands, most of them small and some very remote).</w:t>
      </w:r>
    </w:p>
  </w:footnote>
  <w:footnote w:id="21">
    <w:p w:rsidR="005704BD" w:rsidRPr="0035479B" w:rsidRDefault="005704BD" w:rsidP="000F4A58">
      <w:pPr>
        <w:pStyle w:val="FootnoteText"/>
      </w:pPr>
      <w:r>
        <w:rPr>
          <w:rStyle w:val="FootnoteReference"/>
        </w:rPr>
        <w:footnoteRef/>
      </w:r>
      <w:r w:rsidRPr="005704BD">
        <w:rPr>
          <w:lang w:val="en-US"/>
        </w:rPr>
        <w:t xml:space="preserve"> </w:t>
      </w:r>
      <w:r>
        <w:rPr>
          <w:lang w:val="en-US"/>
        </w:rPr>
        <w:tab/>
      </w:r>
      <w:smartTag w:uri="urn:schemas-microsoft-com:office:smarttags" w:element="place">
        <w:smartTag w:uri="urn:schemas-microsoft-com:office:smarttags" w:element="country-region">
          <w:r w:rsidRPr="0035479B">
            <w:t>Maldives</w:t>
          </w:r>
        </w:smartTag>
      </w:smartTag>
      <w:r w:rsidRPr="0035479B">
        <w:t xml:space="preserve"> increased fixed broadband penetration from </w:t>
      </w:r>
      <w:r>
        <w:t xml:space="preserve">700 subscriptions in 2004 (0.25 </w:t>
      </w:r>
      <w:r w:rsidR="000F4A58">
        <w:t>per cent</w:t>
      </w:r>
      <w:r>
        <w:t xml:space="preserve"> of the population) to </w:t>
      </w:r>
      <w:r w:rsidRPr="005704BD">
        <w:rPr>
          <w:lang w:val="en-US"/>
        </w:rPr>
        <w:t>17</w:t>
      </w:r>
      <w:r w:rsidR="000F4A58">
        <w:rPr>
          <w:lang w:val="en-US"/>
        </w:rPr>
        <w:t> </w:t>
      </w:r>
      <w:r w:rsidRPr="005704BD">
        <w:rPr>
          <w:lang w:val="en-US"/>
        </w:rPr>
        <w:t xml:space="preserve">780 in 2009 (5.78 </w:t>
      </w:r>
      <w:r w:rsidR="000F4A58">
        <w:rPr>
          <w:lang w:val="en-US"/>
        </w:rPr>
        <w:t>per cent</w:t>
      </w:r>
      <w:r w:rsidRPr="005704BD">
        <w:rPr>
          <w:lang w:val="en-US"/>
        </w:rPr>
        <w:t xml:space="preserve"> of the population), which equates to a compound annual growth rate (CAGR) of 91</w:t>
      </w:r>
      <w:r>
        <w:rPr>
          <w:lang w:val="en-US"/>
        </w:rPr>
        <w:t> </w:t>
      </w:r>
      <w:r w:rsidR="000F4A58">
        <w:rPr>
          <w:lang w:val="en-US"/>
        </w:rPr>
        <w:t>per cent</w:t>
      </w:r>
      <w:r w:rsidRPr="005704BD">
        <w:rPr>
          <w:lang w:val="en-US"/>
        </w:rPr>
        <w:t xml:space="preserve">. </w:t>
      </w:r>
    </w:p>
  </w:footnote>
  <w:footnote w:id="22">
    <w:p w:rsidR="005704BD" w:rsidRPr="005704BD" w:rsidRDefault="005704BD" w:rsidP="005704BD">
      <w:pPr>
        <w:pStyle w:val="FootnoteText"/>
        <w:rPr>
          <w:lang w:val="en-US"/>
        </w:rPr>
      </w:pPr>
      <w:r w:rsidRPr="00F03160">
        <w:rPr>
          <w:rStyle w:val="FootnoteReference"/>
        </w:rPr>
        <w:footnoteRef/>
      </w:r>
      <w:r w:rsidRPr="005704BD">
        <w:rPr>
          <w:lang w:val="en-US"/>
        </w:rPr>
        <w:t xml:space="preserve"> </w:t>
      </w:r>
      <w:r>
        <w:rPr>
          <w:lang w:val="en-US"/>
        </w:rPr>
        <w:tab/>
      </w:r>
      <w:r w:rsidRPr="005704BD">
        <w:rPr>
          <w:lang w:val="en-US"/>
        </w:rPr>
        <w:t>It is assumed that the household size is homogenous within each country.</w:t>
      </w:r>
    </w:p>
  </w:footnote>
  <w:footnote w:id="23">
    <w:p w:rsidR="00E13A38" w:rsidRPr="00E13A38" w:rsidRDefault="00E13A38" w:rsidP="00E13A38">
      <w:pPr>
        <w:pStyle w:val="FootnoteText"/>
        <w:rPr>
          <w:lang w:val="en-US"/>
        </w:rPr>
      </w:pPr>
      <w:r w:rsidRPr="007C3071">
        <w:rPr>
          <w:rStyle w:val="FootnoteReference"/>
        </w:rPr>
        <w:footnoteRef/>
      </w:r>
      <w:r w:rsidRPr="00E13A38">
        <w:rPr>
          <w:lang w:val="en-US"/>
        </w:rPr>
        <w:t xml:space="preserve"> </w:t>
      </w:r>
      <w:r>
        <w:rPr>
          <w:lang w:val="en-US"/>
        </w:rPr>
        <w:tab/>
      </w:r>
      <w:r w:rsidRPr="00E13A38">
        <w:rPr>
          <w:lang w:val="en-US"/>
        </w:rPr>
        <w:t xml:space="preserve">See ITU (2010b) for the latest edition of the IDI. See ITU (2009a), Chapter 3 and Annex 1, for more information on the background and methodology of the IDI. See ITU (2009b), Chapter 3, for an analysis of the 2007 IDI in Asian economies, including ABBMN countries (except Afghanistan, due to lack of data). </w:t>
      </w:r>
    </w:p>
  </w:footnote>
  <w:footnote w:id="24">
    <w:p w:rsidR="005704BD" w:rsidRPr="000431AB" w:rsidRDefault="005704BD" w:rsidP="005704BD">
      <w:pPr>
        <w:pStyle w:val="FootnoteText"/>
      </w:pPr>
      <w:r>
        <w:rPr>
          <w:rStyle w:val="FootnoteReference"/>
        </w:rPr>
        <w:footnoteRef/>
      </w:r>
      <w:r w:rsidRPr="005704BD">
        <w:rPr>
          <w:lang w:val="en-US"/>
        </w:rPr>
        <w:t xml:space="preserve"> </w:t>
      </w:r>
      <w:r>
        <w:rPr>
          <w:lang w:val="en-US"/>
        </w:rPr>
        <w:tab/>
      </w:r>
      <w:r w:rsidRPr="005704BD">
        <w:rPr>
          <w:lang w:val="en-US"/>
        </w:rPr>
        <w:t xml:space="preserve">The R square value of a logarithmic regression provides a measure of how well the </w:t>
      </w:r>
      <w:proofErr w:type="spellStart"/>
      <w:r w:rsidRPr="005704BD">
        <w:rPr>
          <w:lang w:val="en-US"/>
        </w:rPr>
        <w:t>trendline</w:t>
      </w:r>
      <w:proofErr w:type="spellEnd"/>
      <w:r w:rsidRPr="005704BD">
        <w:rPr>
          <w:lang w:val="en-US"/>
        </w:rPr>
        <w:t xml:space="preserve"> approximates the real data points. It varies from 0 to 1, being 1 the value obtained by a perfect fit of the data points. In the case of a regression between IDI and GNI per capita, the higher the R square value, the stronger the link between IDI and GNI per capita, as expressed by a logarithmic curve. The R square value found for South Asia is 0.69, or 0.89 if Bhutan is excluded from the computation. This latter value is in line with the R square values found in the regressions between GNI per capita (in </w:t>
      </w:r>
      <w:r w:rsidR="00F166B1">
        <w:rPr>
          <w:lang w:val="en-US"/>
        </w:rPr>
        <w:t>USD</w:t>
      </w:r>
      <w:r w:rsidRPr="005704BD">
        <w:rPr>
          <w:lang w:val="en-US"/>
        </w:rPr>
        <w:t xml:space="preserve">) and IDI in Asia and the Pacific (0.93, 2007), Europe (0.88, 2007), and the Americas (0.85, 2007). Moreover, the relation is stronger in South Asia than in other regions such as the Arab States (0.75, 2007), Africa (0.69, 2007), and the CIS (0.66, 2007). </w:t>
      </w:r>
    </w:p>
  </w:footnote>
  <w:footnote w:id="25">
    <w:p w:rsidR="005704BD" w:rsidRPr="005704BD" w:rsidRDefault="005704BD" w:rsidP="005704BD">
      <w:pPr>
        <w:pStyle w:val="FootnoteText"/>
        <w:rPr>
          <w:lang w:val="en-US"/>
        </w:rPr>
      </w:pPr>
      <w:r w:rsidRPr="00C768A3">
        <w:rPr>
          <w:rStyle w:val="FootnoteReference"/>
        </w:rPr>
        <w:footnoteRef/>
      </w:r>
      <w:r w:rsidRPr="005704BD">
        <w:rPr>
          <w:lang w:val="en-US"/>
        </w:rPr>
        <w:t xml:space="preserve"> </w:t>
      </w:r>
      <w:r>
        <w:rPr>
          <w:lang w:val="en-US"/>
        </w:rPr>
        <w:tab/>
      </w:r>
      <w:r w:rsidRPr="005704BD">
        <w:rPr>
          <w:lang w:val="en-US"/>
        </w:rPr>
        <w:t xml:space="preserve">Nepal’s use sub-index grew 4.5 </w:t>
      </w:r>
      <w:r w:rsidR="000F4A58">
        <w:rPr>
          <w:lang w:val="en-US"/>
        </w:rPr>
        <w:t>per cent</w:t>
      </w:r>
      <w:r w:rsidRPr="005704BD">
        <w:rPr>
          <w:lang w:val="en-US"/>
        </w:rPr>
        <w:t xml:space="preserve"> </w:t>
      </w:r>
      <w:proofErr w:type="spellStart"/>
      <w:r w:rsidRPr="005704BD">
        <w:rPr>
          <w:lang w:val="en-US"/>
        </w:rPr>
        <w:t>form</w:t>
      </w:r>
      <w:proofErr w:type="spellEnd"/>
      <w:r w:rsidRPr="005704BD">
        <w:rPr>
          <w:lang w:val="en-US"/>
        </w:rPr>
        <w:t xml:space="preserve"> 2007 to 2008, compared to 9.2 </w:t>
      </w:r>
      <w:r w:rsidR="000F4A58">
        <w:rPr>
          <w:lang w:val="en-US"/>
        </w:rPr>
        <w:t>per cent</w:t>
      </w:r>
      <w:r w:rsidRPr="005704BD">
        <w:rPr>
          <w:lang w:val="en-US"/>
        </w:rPr>
        <w:t xml:space="preserve"> in Bhutan, 11.9 </w:t>
      </w:r>
      <w:r w:rsidR="000F4A58">
        <w:rPr>
          <w:lang w:val="en-US"/>
        </w:rPr>
        <w:t>per cent</w:t>
      </w:r>
      <w:r w:rsidRPr="005704BD">
        <w:rPr>
          <w:lang w:val="en-US"/>
        </w:rPr>
        <w:t xml:space="preserve"> in Bangladesh, and 15.3 </w:t>
      </w:r>
      <w:r w:rsidR="000F4A58">
        <w:rPr>
          <w:lang w:val="en-US"/>
        </w:rPr>
        <w:t>per cent</w:t>
      </w:r>
      <w:r w:rsidRPr="005704BD">
        <w:rPr>
          <w:lang w:val="en-US"/>
        </w:rPr>
        <w:t xml:space="preserve"> in Maldives.</w:t>
      </w:r>
    </w:p>
  </w:footnote>
  <w:footnote w:id="26">
    <w:p w:rsidR="005704BD" w:rsidRPr="005704BD" w:rsidRDefault="005704BD" w:rsidP="005704BD">
      <w:pPr>
        <w:pStyle w:val="FootnoteText"/>
        <w:rPr>
          <w:lang w:val="en-US"/>
        </w:rPr>
      </w:pPr>
      <w:r w:rsidRPr="00397F6F">
        <w:rPr>
          <w:rStyle w:val="FootnoteReference"/>
        </w:rPr>
        <w:footnoteRef/>
      </w:r>
      <w:r w:rsidRPr="005704BD">
        <w:rPr>
          <w:lang w:val="en-US"/>
        </w:rPr>
        <w:t xml:space="preserve"> </w:t>
      </w:r>
      <w:r>
        <w:rPr>
          <w:lang w:val="en-US"/>
        </w:rPr>
        <w:tab/>
      </w:r>
      <w:r w:rsidRPr="005704BD">
        <w:rPr>
          <w:lang w:val="en-US"/>
        </w:rPr>
        <w:t xml:space="preserve">In 2008, Internet usage in Maldives (24 </w:t>
      </w:r>
      <w:r w:rsidR="000F4A58">
        <w:rPr>
          <w:lang w:val="en-US"/>
        </w:rPr>
        <w:t>per cent</w:t>
      </w:r>
      <w:r w:rsidRPr="005704BD">
        <w:rPr>
          <w:lang w:val="en-US"/>
        </w:rPr>
        <w:t xml:space="preserve">) was at a similar level as in </w:t>
      </w:r>
      <w:smartTag w:uri="urn:schemas-microsoft-com:office:smarttags" w:element="metricconverter">
        <w:smartTagPr>
          <w:attr w:name="ProductID" w:val="2002 in"/>
        </w:smartTagPr>
        <w:r w:rsidRPr="005704BD">
          <w:rPr>
            <w:lang w:val="en-US"/>
          </w:rPr>
          <w:t>2002 in</w:t>
        </w:r>
      </w:smartTag>
      <w:r w:rsidRPr="005704BD">
        <w:rPr>
          <w:lang w:val="en-US"/>
        </w:rPr>
        <w:t xml:space="preserve"> the Czech Republic (24 </w:t>
      </w:r>
      <w:r w:rsidR="000F4A58">
        <w:rPr>
          <w:lang w:val="en-US"/>
        </w:rPr>
        <w:t>per cent</w:t>
      </w:r>
      <w:r w:rsidRPr="005704BD">
        <w:rPr>
          <w:lang w:val="en-US"/>
        </w:rPr>
        <w:t xml:space="preserve">), Jamaica (23 </w:t>
      </w:r>
      <w:r w:rsidR="000F4A58">
        <w:rPr>
          <w:lang w:val="en-US"/>
        </w:rPr>
        <w:t>per cent</w:t>
      </w:r>
      <w:r w:rsidRPr="005704BD">
        <w:rPr>
          <w:lang w:val="en-US"/>
        </w:rPr>
        <w:t xml:space="preserve">) or Latvia (22 </w:t>
      </w:r>
      <w:r w:rsidR="000F4A58">
        <w:rPr>
          <w:lang w:val="en-US"/>
        </w:rPr>
        <w:t>per cent</w:t>
      </w:r>
      <w:r w:rsidRPr="005704BD">
        <w:rPr>
          <w:lang w:val="en-US"/>
        </w:rPr>
        <w:t xml:space="preserve">). In 2008, the world’s top countries in terms of Internet uptake had achieved penetration above 80 </w:t>
      </w:r>
      <w:r w:rsidR="000F4A58">
        <w:rPr>
          <w:lang w:val="en-US"/>
        </w:rPr>
        <w:t>per cent</w:t>
      </w:r>
      <w:r w:rsidRPr="005704BD">
        <w:rPr>
          <w:lang w:val="en-US"/>
        </w:rPr>
        <w:t xml:space="preserve">. This was the case of Finland, Iceland, Luxembourg, the Netherlands, Norway and Sweden (ITU, 2010b). </w:t>
      </w:r>
    </w:p>
  </w:footnote>
  <w:footnote w:id="27">
    <w:p w:rsidR="005704BD" w:rsidRPr="005704BD" w:rsidRDefault="005704BD" w:rsidP="005704BD">
      <w:pPr>
        <w:pStyle w:val="FootnoteText"/>
        <w:rPr>
          <w:lang w:val="en-US"/>
        </w:rPr>
      </w:pPr>
      <w:r w:rsidRPr="00482C56">
        <w:rPr>
          <w:rStyle w:val="FootnoteReference"/>
        </w:rPr>
        <w:footnoteRef/>
      </w:r>
      <w:r w:rsidRPr="005704BD">
        <w:rPr>
          <w:lang w:val="en-US"/>
        </w:rPr>
        <w:t xml:space="preserve"> </w:t>
      </w:r>
      <w:r>
        <w:rPr>
          <w:lang w:val="en-US"/>
        </w:rPr>
        <w:tab/>
      </w:r>
      <w:r w:rsidRPr="005704BD">
        <w:rPr>
          <w:lang w:val="en-US"/>
        </w:rPr>
        <w:t xml:space="preserve">According to ITU (2010b), today 65 </w:t>
      </w:r>
      <w:r w:rsidR="000F4A58">
        <w:rPr>
          <w:lang w:val="en-US"/>
        </w:rPr>
        <w:t>per cent</w:t>
      </w:r>
      <w:r w:rsidRPr="005704BD">
        <w:rPr>
          <w:lang w:val="en-US"/>
        </w:rPr>
        <w:t xml:space="preserve"> of the world’s fixed broadband connections use </w:t>
      </w:r>
      <w:proofErr w:type="spellStart"/>
      <w:r w:rsidRPr="005704BD">
        <w:rPr>
          <w:lang w:val="en-US"/>
        </w:rPr>
        <w:t>xDSL</w:t>
      </w:r>
      <w:proofErr w:type="spellEnd"/>
      <w:r w:rsidRPr="005704BD">
        <w:rPr>
          <w:lang w:val="en-US"/>
        </w:rPr>
        <w:t xml:space="preserve"> technologies.</w:t>
      </w:r>
    </w:p>
  </w:footnote>
  <w:footnote w:id="28">
    <w:p w:rsidR="005704BD" w:rsidRPr="005704BD" w:rsidRDefault="005704BD" w:rsidP="005704BD">
      <w:pPr>
        <w:pStyle w:val="FootnoteText"/>
        <w:rPr>
          <w:lang w:val="en-US"/>
        </w:rPr>
      </w:pPr>
      <w:r w:rsidRPr="00552851">
        <w:rPr>
          <w:rStyle w:val="FootnoteReference"/>
        </w:rPr>
        <w:footnoteRef/>
      </w:r>
      <w:r w:rsidRPr="005704BD">
        <w:rPr>
          <w:lang w:val="en-US"/>
        </w:rPr>
        <w:t xml:space="preserve"> </w:t>
      </w:r>
      <w:r>
        <w:rPr>
          <w:lang w:val="en-US"/>
        </w:rPr>
        <w:tab/>
      </w:r>
      <w:r w:rsidRPr="005704BD">
        <w:rPr>
          <w:lang w:val="en-US"/>
        </w:rPr>
        <w:t xml:space="preserve">In 2008, Nepal had 14.6 mobile subscriptions per 100 inhabitants, compared to </w:t>
      </w:r>
      <w:smartTag w:uri="urn:schemas-microsoft-com:office:smarttags" w:element="metricconverter">
        <w:smartTagPr>
          <w:attr w:name="ProductID" w:val="27.9 in"/>
        </w:smartTagPr>
        <w:r w:rsidRPr="005704BD">
          <w:rPr>
            <w:lang w:val="en-US"/>
          </w:rPr>
          <w:t>27.9 in</w:t>
        </w:r>
      </w:smartTag>
      <w:r w:rsidRPr="005704BD">
        <w:rPr>
          <w:lang w:val="en-US"/>
        </w:rPr>
        <w:t xml:space="preserve"> Bangladesh, and </w:t>
      </w:r>
      <w:smartTag w:uri="urn:schemas-microsoft-com:office:smarttags" w:element="metricconverter">
        <w:smartTagPr>
          <w:attr w:name="ProductID" w:val="29.4 in"/>
        </w:smartTagPr>
        <w:r w:rsidRPr="005704BD">
          <w:rPr>
            <w:lang w:val="en-US"/>
          </w:rPr>
          <w:t>29.4 in</w:t>
        </w:r>
      </w:smartTag>
      <w:r w:rsidRPr="005704BD">
        <w:rPr>
          <w:lang w:val="en-US"/>
        </w:rPr>
        <w:t xml:space="preserve"> India, the following South Asian countries with lowest mobile cellular penetration. </w:t>
      </w:r>
    </w:p>
  </w:footnote>
  <w:footnote w:id="29">
    <w:p w:rsidR="005704BD" w:rsidRPr="005704BD" w:rsidRDefault="005704BD" w:rsidP="005704BD">
      <w:pPr>
        <w:pStyle w:val="FootnoteText"/>
        <w:rPr>
          <w:lang w:val="en-US"/>
        </w:rPr>
      </w:pPr>
      <w:r>
        <w:rPr>
          <w:rStyle w:val="FootnoteReference"/>
        </w:rPr>
        <w:footnoteRef/>
      </w:r>
      <w:r w:rsidRPr="005704BD">
        <w:rPr>
          <w:lang w:val="en-US"/>
        </w:rPr>
        <w:t xml:space="preserve"> </w:t>
      </w:r>
      <w:r>
        <w:rPr>
          <w:lang w:val="en-US"/>
        </w:rPr>
        <w:tab/>
      </w:r>
      <w:r w:rsidRPr="005704BD">
        <w:rPr>
          <w:lang w:val="en-US"/>
        </w:rPr>
        <w:t xml:space="preserve">NDCL (2007). </w:t>
      </w:r>
    </w:p>
  </w:footnote>
  <w:footnote w:id="30">
    <w:p w:rsidR="005704BD" w:rsidRPr="005704BD" w:rsidRDefault="005704BD" w:rsidP="005704BD">
      <w:pPr>
        <w:pStyle w:val="FootnoteText"/>
        <w:rPr>
          <w:lang w:val="en-US"/>
        </w:rPr>
      </w:pPr>
      <w:r w:rsidRPr="007C3071">
        <w:rPr>
          <w:rStyle w:val="FootnoteReference"/>
        </w:rPr>
        <w:footnoteRef/>
      </w:r>
      <w:r w:rsidRPr="005704BD">
        <w:rPr>
          <w:lang w:val="en-US"/>
        </w:rPr>
        <w:t xml:space="preserve"> </w:t>
      </w:r>
      <w:r>
        <w:rPr>
          <w:lang w:val="en-US"/>
        </w:rPr>
        <w:tab/>
      </w:r>
      <w:r w:rsidRPr="005704BD">
        <w:rPr>
          <w:lang w:val="en-US"/>
        </w:rPr>
        <w:t xml:space="preserve">See ITU (2010b) for the latest edition of the ICT Price Basket. See ITU (2009a), Annex 2, for more information on the methodology of the ICT Price Basket. See ITU (2009b), Chapter 3, for an analysis of the 2008 ICT Price Basket in Asian economies, including ABBMN countries (except Afghanistan, due to lack of data). </w:t>
      </w:r>
    </w:p>
  </w:footnote>
  <w:footnote w:id="31">
    <w:p w:rsidR="005704BD" w:rsidRPr="00F676F4" w:rsidRDefault="005704BD" w:rsidP="005704BD">
      <w:pPr>
        <w:pStyle w:val="FootnoteText"/>
      </w:pPr>
      <w:r>
        <w:rPr>
          <w:rStyle w:val="FootnoteReference"/>
        </w:rPr>
        <w:footnoteRef/>
      </w:r>
      <w:r w:rsidRPr="005704BD">
        <w:rPr>
          <w:lang w:val="en-US"/>
        </w:rPr>
        <w:t xml:space="preserve"> </w:t>
      </w:r>
      <w:r>
        <w:rPr>
          <w:lang w:val="en-US"/>
        </w:rPr>
        <w:tab/>
      </w:r>
      <w:r w:rsidRPr="005704BD">
        <w:rPr>
          <w:lang w:val="en-US"/>
        </w:rPr>
        <w:t xml:space="preserve">Current international dollars (PPP$) are calculated using Purchasing Power Parity (PPP) conversion factors instead of regular exchange rates. The use of PPP exchange factors helps screening price and exchange rate distortions, thus providing a measure of the cost of a given service taking into account the purchasing power equivalences between countries. PPP data used in the ICT Price Basket were provided by the World Bank. For more information on PPP methodology and data, see </w:t>
      </w:r>
      <w:hyperlink r:id="rId6" w:history="1">
        <w:r w:rsidRPr="00011BA4">
          <w:rPr>
            <w:rStyle w:val="Hyperlink"/>
            <w:lang w:val="en-US"/>
          </w:rPr>
          <w:t>http://go.worldbank.org/UI22NH9ME0</w:t>
        </w:r>
      </w:hyperlink>
      <w:r w:rsidRPr="005704BD">
        <w:rPr>
          <w:lang w:val="en-US"/>
        </w:rPr>
        <w:t xml:space="preserve"> and World Bank (2008a).</w:t>
      </w:r>
    </w:p>
  </w:footnote>
  <w:footnote w:id="32">
    <w:p w:rsidR="005704BD" w:rsidRPr="00514AEC" w:rsidRDefault="005704BD" w:rsidP="005704BD">
      <w:pPr>
        <w:pStyle w:val="FootnoteText"/>
      </w:pPr>
      <w:r>
        <w:rPr>
          <w:rStyle w:val="FootnoteReference"/>
        </w:rPr>
        <w:footnoteRef/>
      </w:r>
      <w:r w:rsidRPr="005704BD">
        <w:rPr>
          <w:lang w:val="en-US"/>
        </w:rPr>
        <w:t xml:space="preserve"> </w:t>
      </w:r>
      <w:r>
        <w:rPr>
          <w:lang w:val="en-US"/>
        </w:rPr>
        <w:tab/>
      </w:r>
      <w:r w:rsidRPr="00514AEC">
        <w:t xml:space="preserve">See ITU (2009c) for an analysis </w:t>
      </w:r>
      <w:r>
        <w:t>of the shortage of international Internet bandwidth in several sub-Saharan countries, and its effects on fixed broadband prices.</w:t>
      </w:r>
    </w:p>
  </w:footnote>
  <w:footnote w:id="33">
    <w:p w:rsidR="005053D3" w:rsidRPr="009D1954" w:rsidRDefault="005053D3" w:rsidP="000F4A58">
      <w:pPr>
        <w:pStyle w:val="FootnoteText"/>
      </w:pPr>
      <w:r>
        <w:rPr>
          <w:rStyle w:val="FootnoteReference"/>
        </w:rPr>
        <w:footnoteRef/>
      </w:r>
      <w:r w:rsidRPr="005053D3">
        <w:rPr>
          <w:lang w:val="en-US"/>
        </w:rPr>
        <w:t xml:space="preserve"> </w:t>
      </w:r>
      <w:r>
        <w:rPr>
          <w:lang w:val="en-US"/>
        </w:rPr>
        <w:tab/>
      </w:r>
      <w:r w:rsidR="005704BD" w:rsidRPr="005704BD">
        <w:rPr>
          <w:lang w:val="en-US"/>
        </w:rPr>
        <w:t xml:space="preserve">Intuitively, if country A and country B have the same price in </w:t>
      </w:r>
      <w:r w:rsidR="00F166B1">
        <w:rPr>
          <w:lang w:val="en-US"/>
        </w:rPr>
        <w:t>USD</w:t>
      </w:r>
      <w:r w:rsidR="005704BD" w:rsidRPr="005704BD">
        <w:rPr>
          <w:lang w:val="en-US"/>
        </w:rPr>
        <w:t xml:space="preserve"> for a fixed broadband connection, but in country</w:t>
      </w:r>
      <w:r w:rsidR="000F4A58">
        <w:rPr>
          <w:lang w:val="en-US"/>
        </w:rPr>
        <w:t> </w:t>
      </w:r>
      <w:r w:rsidR="005704BD" w:rsidRPr="005704BD">
        <w:rPr>
          <w:lang w:val="en-US"/>
        </w:rPr>
        <w:t xml:space="preserve">A prices of other products are in general cheaper (in </w:t>
      </w:r>
      <w:r w:rsidR="00F166B1">
        <w:rPr>
          <w:lang w:val="en-US"/>
        </w:rPr>
        <w:t>USD</w:t>
      </w:r>
      <w:r w:rsidR="005704BD" w:rsidRPr="005704BD">
        <w:rPr>
          <w:lang w:val="en-US"/>
        </w:rPr>
        <w:t xml:space="preserve">), then, by applying PPP exchange rates, the fixed broadband connection in country A will be more expensive. That is because, compared to country B, in country A the same amount of </w:t>
      </w:r>
      <w:r w:rsidR="00F166B1">
        <w:rPr>
          <w:lang w:val="en-US"/>
        </w:rPr>
        <w:t>USD</w:t>
      </w:r>
      <w:r w:rsidR="005704BD" w:rsidRPr="005704BD">
        <w:rPr>
          <w:lang w:val="en-US"/>
        </w:rPr>
        <w:t xml:space="preserve"> (exchanged into national currency at market exchange rates) can buy more products or services. Therefore, the fixed broadband connection in country A is more expensive in terms of what could be bought with that amount in each country.</w:t>
      </w:r>
    </w:p>
  </w:footnote>
  <w:footnote w:id="34">
    <w:p w:rsidR="00A71DEE" w:rsidRPr="00A71DEE" w:rsidRDefault="00A71DEE" w:rsidP="003F5602">
      <w:pPr>
        <w:pStyle w:val="FootnoteText"/>
        <w:rPr>
          <w:lang w:val="en-US"/>
        </w:rPr>
      </w:pPr>
      <w:r w:rsidRPr="00901354">
        <w:rPr>
          <w:rStyle w:val="FootnoteReference"/>
        </w:rPr>
        <w:footnoteRef/>
      </w:r>
      <w:r w:rsidRPr="00A71DEE">
        <w:rPr>
          <w:lang w:val="en-US"/>
        </w:rPr>
        <w:t xml:space="preserve"> </w:t>
      </w:r>
      <w:r>
        <w:rPr>
          <w:lang w:val="en-US"/>
        </w:rPr>
        <w:tab/>
      </w:r>
      <w:r w:rsidRPr="00A71DEE">
        <w:rPr>
          <w:lang w:val="en-US"/>
        </w:rPr>
        <w:t>Internet broadband access is defined by ITU as that allowing access to the Internet at speeds equal or above 256</w:t>
      </w:r>
      <w:r w:rsidR="003F5602">
        <w:rPr>
          <w:lang w:val="en-US"/>
        </w:rPr>
        <w:t> </w:t>
      </w:r>
      <w:proofErr w:type="spellStart"/>
      <w:r w:rsidRPr="00A71DEE">
        <w:rPr>
          <w:lang w:val="en-US"/>
        </w:rPr>
        <w:t>kbit</w:t>
      </w:r>
      <w:proofErr w:type="spellEnd"/>
      <w:r w:rsidRPr="00A71DEE">
        <w:rPr>
          <w:lang w:val="en-US"/>
        </w:rPr>
        <w:t>/s, in one or both directions.</w:t>
      </w:r>
    </w:p>
  </w:footnote>
  <w:footnote w:id="35">
    <w:p w:rsidR="003F5602" w:rsidRPr="003F5602" w:rsidRDefault="003F5602" w:rsidP="000F4A58">
      <w:pPr>
        <w:pStyle w:val="FootnoteText"/>
        <w:rPr>
          <w:lang w:val="en-US"/>
        </w:rPr>
      </w:pPr>
      <w:r>
        <w:rPr>
          <w:rStyle w:val="FootnoteReference"/>
        </w:rPr>
        <w:footnoteRef/>
      </w:r>
      <w:r w:rsidRPr="003F5602">
        <w:rPr>
          <w:lang w:val="en-US"/>
        </w:rPr>
        <w:t xml:space="preserve"> </w:t>
      </w:r>
      <w:r w:rsidR="006423A3">
        <w:rPr>
          <w:lang w:val="en-US"/>
        </w:rPr>
        <w:tab/>
      </w:r>
      <w:r w:rsidRPr="003F5602">
        <w:rPr>
          <w:lang w:val="en-US"/>
        </w:rPr>
        <w:t>2</w:t>
      </w:r>
      <w:r w:rsidR="000F4A58">
        <w:rPr>
          <w:lang w:val="en-US"/>
        </w:rPr>
        <w:t> </w:t>
      </w:r>
      <w:r w:rsidRPr="003F5602">
        <w:rPr>
          <w:lang w:val="en-US"/>
        </w:rPr>
        <w:t xml:space="preserve">000 IMT-2000 subscriptions or 0.01 </w:t>
      </w:r>
      <w:r w:rsidR="000F4A58">
        <w:rPr>
          <w:lang w:val="en-US"/>
        </w:rPr>
        <w:t>per cent</w:t>
      </w:r>
      <w:r w:rsidRPr="003F5602">
        <w:rPr>
          <w:lang w:val="en-US"/>
        </w:rPr>
        <w:t xml:space="preserve"> penetration in March 2010. Source: ITU ABBMN questionnaire (June 2010). </w:t>
      </w:r>
    </w:p>
  </w:footnote>
  <w:footnote w:id="36">
    <w:p w:rsidR="00A71DEE" w:rsidRPr="00A71DEE" w:rsidRDefault="00A71DEE" w:rsidP="00A71DEE">
      <w:pPr>
        <w:pStyle w:val="FootnoteText"/>
        <w:rPr>
          <w:lang w:val="en-US"/>
        </w:rPr>
      </w:pPr>
      <w:r>
        <w:rPr>
          <w:rStyle w:val="FootnoteReference"/>
        </w:rPr>
        <w:footnoteRef/>
      </w:r>
      <w:r w:rsidRPr="00A71DEE">
        <w:rPr>
          <w:lang w:val="en-US"/>
        </w:rPr>
        <w:t xml:space="preserve"> </w:t>
      </w:r>
      <w:r>
        <w:rPr>
          <w:lang w:val="en-US"/>
        </w:rPr>
        <w:tab/>
      </w:r>
      <w:r w:rsidRPr="00A71DEE">
        <w:rPr>
          <w:lang w:val="en-US"/>
        </w:rPr>
        <w:t xml:space="preserve">See Module 2 of the ICT Regulation Toolkit for more details on the role, rationale, and requirements of ICT regulators: </w:t>
      </w:r>
      <w:hyperlink r:id="rId7" w:history="1">
        <w:r w:rsidR="00810397" w:rsidRPr="001D329C">
          <w:rPr>
            <w:rStyle w:val="Hyperlink"/>
            <w:lang w:val="en-US"/>
          </w:rPr>
          <w:t>www.ictregulationtoolkit.org/en/Section.3105.html</w:t>
        </w:r>
      </w:hyperlink>
      <w:r w:rsidRPr="00A71DEE">
        <w:rPr>
          <w:lang w:val="en-US"/>
        </w:rPr>
        <w:t xml:space="preserve"> </w:t>
      </w:r>
    </w:p>
  </w:footnote>
  <w:footnote w:id="37">
    <w:p w:rsidR="00F166B1" w:rsidRPr="00F166B1" w:rsidRDefault="00F166B1" w:rsidP="00F166B1">
      <w:pPr>
        <w:pStyle w:val="FootnoteText"/>
        <w:rPr>
          <w:lang w:val="en-US"/>
        </w:rPr>
      </w:pPr>
      <w:r>
        <w:rPr>
          <w:rStyle w:val="FootnoteReference"/>
        </w:rPr>
        <w:footnoteRef/>
      </w:r>
      <w:r w:rsidRPr="00F166B1">
        <w:rPr>
          <w:lang w:val="en-US"/>
        </w:rPr>
        <w:t xml:space="preserve"> </w:t>
      </w:r>
      <w:r>
        <w:rPr>
          <w:lang w:val="en-US"/>
        </w:rPr>
        <w:tab/>
      </w:r>
      <w:r w:rsidRPr="00F166B1">
        <w:rPr>
          <w:lang w:val="en-US"/>
        </w:rPr>
        <w:t>This has been widely acknowledged, and included in the rules that guide several regulators. For example, in the European Framework Directive (2002/21/EC), which sets the common regulatory framework for electronic communications networks and services in the European Union, Article 6 is devoted to consultation and transparency mechanisms. The text states: “</w:t>
      </w:r>
      <w:r w:rsidRPr="00F166B1">
        <w:rPr>
          <w:i/>
          <w:iCs/>
          <w:lang w:val="en-US"/>
        </w:rPr>
        <w:t>Member States shall ensure that where national regulatory authorities intend to take measures in accordance with this Directive or the Specific Directives which have a significant impact on the relevant market, they give interested parties the opportunity to comment on the draft measure within a reasonable period.</w:t>
      </w:r>
      <w:r w:rsidRPr="00F166B1">
        <w:rPr>
          <w:lang w:val="en-US"/>
        </w:rPr>
        <w:t xml:space="preserve">” </w:t>
      </w:r>
    </w:p>
  </w:footnote>
  <w:footnote w:id="38">
    <w:p w:rsidR="00F166B1" w:rsidRPr="001A4240" w:rsidRDefault="00F166B1" w:rsidP="00527AA9">
      <w:pPr>
        <w:pStyle w:val="FootnoteText"/>
        <w:rPr>
          <w:lang w:val="ca-ES"/>
        </w:rPr>
      </w:pPr>
      <w:r>
        <w:rPr>
          <w:rStyle w:val="FootnoteReference"/>
        </w:rPr>
        <w:footnoteRef/>
      </w:r>
      <w:r w:rsidRPr="00F166B1">
        <w:rPr>
          <w:lang w:val="en-US"/>
        </w:rPr>
        <w:t xml:space="preserve"> </w:t>
      </w:r>
      <w:r w:rsidR="006423A3">
        <w:rPr>
          <w:lang w:val="en-US"/>
        </w:rPr>
        <w:tab/>
      </w:r>
      <w:r w:rsidRPr="00F166B1">
        <w:rPr>
          <w:lang w:val="en-US"/>
        </w:rPr>
        <w:t>The PSTN was designed and deployed to provide Plain Old Telephone Services (POTS) using a circuit-switched architecture. Today, the PSTN has evolved to a mostly digital network (except the local loop), allowing for digital services.</w:t>
      </w:r>
      <w:r>
        <w:rPr>
          <w:lang w:val="en-US"/>
        </w:rPr>
        <w:t xml:space="preserve"> </w:t>
      </w:r>
    </w:p>
  </w:footnote>
  <w:footnote w:id="39">
    <w:p w:rsidR="00F166B1" w:rsidRPr="00F166B1" w:rsidRDefault="00F166B1" w:rsidP="00F166B1">
      <w:pPr>
        <w:pStyle w:val="FootnoteText"/>
        <w:rPr>
          <w:lang w:val="en-US"/>
        </w:rPr>
      </w:pPr>
      <w:r>
        <w:rPr>
          <w:rStyle w:val="FootnoteReference"/>
        </w:rPr>
        <w:footnoteRef/>
      </w:r>
      <w:r w:rsidRPr="00F166B1">
        <w:rPr>
          <w:lang w:val="en-US"/>
        </w:rPr>
        <w:t xml:space="preserve"> </w:t>
      </w:r>
      <w:r>
        <w:rPr>
          <w:lang w:val="en-US"/>
        </w:rPr>
        <w:tab/>
      </w:r>
      <w:r w:rsidRPr="00F166B1">
        <w:rPr>
          <w:lang w:val="en-US"/>
        </w:rPr>
        <w:t xml:space="preserve">The complete WSIS Plan of Action is available at: </w:t>
      </w:r>
      <w:hyperlink r:id="rId8" w:history="1">
        <w:r w:rsidRPr="00F166B1">
          <w:rPr>
            <w:rStyle w:val="Hyperlink"/>
            <w:lang w:val="en-US"/>
          </w:rPr>
          <w:t>www.itu.int/wsis/docs/geneva/official/poa.html</w:t>
        </w:r>
      </w:hyperlink>
      <w:r w:rsidRPr="00F166B1">
        <w:rPr>
          <w:lang w:val="en-US"/>
        </w:rPr>
        <w:t xml:space="preserve"> </w:t>
      </w:r>
    </w:p>
  </w:footnote>
  <w:footnote w:id="40">
    <w:p w:rsidR="00A71DEE" w:rsidRPr="00A71DEE" w:rsidRDefault="00A71DEE" w:rsidP="00A71DEE">
      <w:pPr>
        <w:pStyle w:val="FootnoteText"/>
        <w:rPr>
          <w:lang w:val="en-US"/>
        </w:rPr>
      </w:pPr>
      <w:r>
        <w:rPr>
          <w:rStyle w:val="FootnoteReference"/>
        </w:rPr>
        <w:footnoteRef/>
      </w:r>
      <w:r w:rsidRPr="00A71DEE">
        <w:rPr>
          <w:lang w:val="en-US"/>
        </w:rPr>
        <w:t xml:space="preserve"> </w:t>
      </w:r>
      <w:r>
        <w:rPr>
          <w:lang w:val="en-US"/>
        </w:rPr>
        <w:tab/>
      </w:r>
      <w:r w:rsidRPr="00A71DEE">
        <w:rPr>
          <w:lang w:val="en-US"/>
        </w:rPr>
        <w:t xml:space="preserve">For example, </w:t>
      </w:r>
      <w:proofErr w:type="spellStart"/>
      <w:r w:rsidRPr="00A71DEE">
        <w:rPr>
          <w:lang w:val="en-US"/>
        </w:rPr>
        <w:t>smartphones</w:t>
      </w:r>
      <w:proofErr w:type="spellEnd"/>
      <w:r w:rsidRPr="00A71DEE">
        <w:rPr>
          <w:lang w:val="en-US"/>
        </w:rPr>
        <w:t xml:space="preserve"> are devices more oriented to the use of data services than regular cell phones, and thus provide a user experience closer to that of fixed broadband connections used with a personal computer.</w:t>
      </w:r>
    </w:p>
  </w:footnote>
  <w:footnote w:id="41">
    <w:p w:rsidR="00F166B1" w:rsidRPr="00F166B1" w:rsidRDefault="00F166B1" w:rsidP="006423A3">
      <w:pPr>
        <w:pStyle w:val="FootnoteText"/>
        <w:tabs>
          <w:tab w:val="left" w:pos="8360"/>
        </w:tabs>
        <w:rPr>
          <w:lang w:val="en-US"/>
        </w:rPr>
      </w:pPr>
      <w:r w:rsidRPr="00DA1EEE">
        <w:rPr>
          <w:rStyle w:val="FootnoteReference"/>
        </w:rPr>
        <w:footnoteRef/>
      </w:r>
      <w:r w:rsidRPr="00F166B1">
        <w:rPr>
          <w:lang w:val="en-US"/>
        </w:rPr>
        <w:t xml:space="preserve"> </w:t>
      </w:r>
      <w:r>
        <w:rPr>
          <w:lang w:val="en-US"/>
        </w:rPr>
        <w:tab/>
      </w:r>
      <w:r w:rsidRPr="00F166B1">
        <w:rPr>
          <w:lang w:val="en-US"/>
        </w:rPr>
        <w:t xml:space="preserve">For example, in 2008 some 75 </w:t>
      </w:r>
      <w:r w:rsidR="000F4A58">
        <w:rPr>
          <w:lang w:val="en-US"/>
        </w:rPr>
        <w:t>per cent</w:t>
      </w:r>
      <w:r w:rsidRPr="00F166B1">
        <w:rPr>
          <w:lang w:val="en-US"/>
        </w:rPr>
        <w:t xml:space="preserve"> of Australian households had a PC, 75 </w:t>
      </w:r>
      <w:r w:rsidR="000F4A58">
        <w:rPr>
          <w:lang w:val="en-US"/>
        </w:rPr>
        <w:t>per cent</w:t>
      </w:r>
      <w:r w:rsidRPr="00F166B1">
        <w:rPr>
          <w:lang w:val="en-US"/>
        </w:rPr>
        <w:t xml:space="preserve"> in Hong Kong (P.R. China), 86</w:t>
      </w:r>
      <w:r w:rsidR="006423A3">
        <w:rPr>
          <w:lang w:val="en-US"/>
        </w:rPr>
        <w:t> </w:t>
      </w:r>
      <w:r w:rsidR="000F4A58">
        <w:rPr>
          <w:lang w:val="en-US"/>
        </w:rPr>
        <w:t>per cent</w:t>
      </w:r>
      <w:r w:rsidRPr="00F166B1">
        <w:rPr>
          <w:lang w:val="en-US"/>
        </w:rPr>
        <w:t xml:space="preserve"> in Japan, and 81 </w:t>
      </w:r>
      <w:r w:rsidR="000F4A58">
        <w:rPr>
          <w:lang w:val="en-US"/>
        </w:rPr>
        <w:t>per cent</w:t>
      </w:r>
      <w:r w:rsidRPr="00F166B1">
        <w:rPr>
          <w:lang w:val="en-US"/>
        </w:rPr>
        <w:t xml:space="preserve"> in the Republic of Korea.</w:t>
      </w:r>
      <w:r w:rsidR="00262FB0">
        <w:rPr>
          <w:lang w:val="en-US"/>
        </w:rPr>
        <w:t xml:space="preserve"> </w:t>
      </w:r>
    </w:p>
  </w:footnote>
  <w:footnote w:id="42">
    <w:p w:rsidR="00F166B1" w:rsidRPr="00F166B1" w:rsidRDefault="00F166B1" w:rsidP="00F166B1">
      <w:pPr>
        <w:pStyle w:val="FootnoteText"/>
        <w:rPr>
          <w:lang w:val="en-US"/>
        </w:rPr>
      </w:pPr>
      <w:r w:rsidRPr="008167B7">
        <w:rPr>
          <w:rStyle w:val="FootnoteReference"/>
        </w:rPr>
        <w:footnoteRef/>
      </w:r>
      <w:r w:rsidRPr="00F166B1">
        <w:rPr>
          <w:lang w:val="en-US"/>
        </w:rPr>
        <w:t xml:space="preserve"> </w:t>
      </w:r>
      <w:r>
        <w:rPr>
          <w:lang w:val="en-US"/>
        </w:rPr>
        <w:tab/>
      </w:r>
      <w:r w:rsidRPr="00F166B1">
        <w:rPr>
          <w:lang w:val="en-US"/>
        </w:rPr>
        <w:t xml:space="preserve">In addition to the OLPC’s XO, other relevant low-cost computing devices include Intel’s Classmate, ASUS’s </w:t>
      </w:r>
      <w:proofErr w:type="spellStart"/>
      <w:r w:rsidRPr="00F166B1">
        <w:rPr>
          <w:lang w:val="en-US"/>
        </w:rPr>
        <w:t>Eee</w:t>
      </w:r>
      <w:proofErr w:type="spellEnd"/>
      <w:r w:rsidRPr="00F166B1">
        <w:rPr>
          <w:lang w:val="en-US"/>
        </w:rPr>
        <w:t xml:space="preserve">, Encore’s </w:t>
      </w:r>
      <w:proofErr w:type="spellStart"/>
      <w:r w:rsidRPr="00F166B1">
        <w:rPr>
          <w:lang w:val="en-US"/>
        </w:rPr>
        <w:t>Mobilis</w:t>
      </w:r>
      <w:proofErr w:type="spellEnd"/>
      <w:r w:rsidRPr="00F166B1">
        <w:rPr>
          <w:lang w:val="en-US"/>
        </w:rPr>
        <w:t xml:space="preserve">, and the Israeli-designed ITP-C. For more information, see Module 2 of ITU’s “Connect a School, Connect a Community Toolkit”, available at: </w:t>
      </w:r>
      <w:hyperlink r:id="rId9" w:history="1">
        <w:r w:rsidRPr="00F166B1">
          <w:rPr>
            <w:rStyle w:val="Hyperlink"/>
            <w:lang w:val="en-US"/>
          </w:rPr>
          <w:t>www.itu.int/ITU-D/sis/Connect_a_school/Modules/Mod2.pdf</w:t>
        </w:r>
      </w:hyperlink>
      <w:r w:rsidRPr="00F166B1">
        <w:rPr>
          <w:lang w:val="en-US"/>
        </w:rPr>
        <w:t xml:space="preserve"> </w:t>
      </w:r>
    </w:p>
  </w:footnote>
  <w:footnote w:id="43">
    <w:p w:rsidR="00F166B1" w:rsidRPr="00F166B1" w:rsidRDefault="00F166B1" w:rsidP="00F166B1">
      <w:pPr>
        <w:pStyle w:val="FootnoteText"/>
        <w:rPr>
          <w:lang w:val="en-US"/>
        </w:rPr>
      </w:pPr>
      <w:r w:rsidRPr="003D3A8D">
        <w:rPr>
          <w:rStyle w:val="FootnoteReference"/>
        </w:rPr>
        <w:footnoteRef/>
      </w:r>
      <w:r w:rsidRPr="00F166B1">
        <w:rPr>
          <w:lang w:val="en-US"/>
        </w:rPr>
        <w:t xml:space="preserve"> </w:t>
      </w:r>
      <w:r>
        <w:rPr>
          <w:lang w:val="en-US"/>
        </w:rPr>
        <w:tab/>
      </w:r>
      <w:r w:rsidRPr="00F166B1">
        <w:rPr>
          <w:lang w:val="en-US"/>
        </w:rPr>
        <w:t xml:space="preserve">See ITU press release for more details: </w:t>
      </w:r>
      <w:hyperlink r:id="rId10" w:history="1">
        <w:r w:rsidR="00011BA4" w:rsidRPr="009A1A25">
          <w:rPr>
            <w:rStyle w:val="Hyperlink"/>
            <w:lang w:val="en-US"/>
          </w:rPr>
          <w:t>www.itu.int/newsroom/press_releases/2009/41.html</w:t>
        </w:r>
      </w:hyperlink>
    </w:p>
  </w:footnote>
  <w:footnote w:id="44">
    <w:p w:rsidR="00F166B1" w:rsidRPr="00F166B1" w:rsidRDefault="00F166B1" w:rsidP="00F166B1">
      <w:pPr>
        <w:pStyle w:val="FootnoteText"/>
        <w:rPr>
          <w:lang w:val="en-US"/>
        </w:rPr>
      </w:pPr>
      <w:r w:rsidRPr="003D3A8D">
        <w:rPr>
          <w:rStyle w:val="FootnoteReference"/>
        </w:rPr>
        <w:footnoteRef/>
      </w:r>
      <w:r w:rsidRPr="00F166B1">
        <w:rPr>
          <w:lang w:val="en-US"/>
        </w:rPr>
        <w:t xml:space="preserve"> </w:t>
      </w:r>
      <w:r>
        <w:rPr>
          <w:lang w:val="en-US"/>
        </w:rPr>
        <w:tab/>
      </w:r>
      <w:r w:rsidRPr="00F166B1">
        <w:rPr>
          <w:lang w:val="en-US"/>
        </w:rPr>
        <w:t xml:space="preserve">See </w:t>
      </w:r>
      <w:hyperlink r:id="rId11" w:history="1">
        <w:r w:rsidRPr="00F166B1">
          <w:rPr>
            <w:rStyle w:val="Hyperlink"/>
            <w:lang w:val="en-US"/>
          </w:rPr>
          <w:t>www.olpc.af/</w:t>
        </w:r>
      </w:hyperlink>
      <w:r w:rsidRPr="00F166B1">
        <w:rPr>
          <w:lang w:val="en-US"/>
        </w:rPr>
        <w:t xml:space="preserve"> for more details on the deployment of the OLPC project in Afghanistan.</w:t>
      </w:r>
    </w:p>
  </w:footnote>
  <w:footnote w:id="45">
    <w:p w:rsidR="00F166B1" w:rsidRPr="00F166B1" w:rsidRDefault="00F166B1" w:rsidP="00F166B1">
      <w:pPr>
        <w:pStyle w:val="FootnoteText"/>
        <w:rPr>
          <w:lang w:val="en-US"/>
        </w:rPr>
      </w:pPr>
      <w:r w:rsidRPr="003D3A8D">
        <w:rPr>
          <w:rStyle w:val="FootnoteReference"/>
        </w:rPr>
        <w:footnoteRef/>
      </w:r>
      <w:r w:rsidRPr="00F166B1">
        <w:rPr>
          <w:lang w:val="en-US"/>
        </w:rPr>
        <w:t xml:space="preserve"> </w:t>
      </w:r>
      <w:r>
        <w:rPr>
          <w:lang w:val="en-US"/>
        </w:rPr>
        <w:tab/>
      </w:r>
      <w:r w:rsidRPr="00F166B1">
        <w:rPr>
          <w:lang w:val="en-US"/>
        </w:rPr>
        <w:t xml:space="preserve">See </w:t>
      </w:r>
      <w:hyperlink r:id="rId12" w:history="1">
        <w:r w:rsidRPr="00F166B1">
          <w:rPr>
            <w:rStyle w:val="Hyperlink"/>
            <w:lang w:val="en-US"/>
          </w:rPr>
          <w:t>www.olenepal.org/</w:t>
        </w:r>
      </w:hyperlink>
      <w:r w:rsidRPr="00F166B1">
        <w:rPr>
          <w:lang w:val="en-US"/>
        </w:rPr>
        <w:t xml:space="preserve"> for more information on the deployment of the OLPC project in Nepal.</w:t>
      </w:r>
    </w:p>
  </w:footnote>
  <w:footnote w:id="46">
    <w:p w:rsidR="00DB32C8" w:rsidRPr="003D3A8D" w:rsidRDefault="00DB32C8" w:rsidP="00475020">
      <w:pPr>
        <w:pStyle w:val="FootnoteText"/>
        <w:rPr>
          <w:lang w:val="ca-ES"/>
        </w:rPr>
      </w:pPr>
      <w:r w:rsidRPr="003D3A8D">
        <w:rPr>
          <w:rStyle w:val="FootnoteReference"/>
        </w:rPr>
        <w:footnoteRef/>
      </w:r>
      <w:r w:rsidRPr="00DB32C8">
        <w:rPr>
          <w:lang w:val="en-US"/>
        </w:rPr>
        <w:t xml:space="preserve"> </w:t>
      </w:r>
      <w:r w:rsidR="00F166B1">
        <w:rPr>
          <w:lang w:val="en-US"/>
        </w:rPr>
        <w:tab/>
      </w:r>
      <w:r w:rsidR="00F166B1" w:rsidRPr="00F166B1">
        <w:rPr>
          <w:lang w:val="en-US"/>
        </w:rPr>
        <w:t xml:space="preserve">See the document “E-Services through Post Offices in Bhutan” for more details on the initiative. Available at: </w:t>
      </w:r>
      <w:hyperlink r:id="rId13" w:history="1">
        <w:r w:rsidR="00475020" w:rsidRPr="009A1A25">
          <w:rPr>
            <w:rStyle w:val="Hyperlink"/>
          </w:rPr>
          <w:t>www.itu.int/ITU-D/tech/RuralTelecom/Rural_Publications/Bhutan-Report.pdf</w:t>
        </w:r>
      </w:hyperlink>
    </w:p>
  </w:footnote>
  <w:footnote w:id="47">
    <w:p w:rsidR="00F166B1" w:rsidRPr="00F166B1" w:rsidRDefault="00F166B1" w:rsidP="00F166B1">
      <w:pPr>
        <w:pStyle w:val="FootnoteText"/>
        <w:rPr>
          <w:lang w:val="en-US"/>
        </w:rPr>
      </w:pPr>
      <w:r w:rsidRPr="0060496C">
        <w:rPr>
          <w:rStyle w:val="FootnoteReference"/>
        </w:rPr>
        <w:footnoteRef/>
      </w:r>
      <w:r w:rsidRPr="00F166B1">
        <w:rPr>
          <w:lang w:val="en-US"/>
        </w:rPr>
        <w:t xml:space="preserve"> </w:t>
      </w:r>
      <w:r>
        <w:rPr>
          <w:lang w:val="en-US"/>
        </w:rPr>
        <w:tab/>
      </w:r>
      <w:r w:rsidRPr="00F166B1">
        <w:rPr>
          <w:lang w:val="en-US"/>
        </w:rPr>
        <w:t>Mobile broadband prices are more difficult to collect than fixed broadband prices. This is due to two main factors:</w:t>
      </w:r>
      <w:r w:rsidR="00262FB0">
        <w:rPr>
          <w:lang w:val="en-US"/>
        </w:rPr>
        <w:t xml:space="preserve"> </w:t>
      </w:r>
      <w:r w:rsidRPr="00F166B1">
        <w:rPr>
          <w:lang w:val="en-US"/>
        </w:rPr>
        <w:t>the difficulty of finding a common methodological approach, and the resources required to undertake the data collection. Indeed, mobile broadband tariffs are more heterogeneous than fixed broadband ones, and are in several cases bundled with other services, which makes comparisons across countries more complicated. The OECD is currently discussing the creation of a mobile broadband basket, which will be one of the first international attempts of its kind.</w:t>
      </w:r>
      <w:r w:rsidR="00262FB0">
        <w:rPr>
          <w:lang w:val="en-US"/>
        </w:rPr>
        <w:t xml:space="preserve"> </w:t>
      </w:r>
    </w:p>
  </w:footnote>
  <w:footnote w:id="48">
    <w:p w:rsidR="006F34D9" w:rsidRPr="000769CD" w:rsidRDefault="006F34D9" w:rsidP="00527AA9">
      <w:pPr>
        <w:pStyle w:val="FootnoteText"/>
      </w:pPr>
      <w:r>
        <w:rPr>
          <w:rStyle w:val="FootnoteReference"/>
        </w:rPr>
        <w:footnoteRef/>
      </w:r>
      <w:r w:rsidRPr="006F34D9">
        <w:rPr>
          <w:lang w:val="en-US"/>
        </w:rPr>
        <w:t xml:space="preserve"> </w:t>
      </w:r>
      <w:r w:rsidR="00F166B1">
        <w:rPr>
          <w:lang w:val="en-US"/>
        </w:rPr>
        <w:tab/>
      </w:r>
      <w:r w:rsidRPr="006F34D9">
        <w:rPr>
          <w:lang w:val="en-US"/>
        </w:rPr>
        <w:t xml:space="preserve">Currently (June 2010), BTCL offers an ADSL subscription that costs between </w:t>
      </w:r>
      <w:r>
        <w:rPr>
          <w:lang w:val="en-US"/>
        </w:rPr>
        <w:t>USD</w:t>
      </w:r>
      <w:r w:rsidRPr="006F34D9">
        <w:rPr>
          <w:lang w:val="en-US"/>
        </w:rPr>
        <w:t xml:space="preserve"> 8-15, and which is available in Dhaka, Chittagong, </w:t>
      </w:r>
      <w:proofErr w:type="spellStart"/>
      <w:r w:rsidRPr="006F34D9">
        <w:rPr>
          <w:lang w:val="en-US"/>
        </w:rPr>
        <w:t>Comilla</w:t>
      </w:r>
      <w:proofErr w:type="spellEnd"/>
      <w:r w:rsidRPr="006F34D9">
        <w:rPr>
          <w:lang w:val="en-US"/>
        </w:rPr>
        <w:t xml:space="preserve">, Khulna and </w:t>
      </w:r>
      <w:proofErr w:type="spellStart"/>
      <w:r w:rsidRPr="006F34D9">
        <w:rPr>
          <w:lang w:val="en-US"/>
        </w:rPr>
        <w:t>Bogra</w:t>
      </w:r>
      <w:proofErr w:type="spellEnd"/>
      <w:r w:rsidRPr="006F34D9">
        <w:rPr>
          <w:lang w:val="en-US"/>
        </w:rPr>
        <w:t xml:space="preserve">. </w:t>
      </w:r>
    </w:p>
  </w:footnote>
  <w:footnote w:id="49">
    <w:p w:rsidR="006F34D9" w:rsidRPr="00B77126" w:rsidRDefault="006F34D9" w:rsidP="00F166B1">
      <w:pPr>
        <w:pStyle w:val="FootnoteText"/>
        <w:rPr>
          <w:lang w:val="fr-CH"/>
        </w:rPr>
      </w:pPr>
      <w:r>
        <w:rPr>
          <w:rStyle w:val="FootnoteReference"/>
        </w:rPr>
        <w:footnoteRef/>
      </w:r>
      <w:r w:rsidRPr="00B77126">
        <w:rPr>
          <w:lang w:val="fr-CH"/>
        </w:rPr>
        <w:t xml:space="preserve"> </w:t>
      </w:r>
      <w:r w:rsidRPr="00B77126">
        <w:rPr>
          <w:lang w:val="fr-CH"/>
        </w:rPr>
        <w:tab/>
        <w:t>ITU ABBMN questionnaire (</w:t>
      </w:r>
      <w:proofErr w:type="spellStart"/>
      <w:r w:rsidRPr="00B77126">
        <w:rPr>
          <w:lang w:val="fr-CH"/>
        </w:rPr>
        <w:t>June</w:t>
      </w:r>
      <w:proofErr w:type="spellEnd"/>
      <w:r w:rsidRPr="00B77126">
        <w:rPr>
          <w:lang w:val="fr-CH"/>
        </w:rPr>
        <w:t xml:space="preserve"> 2010).</w:t>
      </w:r>
    </w:p>
  </w:footnote>
  <w:footnote w:id="50">
    <w:p w:rsidR="006F34D9" w:rsidRPr="00651271" w:rsidRDefault="006F34D9" w:rsidP="006F34D9">
      <w:pPr>
        <w:pStyle w:val="FootnoteText"/>
      </w:pPr>
      <w:r>
        <w:rPr>
          <w:rStyle w:val="FootnoteReference"/>
        </w:rPr>
        <w:footnoteRef/>
      </w:r>
      <w:r w:rsidRPr="00B77126">
        <w:rPr>
          <w:lang w:val="fr-CH"/>
        </w:rPr>
        <w:t xml:space="preserve"> </w:t>
      </w:r>
      <w:r w:rsidRPr="00B77126">
        <w:rPr>
          <w:lang w:val="fr-CH"/>
        </w:rPr>
        <w:tab/>
        <w:t xml:space="preserve">Source: </w:t>
      </w:r>
      <w:proofErr w:type="spellStart"/>
      <w:r w:rsidRPr="00B77126">
        <w:rPr>
          <w:lang w:val="fr-CH"/>
        </w:rPr>
        <w:t>Shamsuzzoha</w:t>
      </w:r>
      <w:proofErr w:type="spellEnd"/>
      <w:r w:rsidRPr="00B77126">
        <w:rPr>
          <w:lang w:val="fr-CH"/>
        </w:rPr>
        <w:t xml:space="preserve"> (2010). </w:t>
      </w:r>
      <w:r w:rsidRPr="006F34D9">
        <w:rPr>
          <w:i/>
          <w:iCs/>
          <w:lang w:val="en-US"/>
        </w:rPr>
        <w:t>Country Report on Broadband: Bangladesh</w:t>
      </w:r>
      <w:r w:rsidRPr="006F34D9">
        <w:rPr>
          <w:lang w:val="en-US"/>
        </w:rPr>
        <w:t xml:space="preserve">. </w:t>
      </w:r>
    </w:p>
  </w:footnote>
  <w:footnote w:id="51">
    <w:p w:rsidR="006F34D9" w:rsidRPr="008B03BD" w:rsidRDefault="006F34D9" w:rsidP="006F34D9">
      <w:pPr>
        <w:pStyle w:val="FootnoteText"/>
      </w:pPr>
      <w:r>
        <w:rPr>
          <w:rStyle w:val="FootnoteReference"/>
        </w:rPr>
        <w:footnoteRef/>
      </w:r>
      <w:r w:rsidRPr="006F34D9">
        <w:rPr>
          <w:lang w:val="en-US"/>
        </w:rPr>
        <w:t xml:space="preserve"> </w:t>
      </w:r>
      <w:r>
        <w:rPr>
          <w:lang w:val="en-US"/>
        </w:rPr>
        <w:tab/>
      </w:r>
      <w:r w:rsidRPr="006F34D9">
        <w:rPr>
          <w:lang w:val="en-US"/>
        </w:rPr>
        <w:t xml:space="preserve">The National Broadband Policy (2009) of Bangladesh addresses the issue of saving international Internet bandwidth by encouraging the setting of new National Internet Exchanges (NIXs) to provide peering facilities beyond those already available in the country (Bangladesh Internet Exchange, Bangladesh National Internet Exchange, and Bangladesh Society of Internet Exchange). Moreover, all ISPs will be required to connect to NIXs. </w:t>
      </w:r>
    </w:p>
  </w:footnote>
  <w:footnote w:id="52">
    <w:p w:rsidR="006F34D9" w:rsidRPr="00D46667" w:rsidRDefault="006F34D9" w:rsidP="006F34D9">
      <w:pPr>
        <w:pStyle w:val="FootnoteText"/>
      </w:pPr>
      <w:r>
        <w:rPr>
          <w:rStyle w:val="FootnoteReference"/>
        </w:rPr>
        <w:footnoteRef/>
      </w:r>
      <w:r w:rsidRPr="006F34D9">
        <w:rPr>
          <w:lang w:val="en-US"/>
        </w:rPr>
        <w:t xml:space="preserve"> </w:t>
      </w:r>
      <w:r>
        <w:rPr>
          <w:lang w:val="en-US"/>
        </w:rPr>
        <w:tab/>
      </w:r>
      <w:r w:rsidRPr="006F34D9">
        <w:rPr>
          <w:lang w:val="en-US"/>
        </w:rPr>
        <w:t>Maldives is currently finalizing the interconnection of the two main networks operating in the country. Due to the specific market structure of Maldives, this interconnection may play the role that IXPs have played in other ABBMN countries.</w:t>
      </w:r>
      <w:r>
        <w:rPr>
          <w:lang w:val="en-US"/>
        </w:rPr>
        <w:t xml:space="preserve"> </w:t>
      </w:r>
    </w:p>
  </w:footnote>
  <w:footnote w:id="53">
    <w:p w:rsidR="006F34D9" w:rsidRPr="006F34D9" w:rsidRDefault="006F34D9" w:rsidP="00A964DB">
      <w:pPr>
        <w:pStyle w:val="FootnoteText"/>
        <w:rPr>
          <w:lang w:val="en-US"/>
        </w:rPr>
      </w:pPr>
      <w:r>
        <w:rPr>
          <w:rStyle w:val="FootnoteReference"/>
        </w:rPr>
        <w:footnoteRef/>
      </w:r>
      <w:r w:rsidRPr="006F34D9">
        <w:rPr>
          <w:lang w:val="en-US"/>
        </w:rPr>
        <w:t xml:space="preserve"> </w:t>
      </w:r>
      <w:r>
        <w:rPr>
          <w:lang w:val="en-US"/>
        </w:rPr>
        <w:tab/>
      </w:r>
      <w:r w:rsidR="00A964DB" w:rsidRPr="00A964DB">
        <w:rPr>
          <w:lang w:val="en-US"/>
        </w:rPr>
        <w:t xml:space="preserve">Source: Bangladesh Telecommunications Company Limited, </w:t>
      </w:r>
      <w:hyperlink r:id="rId14" w:history="1">
        <w:r w:rsidR="00A964DB" w:rsidRPr="00A964DB">
          <w:rPr>
            <w:rStyle w:val="Hyperlink"/>
            <w:lang w:val="en-US"/>
          </w:rPr>
          <w:t>www.btcl.gov.bd/</w:t>
        </w:r>
      </w:hyperlink>
    </w:p>
  </w:footnote>
  <w:footnote w:id="54">
    <w:p w:rsidR="00580D80" w:rsidRPr="001C6DED" w:rsidRDefault="00580D80" w:rsidP="00834B63">
      <w:pPr>
        <w:pStyle w:val="FootnoteText"/>
        <w:jc w:val="left"/>
        <w:rPr>
          <w:lang w:val="ca-ES"/>
        </w:rPr>
      </w:pPr>
      <w:r>
        <w:rPr>
          <w:rStyle w:val="FootnoteReference"/>
        </w:rPr>
        <w:footnoteRef/>
      </w:r>
      <w:r w:rsidR="00834B63">
        <w:rPr>
          <w:lang w:val="en-US"/>
        </w:rPr>
        <w:tab/>
      </w:r>
      <w:r w:rsidRPr="00580D80">
        <w:rPr>
          <w:lang w:val="en-US"/>
        </w:rPr>
        <w:t xml:space="preserve">Directive 2002/22/EC of the European Parliament and of the Council, available at: </w:t>
      </w:r>
      <w:r>
        <w:rPr>
          <w:lang w:val="en-US"/>
        </w:rPr>
        <w:br/>
      </w:r>
      <w:hyperlink r:id="rId15" w:history="1">
        <w:r w:rsidRPr="00580D80">
          <w:rPr>
            <w:rStyle w:val="Hyperlink"/>
            <w:lang w:val="en-US"/>
          </w:rPr>
          <w:t>http://eur-lex.europa.eu/LexUriServ/LexUriServ.do?uri=OJ:L:2002:108:0051:0077:EN:PDF</w:t>
        </w:r>
      </w:hyperlink>
      <w:r>
        <w:rPr>
          <w:lang w:val="ca-ES"/>
        </w:rPr>
        <w:t xml:space="preserve"> </w:t>
      </w:r>
    </w:p>
  </w:footnote>
  <w:footnote w:id="55">
    <w:p w:rsidR="00580D80" w:rsidRPr="00580D80" w:rsidRDefault="00580D80" w:rsidP="00580D80">
      <w:pPr>
        <w:pStyle w:val="FootnoteText"/>
        <w:jc w:val="left"/>
        <w:rPr>
          <w:lang w:val="en-US"/>
        </w:rPr>
      </w:pPr>
      <w:r>
        <w:rPr>
          <w:rStyle w:val="FootnoteReference"/>
        </w:rPr>
        <w:footnoteRef/>
      </w:r>
      <w:r w:rsidRPr="00580D80">
        <w:rPr>
          <w:lang w:val="en-US"/>
        </w:rPr>
        <w:t xml:space="preserve"> </w:t>
      </w:r>
      <w:r>
        <w:rPr>
          <w:lang w:val="en-US"/>
        </w:rPr>
        <w:tab/>
      </w:r>
      <w:r w:rsidRPr="00580D80">
        <w:rPr>
          <w:lang w:val="en-US"/>
        </w:rPr>
        <w:t xml:space="preserve">Directive 2009/136/EC of the European Parliament and of the Council, available at: </w:t>
      </w:r>
      <w:r>
        <w:rPr>
          <w:lang w:val="en-US"/>
        </w:rPr>
        <w:br/>
      </w:r>
      <w:hyperlink r:id="rId16" w:history="1">
        <w:r w:rsidRPr="00580D80">
          <w:rPr>
            <w:rStyle w:val="Hyperlink"/>
            <w:lang w:val="en-US"/>
          </w:rPr>
          <w:t>http://eur-lex.europa.eu/LexUriServ/LexUriServ.do?uri=OJ:L:2009:337:0011:0036:En:PDF</w:t>
        </w:r>
      </w:hyperlink>
      <w:r w:rsidRPr="00580D80">
        <w:rPr>
          <w:lang w:val="en-US"/>
        </w:rPr>
        <w:t xml:space="preserve"> </w:t>
      </w:r>
    </w:p>
  </w:footnote>
  <w:footnote w:id="56">
    <w:p w:rsidR="00BE13D6" w:rsidRPr="00BE13D6" w:rsidRDefault="00BE13D6" w:rsidP="0024410E">
      <w:pPr>
        <w:pStyle w:val="FootnoteText"/>
        <w:rPr>
          <w:lang w:val="en-US"/>
        </w:rPr>
      </w:pPr>
      <w:r>
        <w:rPr>
          <w:rStyle w:val="FootnoteReference"/>
        </w:rPr>
        <w:footnoteRef/>
      </w:r>
      <w:r w:rsidRPr="00BE13D6">
        <w:rPr>
          <w:lang w:val="en-US"/>
        </w:rPr>
        <w:t xml:space="preserve"> </w:t>
      </w:r>
      <w:r w:rsidR="006423A3">
        <w:rPr>
          <w:lang w:val="en-US"/>
        </w:rPr>
        <w:tab/>
      </w:r>
      <w:r w:rsidRPr="00BE13D6">
        <w:rPr>
          <w:lang w:val="en-US"/>
        </w:rPr>
        <w:t>National Broadband Policy, 2009.</w:t>
      </w:r>
    </w:p>
  </w:footnote>
  <w:footnote w:id="57">
    <w:p w:rsidR="00BE13D6" w:rsidRPr="00225555" w:rsidRDefault="00BE13D6" w:rsidP="00225555">
      <w:pPr>
        <w:pStyle w:val="FootnoteText"/>
        <w:rPr>
          <w:lang w:val="ca-ES"/>
        </w:rPr>
      </w:pPr>
      <w:r>
        <w:rPr>
          <w:rStyle w:val="FootnoteReference"/>
        </w:rPr>
        <w:footnoteRef/>
      </w:r>
      <w:r w:rsidRPr="00BE13D6">
        <w:rPr>
          <w:lang w:val="en-US"/>
        </w:rPr>
        <w:t xml:space="preserve"> </w:t>
      </w:r>
      <w:r w:rsidR="006423A3">
        <w:rPr>
          <w:lang w:val="en-US"/>
        </w:rPr>
        <w:tab/>
      </w:r>
      <w:r w:rsidRPr="00BE13D6">
        <w:rPr>
          <w:lang w:val="en-US"/>
        </w:rPr>
        <w:t xml:space="preserve">National Broadband Network Master Plan </w:t>
      </w:r>
      <w:r w:rsidR="00527AA9" w:rsidRPr="00BE13D6">
        <w:rPr>
          <w:lang w:val="en-US"/>
        </w:rPr>
        <w:t xml:space="preserve">for </w:t>
      </w:r>
      <w:r w:rsidRPr="00BE13D6">
        <w:rPr>
          <w:lang w:val="en-US"/>
        </w:rPr>
        <w:t>Bhutan, 2008.</w:t>
      </w:r>
    </w:p>
  </w:footnote>
  <w:footnote w:id="58">
    <w:p w:rsidR="00BE13D6" w:rsidRPr="00BE13D6" w:rsidRDefault="00BE13D6" w:rsidP="00A964DB">
      <w:pPr>
        <w:pStyle w:val="FootnoteText"/>
        <w:rPr>
          <w:lang w:val="en-US"/>
        </w:rPr>
      </w:pPr>
      <w:r>
        <w:rPr>
          <w:rStyle w:val="FootnoteReference"/>
        </w:rPr>
        <w:footnoteRef/>
      </w:r>
      <w:r w:rsidRPr="00BE13D6">
        <w:rPr>
          <w:lang w:val="en-US"/>
        </w:rPr>
        <w:t xml:space="preserve"> </w:t>
      </w:r>
      <w:r w:rsidR="006423A3">
        <w:rPr>
          <w:lang w:val="en-US"/>
        </w:rPr>
        <w:tab/>
      </w:r>
      <w:r w:rsidR="00A964DB" w:rsidRPr="00A964DB">
        <w:rPr>
          <w:lang w:val="en-US"/>
        </w:rPr>
        <w:t xml:space="preserve">See also the initiative on Digital Bangladesh that has been announced by the Honorable Prime Minister of Bangladesh. More information available at: </w:t>
      </w:r>
      <w:hyperlink r:id="rId17" w:history="1">
        <w:r w:rsidR="00A964DB" w:rsidRPr="00A964DB">
          <w:rPr>
            <w:rStyle w:val="Hyperlink"/>
            <w:lang w:val="en-US"/>
          </w:rPr>
          <w:t>www.digitalbangladesh.com.bd/#</w:t>
        </w:r>
      </w:hyperlink>
    </w:p>
  </w:footnote>
  <w:footnote w:id="59">
    <w:p w:rsidR="00BE13D6" w:rsidRPr="00C3341F" w:rsidRDefault="00BE13D6" w:rsidP="00A964DB">
      <w:pPr>
        <w:pStyle w:val="FootnoteText"/>
        <w:rPr>
          <w:lang w:val="ca-ES"/>
        </w:rPr>
      </w:pPr>
      <w:r>
        <w:rPr>
          <w:rStyle w:val="FootnoteReference"/>
        </w:rPr>
        <w:footnoteRef/>
      </w:r>
      <w:r w:rsidRPr="00BE13D6">
        <w:rPr>
          <w:lang w:val="en-US"/>
        </w:rPr>
        <w:t xml:space="preserve"> </w:t>
      </w:r>
      <w:r w:rsidR="006423A3">
        <w:rPr>
          <w:lang w:val="en-US"/>
        </w:rPr>
        <w:tab/>
      </w:r>
      <w:r w:rsidR="00A964DB" w:rsidRPr="00A964DB">
        <w:rPr>
          <w:lang w:val="en-US"/>
        </w:rPr>
        <w:t>Prior to taking the decision of creating a universal service fund, it should be assessed whether the total amount to be managed by the fund and the costs related to its administration justify its creation, instead of some other more direct mechanism. For instance, if the amount of funds to be transferred is moderate, and there are few stakeholders involved in the transactions, a system of direct transfer could be more appropriate.</w:t>
      </w:r>
    </w:p>
  </w:footnote>
  <w:footnote w:id="60">
    <w:p w:rsidR="002A2EDF" w:rsidRPr="002A2EDF" w:rsidRDefault="002A2EDF" w:rsidP="002A2EDF">
      <w:pPr>
        <w:pStyle w:val="FootnoteText"/>
        <w:rPr>
          <w:lang w:val="en-US"/>
        </w:rPr>
      </w:pPr>
      <w:r>
        <w:rPr>
          <w:rStyle w:val="FootnoteReference"/>
        </w:rPr>
        <w:footnoteRef/>
      </w:r>
      <w:r w:rsidRPr="002A2EDF">
        <w:rPr>
          <w:lang w:val="en-US"/>
        </w:rPr>
        <w:t xml:space="preserve"> </w:t>
      </w:r>
      <w:r>
        <w:rPr>
          <w:lang w:val="en-US"/>
        </w:rPr>
        <w:tab/>
      </w:r>
      <w:r w:rsidRPr="002A2EDF">
        <w:rPr>
          <w:lang w:val="en-US"/>
        </w:rPr>
        <w:t xml:space="preserve">See Module 3 of the ICT Regulation Toolkit for more details on the different authorization and licensing regimes and their evolution: </w:t>
      </w:r>
      <w:hyperlink r:id="rId18" w:history="1">
        <w:r w:rsidR="00A964DB" w:rsidRPr="00EA6DF6">
          <w:rPr>
            <w:rStyle w:val="Hyperlink"/>
            <w:lang w:val="en-US"/>
          </w:rPr>
          <w:t>www.ictregulationtoolkit.org/en/Section.507.html</w:t>
        </w:r>
      </w:hyperlink>
      <w:r w:rsidRPr="002A2EDF">
        <w:rPr>
          <w:lang w:val="en-US"/>
        </w:rPr>
        <w:t xml:space="preserve"> </w:t>
      </w:r>
    </w:p>
  </w:footnote>
  <w:footnote w:id="61">
    <w:p w:rsidR="006423A3" w:rsidRDefault="002A2EDF" w:rsidP="002A2EDF">
      <w:pPr>
        <w:pStyle w:val="FootnoteText"/>
        <w:rPr>
          <w:lang w:val="en-US"/>
        </w:rPr>
      </w:pPr>
      <w:r>
        <w:rPr>
          <w:rStyle w:val="FootnoteReference"/>
        </w:rPr>
        <w:footnoteRef/>
      </w:r>
      <w:r w:rsidRPr="002A2EDF">
        <w:rPr>
          <w:lang w:val="en-US"/>
        </w:rPr>
        <w:t xml:space="preserve"> </w:t>
      </w:r>
      <w:r>
        <w:rPr>
          <w:lang w:val="en-US"/>
        </w:rPr>
        <w:tab/>
      </w:r>
      <w:r w:rsidRPr="002A2EDF">
        <w:rPr>
          <w:lang w:val="en-US"/>
        </w:rPr>
        <w:t xml:space="preserve">Directive 2002/20/EC of the European Parliament and of the Council, available at: </w:t>
      </w:r>
    </w:p>
    <w:p w:rsidR="002A2EDF" w:rsidRPr="002A2EDF" w:rsidRDefault="006423A3" w:rsidP="006423A3">
      <w:pPr>
        <w:pStyle w:val="FootnoteText"/>
        <w:spacing w:before="0"/>
        <w:rPr>
          <w:lang w:val="en-US"/>
        </w:rPr>
      </w:pPr>
      <w:r>
        <w:rPr>
          <w:lang w:val="en-US"/>
        </w:rPr>
        <w:tab/>
      </w:r>
      <w:hyperlink r:id="rId19" w:history="1">
        <w:r w:rsidR="002A2EDF" w:rsidRPr="002A2EDF">
          <w:rPr>
            <w:rStyle w:val="Hyperlink"/>
            <w:lang w:val="en-US"/>
          </w:rPr>
          <w:t>http://eur-lex.europa.eu/LexUriServ/LexUriServ.do?uri=OJ:L:2002:108:0021:0032:EN:PDF</w:t>
        </w:r>
      </w:hyperlink>
      <w:r w:rsidR="002A2EDF" w:rsidRPr="002A2EDF">
        <w:rPr>
          <w:lang w:val="en-US"/>
        </w:rPr>
        <w:t xml:space="preserve"> </w:t>
      </w:r>
    </w:p>
  </w:footnote>
  <w:footnote w:id="62">
    <w:p w:rsidR="002A2EDF" w:rsidRPr="00510743" w:rsidRDefault="002A2EDF" w:rsidP="00A964DB">
      <w:pPr>
        <w:pStyle w:val="FootnoteText"/>
        <w:rPr>
          <w:lang w:val="ca-ES"/>
        </w:rPr>
      </w:pPr>
      <w:r>
        <w:rPr>
          <w:rStyle w:val="FootnoteReference"/>
        </w:rPr>
        <w:footnoteRef/>
      </w:r>
      <w:r w:rsidRPr="002A2EDF">
        <w:rPr>
          <w:lang w:val="en-US"/>
        </w:rPr>
        <w:t xml:space="preserve"> </w:t>
      </w:r>
      <w:r>
        <w:rPr>
          <w:lang w:val="en-US"/>
        </w:rPr>
        <w:tab/>
      </w:r>
      <w:r w:rsidRPr="002A2EDF">
        <w:rPr>
          <w:lang w:val="en-US"/>
        </w:rPr>
        <w:t>The limitation of the administrative costs of individual rights of use for radio frequencies does not constrain the choice of a given selection criteria for granting a limited number of spectrum rights of use (e.g. assigning frequencies to the highest bidder).</w:t>
      </w:r>
      <w:r>
        <w:rPr>
          <w:lang w:val="ca-ES"/>
        </w:rPr>
        <w:t xml:space="preserve"> </w:t>
      </w:r>
    </w:p>
  </w:footnote>
  <w:footnote w:id="63">
    <w:p w:rsidR="002A2EDF" w:rsidRPr="002A2EDF" w:rsidRDefault="002A2EDF" w:rsidP="00527AA9">
      <w:pPr>
        <w:pStyle w:val="FootnoteText"/>
        <w:rPr>
          <w:lang w:val="en-US"/>
        </w:rPr>
      </w:pPr>
      <w:r w:rsidRPr="00C60C10">
        <w:rPr>
          <w:rStyle w:val="FootnoteReference"/>
        </w:rPr>
        <w:footnoteRef/>
      </w:r>
      <w:r w:rsidRPr="002A2EDF">
        <w:rPr>
          <w:lang w:val="en-US"/>
        </w:rPr>
        <w:t xml:space="preserve"> </w:t>
      </w:r>
      <w:r>
        <w:rPr>
          <w:lang w:val="en-US"/>
        </w:rPr>
        <w:tab/>
      </w:r>
      <w:r w:rsidRPr="002A2EDF">
        <w:rPr>
          <w:lang w:val="en-US"/>
        </w:rPr>
        <w:t xml:space="preserve">Examples of the use of individual </w:t>
      </w:r>
      <w:proofErr w:type="spellStart"/>
      <w:r w:rsidRPr="002A2EDF">
        <w:rPr>
          <w:lang w:val="en-US"/>
        </w:rPr>
        <w:t>licen</w:t>
      </w:r>
      <w:r w:rsidR="00A964DB">
        <w:rPr>
          <w:lang w:val="en-US"/>
        </w:rPr>
        <w:t>c</w:t>
      </w:r>
      <w:r w:rsidRPr="002A2EDF">
        <w:rPr>
          <w:lang w:val="en-US"/>
        </w:rPr>
        <w:t>es</w:t>
      </w:r>
      <w:proofErr w:type="spellEnd"/>
      <w:r w:rsidRPr="002A2EDF">
        <w:rPr>
          <w:lang w:val="en-US"/>
        </w:rPr>
        <w:t xml:space="preserve"> to attract investment in transitional and developing economies include Hungary, Jordan, Morocco and Uganda. See </w:t>
      </w:r>
      <w:hyperlink r:id="rId20" w:history="1">
        <w:r w:rsidR="00A964DB" w:rsidRPr="00EA6DF6">
          <w:rPr>
            <w:rStyle w:val="Hyperlink"/>
            <w:lang w:val="en-US"/>
          </w:rPr>
          <w:t>www.ictregulationtoolkit.org/en/Section.1196.html</w:t>
        </w:r>
      </w:hyperlink>
      <w:r w:rsidRPr="002A2EDF">
        <w:rPr>
          <w:lang w:val="en-US"/>
        </w:rPr>
        <w:t xml:space="preserve"> for more information.</w:t>
      </w:r>
    </w:p>
  </w:footnote>
  <w:footnote w:id="64">
    <w:p w:rsidR="00322A81" w:rsidRPr="00322A81" w:rsidRDefault="00322A81" w:rsidP="00322A81">
      <w:pPr>
        <w:pStyle w:val="FootnoteText"/>
        <w:rPr>
          <w:lang w:val="en-US"/>
        </w:rPr>
      </w:pPr>
      <w:r>
        <w:rPr>
          <w:rStyle w:val="FootnoteReference"/>
        </w:rPr>
        <w:footnoteRef/>
      </w:r>
      <w:r w:rsidRPr="00322A81">
        <w:rPr>
          <w:lang w:val="en-US"/>
        </w:rPr>
        <w:t xml:space="preserve"> </w:t>
      </w:r>
      <w:r>
        <w:rPr>
          <w:lang w:val="en-US"/>
        </w:rPr>
        <w:tab/>
      </w:r>
      <w:r w:rsidRPr="00322A81">
        <w:rPr>
          <w:lang w:val="en-US"/>
        </w:rPr>
        <w:t xml:space="preserve">Afghanistan is currently in the bidding process of IMT-2000 spectrum, and in the bidding of permanent </w:t>
      </w:r>
      <w:proofErr w:type="spellStart"/>
      <w:r w:rsidRPr="00322A81">
        <w:rPr>
          <w:lang w:val="en-US"/>
        </w:rPr>
        <w:t>WiMAX</w:t>
      </w:r>
      <w:proofErr w:type="spellEnd"/>
      <w:r w:rsidRPr="00322A81">
        <w:rPr>
          <w:lang w:val="en-US"/>
        </w:rPr>
        <w:t xml:space="preserve"> </w:t>
      </w:r>
      <w:proofErr w:type="spellStart"/>
      <w:r w:rsidRPr="00322A81">
        <w:rPr>
          <w:lang w:val="en-US"/>
        </w:rPr>
        <w:t>licences</w:t>
      </w:r>
      <w:proofErr w:type="spellEnd"/>
      <w:r w:rsidRPr="00322A81">
        <w:rPr>
          <w:lang w:val="en-US"/>
        </w:rPr>
        <w:t>.</w:t>
      </w:r>
    </w:p>
  </w:footnote>
  <w:footnote w:id="65">
    <w:p w:rsidR="006423A3" w:rsidRPr="00322A81" w:rsidRDefault="006423A3" w:rsidP="006423A3">
      <w:pPr>
        <w:pStyle w:val="FootnoteText"/>
        <w:rPr>
          <w:lang w:val="en-US"/>
        </w:rPr>
      </w:pPr>
      <w:r w:rsidRPr="000326CA">
        <w:rPr>
          <w:rStyle w:val="FootnoteReference"/>
        </w:rPr>
        <w:footnoteRef/>
      </w:r>
      <w:r w:rsidRPr="00322A81">
        <w:rPr>
          <w:lang w:val="en-US"/>
        </w:rPr>
        <w:t xml:space="preserve"> </w:t>
      </w:r>
      <w:r>
        <w:rPr>
          <w:lang w:val="en-US"/>
        </w:rPr>
        <w:tab/>
      </w:r>
      <w:r w:rsidRPr="00322A81">
        <w:rPr>
          <w:lang w:val="en-US"/>
        </w:rPr>
        <w:t>Frequency allocation refers to the determination of a given use for a band or a block of frequencies. Frequency assignment refers to the granting of an authorization/</w:t>
      </w:r>
      <w:proofErr w:type="spellStart"/>
      <w:r w:rsidRPr="00322A81">
        <w:rPr>
          <w:lang w:val="en-US"/>
        </w:rPr>
        <w:t>licence</w:t>
      </w:r>
      <w:proofErr w:type="spellEnd"/>
      <w:r w:rsidRPr="00322A81">
        <w:rPr>
          <w:lang w:val="en-US"/>
        </w:rPr>
        <w:t xml:space="preserve"> to a given party to operate on a specific frequency channel under a given set of conditions. Each term refers thus to different tasks of spectrum management.</w:t>
      </w:r>
      <w:r>
        <w:rPr>
          <w:lang w:val="en-US"/>
        </w:rPr>
        <w:t xml:space="preserve"> </w:t>
      </w:r>
    </w:p>
  </w:footnote>
  <w:footnote w:id="66">
    <w:p w:rsidR="00C33BC4" w:rsidRPr="00C33BC4" w:rsidRDefault="00C33BC4" w:rsidP="00527AA9">
      <w:pPr>
        <w:pStyle w:val="FootnoteText"/>
        <w:rPr>
          <w:lang w:val="en-US"/>
        </w:rPr>
      </w:pPr>
      <w:r w:rsidRPr="00747644">
        <w:rPr>
          <w:rStyle w:val="FootnoteReference"/>
        </w:rPr>
        <w:footnoteRef/>
      </w:r>
      <w:r w:rsidRPr="00C33BC4">
        <w:rPr>
          <w:lang w:val="en-US"/>
        </w:rPr>
        <w:t xml:space="preserve"> </w:t>
      </w:r>
      <w:r>
        <w:rPr>
          <w:lang w:val="en-US"/>
        </w:rPr>
        <w:tab/>
      </w:r>
      <w:r w:rsidR="00322A81" w:rsidRPr="00322A81">
        <w:rPr>
          <w:lang w:val="en-US"/>
        </w:rPr>
        <w:t xml:space="preserve">There are several examples illustrating the impact on mobile cellular penetration of the entrance of new players in a mobile market. Recent examples include </w:t>
      </w:r>
      <w:smartTag w:uri="urn:schemas-microsoft-com:office:smarttags" w:element="country-region">
        <w:r w:rsidR="00322A81" w:rsidRPr="00322A81">
          <w:rPr>
            <w:lang w:val="en-US"/>
          </w:rPr>
          <w:t>Viet Nam</w:t>
        </w:r>
      </w:smartTag>
      <w:r w:rsidR="00322A81" w:rsidRPr="00322A81">
        <w:rPr>
          <w:lang w:val="en-US"/>
        </w:rPr>
        <w:t xml:space="preserve">, </w:t>
      </w:r>
      <w:smartTag w:uri="urn:schemas-microsoft-com:office:smarttags" w:element="country-region">
        <w:r w:rsidR="00322A81" w:rsidRPr="00322A81">
          <w:rPr>
            <w:lang w:val="en-US"/>
          </w:rPr>
          <w:t>Saudi Arabia</w:t>
        </w:r>
      </w:smartTag>
      <w:r w:rsidR="00322A81" w:rsidRPr="00322A81">
        <w:rPr>
          <w:lang w:val="en-US"/>
        </w:rPr>
        <w:t>, Gambia (ITU, 2009a: Boxes 4.5, 4.6, and 4.8)</w:t>
      </w:r>
      <w:r w:rsidR="00527AA9">
        <w:rPr>
          <w:lang w:val="en-US"/>
        </w:rPr>
        <w:t>,</w:t>
      </w:r>
      <w:r w:rsidR="00322A81" w:rsidRPr="00322A81">
        <w:rPr>
          <w:lang w:val="en-US"/>
        </w:rPr>
        <w:t xml:space="preserve"> and </w:t>
      </w:r>
      <w:smartTag w:uri="urn:schemas-microsoft-com:office:smarttags" w:element="country-region">
        <w:r w:rsidR="00322A81" w:rsidRPr="00322A81">
          <w:rPr>
            <w:lang w:val="en-US"/>
          </w:rPr>
          <w:t>Vanuatu</w:t>
        </w:r>
      </w:smartTag>
      <w:r w:rsidR="00322A81" w:rsidRPr="00322A81">
        <w:rPr>
          <w:lang w:val="en-US"/>
        </w:rPr>
        <w:t>, and Papua New Guinea (World Bank, 2008b: Chapter 2, section “Access costs (prices)”).</w:t>
      </w:r>
    </w:p>
  </w:footnote>
  <w:footnote w:id="67">
    <w:p w:rsidR="00322A81" w:rsidRDefault="00322A81" w:rsidP="00322A81">
      <w:pPr>
        <w:pStyle w:val="FootnoteText"/>
        <w:rPr>
          <w:lang w:val="en-US"/>
        </w:rPr>
      </w:pPr>
      <w:r w:rsidRPr="00997A61">
        <w:rPr>
          <w:rStyle w:val="FootnoteReference"/>
        </w:rPr>
        <w:footnoteRef/>
      </w:r>
      <w:r w:rsidRPr="00322A81">
        <w:rPr>
          <w:lang w:val="en-US"/>
        </w:rPr>
        <w:t xml:space="preserve"> </w:t>
      </w:r>
      <w:r>
        <w:rPr>
          <w:lang w:val="en-US"/>
        </w:rPr>
        <w:tab/>
      </w:r>
      <w:r w:rsidRPr="00322A81">
        <w:rPr>
          <w:lang w:val="en-US"/>
        </w:rPr>
        <w:t xml:space="preserve">A dominant position may also occur with lower market shares, as a large market share is only one factor among several that may be determinant to establish a dominant position. Other factors include control of infrastructure not easily duplicated, privileged access to capital markets/financial resources, economies of scale and scope, vertical integration, product/service diversification (e.g. bundled products or services), etc. However, very large market shares – in excess of 50 </w:t>
      </w:r>
      <w:r w:rsidR="000F4A58">
        <w:rPr>
          <w:lang w:val="en-US"/>
        </w:rPr>
        <w:t>per cent</w:t>
      </w:r>
      <w:r w:rsidRPr="00322A81">
        <w:rPr>
          <w:lang w:val="en-US"/>
        </w:rPr>
        <w:t xml:space="preserve"> – are considered in themselves, save in exceptional circumstances, evidence of the existence of a dominant position. For more details, see the European Commission “Guidelines on market analysis and the assessment of significant market power for electronic communications networks and services” (2002/C165/03), available at: </w:t>
      </w:r>
    </w:p>
    <w:p w:rsidR="00322A81" w:rsidRPr="00322A81" w:rsidRDefault="00322A81" w:rsidP="00322A81">
      <w:pPr>
        <w:pStyle w:val="FootnoteText"/>
        <w:spacing w:before="0"/>
        <w:rPr>
          <w:lang w:val="en-US"/>
        </w:rPr>
      </w:pPr>
      <w:r>
        <w:rPr>
          <w:lang w:val="en-US"/>
        </w:rPr>
        <w:tab/>
      </w:r>
      <w:hyperlink r:id="rId21" w:history="1">
        <w:r w:rsidRPr="00322A81">
          <w:rPr>
            <w:rStyle w:val="Hyperlink"/>
            <w:sz w:val="18"/>
            <w:szCs w:val="18"/>
            <w:lang w:val="en-US"/>
          </w:rPr>
          <w:t>http://eur-lex.europa.eu/LexUriServ/LexUriServ.do?uri=OJ:C:2002:165:0006:0031:EN:PDF</w:t>
        </w:r>
      </w:hyperlink>
      <w:r w:rsidR="00262FB0">
        <w:rPr>
          <w:lang w:val="en-US"/>
        </w:rPr>
        <w:t xml:space="preserve"> </w:t>
      </w:r>
    </w:p>
  </w:footnote>
  <w:footnote w:id="68">
    <w:p w:rsidR="00322A81" w:rsidRPr="00322A81" w:rsidRDefault="00322A81" w:rsidP="00322A81">
      <w:pPr>
        <w:pStyle w:val="FootnoteText"/>
        <w:rPr>
          <w:lang w:val="en-US"/>
        </w:rPr>
      </w:pPr>
      <w:r>
        <w:rPr>
          <w:rStyle w:val="FootnoteReference"/>
        </w:rPr>
        <w:footnoteRef/>
      </w:r>
      <w:r w:rsidRPr="00322A81">
        <w:rPr>
          <w:lang w:val="en-US"/>
        </w:rPr>
        <w:t xml:space="preserve"> </w:t>
      </w:r>
      <w:r w:rsidR="006423A3">
        <w:rPr>
          <w:lang w:val="en-US"/>
        </w:rPr>
        <w:tab/>
      </w:r>
      <w:proofErr w:type="spellStart"/>
      <w:r w:rsidRPr="00322A81">
        <w:rPr>
          <w:lang w:val="en-US"/>
        </w:rPr>
        <w:t>Robi</w:t>
      </w:r>
      <w:proofErr w:type="spellEnd"/>
      <w:r w:rsidRPr="00322A81">
        <w:rPr>
          <w:lang w:val="en-US"/>
        </w:rPr>
        <w:t xml:space="preserve"> + </w:t>
      </w:r>
      <w:proofErr w:type="spellStart"/>
      <w:r w:rsidRPr="00322A81">
        <w:rPr>
          <w:lang w:val="en-US"/>
        </w:rPr>
        <w:t>Grameenphone</w:t>
      </w:r>
      <w:proofErr w:type="spellEnd"/>
      <w:r w:rsidRPr="00322A81">
        <w:rPr>
          <w:lang w:val="en-US"/>
        </w:rPr>
        <w:t xml:space="preserve">, </w:t>
      </w:r>
      <w:proofErr w:type="spellStart"/>
      <w:r w:rsidRPr="00322A81">
        <w:rPr>
          <w:lang w:val="en-US"/>
        </w:rPr>
        <w:t>Banglalink</w:t>
      </w:r>
      <w:proofErr w:type="spellEnd"/>
      <w:r w:rsidRPr="00322A81">
        <w:rPr>
          <w:lang w:val="en-US"/>
        </w:rPr>
        <w:t xml:space="preserve"> + </w:t>
      </w:r>
      <w:proofErr w:type="spellStart"/>
      <w:r w:rsidRPr="00322A81">
        <w:rPr>
          <w:lang w:val="en-US"/>
        </w:rPr>
        <w:t>Grameenphone</w:t>
      </w:r>
      <w:proofErr w:type="spellEnd"/>
      <w:r w:rsidRPr="00322A81">
        <w:rPr>
          <w:lang w:val="en-US"/>
        </w:rPr>
        <w:t xml:space="preserve">, </w:t>
      </w:r>
      <w:proofErr w:type="spellStart"/>
      <w:r w:rsidRPr="00322A81">
        <w:rPr>
          <w:lang w:val="en-US"/>
        </w:rPr>
        <w:t>Banglalink</w:t>
      </w:r>
      <w:proofErr w:type="spellEnd"/>
      <w:r w:rsidRPr="00322A81">
        <w:rPr>
          <w:lang w:val="en-US"/>
        </w:rPr>
        <w:t xml:space="preserve"> + </w:t>
      </w:r>
      <w:proofErr w:type="spellStart"/>
      <w:r w:rsidRPr="00322A81">
        <w:rPr>
          <w:lang w:val="en-US"/>
        </w:rPr>
        <w:t>Qubee</w:t>
      </w:r>
      <w:proofErr w:type="spellEnd"/>
      <w:r w:rsidRPr="00322A81">
        <w:rPr>
          <w:lang w:val="en-US"/>
        </w:rPr>
        <w:t xml:space="preserve">, </w:t>
      </w:r>
      <w:proofErr w:type="spellStart"/>
      <w:r w:rsidRPr="00322A81">
        <w:rPr>
          <w:lang w:val="en-US"/>
        </w:rPr>
        <w:t>Grameenphone</w:t>
      </w:r>
      <w:proofErr w:type="spellEnd"/>
      <w:r w:rsidRPr="00322A81">
        <w:rPr>
          <w:lang w:val="en-US"/>
        </w:rPr>
        <w:t xml:space="preserve"> + </w:t>
      </w:r>
      <w:proofErr w:type="spellStart"/>
      <w:r w:rsidRPr="00322A81">
        <w:rPr>
          <w:lang w:val="en-US"/>
        </w:rPr>
        <w:t>Qubee</w:t>
      </w:r>
      <w:proofErr w:type="spellEnd"/>
      <w:r w:rsidRPr="00322A81">
        <w:rPr>
          <w:lang w:val="en-US"/>
        </w:rPr>
        <w:t xml:space="preserve">, </w:t>
      </w:r>
      <w:proofErr w:type="spellStart"/>
      <w:r w:rsidRPr="00322A81">
        <w:rPr>
          <w:lang w:val="en-US"/>
        </w:rPr>
        <w:t>Grameenphone</w:t>
      </w:r>
      <w:proofErr w:type="spellEnd"/>
      <w:r w:rsidRPr="00322A81">
        <w:rPr>
          <w:lang w:val="en-US"/>
        </w:rPr>
        <w:t xml:space="preserve"> + </w:t>
      </w:r>
      <w:proofErr w:type="spellStart"/>
      <w:r w:rsidRPr="00322A81">
        <w:rPr>
          <w:lang w:val="en-US"/>
        </w:rPr>
        <w:t>Banglalion</w:t>
      </w:r>
      <w:proofErr w:type="spellEnd"/>
      <w:r w:rsidRPr="00322A81">
        <w:rPr>
          <w:lang w:val="en-US"/>
        </w:rPr>
        <w:t xml:space="preserve">, BTCL + </w:t>
      </w:r>
      <w:proofErr w:type="spellStart"/>
      <w:r w:rsidRPr="00322A81">
        <w:rPr>
          <w:lang w:val="en-US"/>
        </w:rPr>
        <w:t>Warid</w:t>
      </w:r>
      <w:proofErr w:type="spellEnd"/>
      <w:r w:rsidRPr="00322A81">
        <w:rPr>
          <w:lang w:val="en-US"/>
        </w:rPr>
        <w:t xml:space="preserve">, </w:t>
      </w:r>
      <w:proofErr w:type="spellStart"/>
      <w:r w:rsidRPr="00322A81">
        <w:rPr>
          <w:lang w:val="en-US"/>
        </w:rPr>
        <w:t>Citycell</w:t>
      </w:r>
      <w:proofErr w:type="spellEnd"/>
      <w:r w:rsidRPr="00322A81">
        <w:rPr>
          <w:lang w:val="en-US"/>
        </w:rPr>
        <w:t xml:space="preserve"> + </w:t>
      </w:r>
      <w:proofErr w:type="spellStart"/>
      <w:r w:rsidRPr="00322A81">
        <w:rPr>
          <w:lang w:val="en-US"/>
        </w:rPr>
        <w:t>Warid</w:t>
      </w:r>
      <w:proofErr w:type="spellEnd"/>
      <w:r w:rsidR="00527AA9">
        <w:rPr>
          <w:lang w:val="en-US"/>
        </w:rPr>
        <w:t>,</w:t>
      </w:r>
      <w:r w:rsidRPr="00322A81">
        <w:rPr>
          <w:lang w:val="en-US"/>
        </w:rPr>
        <w:t xml:space="preserve"> etc</w:t>
      </w:r>
      <w:r w:rsidR="00527AA9">
        <w:rPr>
          <w:lang w:val="en-US"/>
        </w:rPr>
        <w:t>.</w:t>
      </w:r>
      <w:r w:rsidRPr="00322A81">
        <w:rPr>
          <w:lang w:val="en-US"/>
        </w:rPr>
        <w:t xml:space="preserve"> Source: ITU ABBMN questionnaire (June 2010).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6B4" w:rsidRPr="004502D5" w:rsidRDefault="00A326B4" w:rsidP="00A326B4">
    <w:pPr>
      <w:jc w:val="center"/>
      <w:rPr>
        <w:rFonts w:ascii="Univers BoldExt" w:hAnsi="Univers BoldExt"/>
        <w:color w:val="999999"/>
        <w:spacing w:val="70"/>
        <w:sz w:val="24"/>
      </w:rPr>
    </w:pPr>
    <w:r w:rsidRPr="004502D5">
      <w:rPr>
        <w:rFonts w:ascii="Univers BoldExt" w:hAnsi="Univers BoldExt"/>
        <w:color w:val="999999"/>
        <w:spacing w:val="70"/>
        <w:sz w:val="24"/>
      </w:rPr>
      <w:t>International Telecommunication Union</w:t>
    </w:r>
  </w:p>
  <w:p w:rsidR="00A326B4" w:rsidRDefault="00A326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5C4" w:rsidRPr="00A326B4" w:rsidRDefault="008105C4" w:rsidP="008105C4">
    <w:pPr>
      <w:pStyle w:val="Header"/>
      <w:pBdr>
        <w:bottom w:val="single" w:sz="12" w:space="1" w:color="990033"/>
      </w:pBdr>
      <w:rPr>
        <w:b/>
        <w:bCs/>
        <w:i/>
        <w:iCs/>
        <w:sz w:val="12"/>
        <w:szCs w:val="14"/>
        <w:lang w:val="en-US"/>
      </w:rPr>
    </w:pPr>
    <w:r w:rsidRPr="00A326B4">
      <w:rPr>
        <w:b/>
        <w:bCs/>
        <w:i/>
        <w:iCs/>
        <w:sz w:val="24"/>
        <w:szCs w:val="28"/>
        <w:lang w:val="en-US"/>
      </w:rPr>
      <w:t>Stimulating Universal Access to Broadband</w:t>
    </w:r>
    <w:r w:rsidRPr="00A326B4">
      <w:rPr>
        <w:b/>
        <w:bCs/>
        <w:i/>
        <w:iCs/>
        <w:sz w:val="24"/>
        <w:szCs w:val="28"/>
        <w:lang w:val="en-US"/>
      </w:rPr>
      <w:br/>
    </w:r>
  </w:p>
  <w:p w:rsidR="008105C4" w:rsidRPr="00A326B4" w:rsidRDefault="008105C4" w:rsidP="008105C4">
    <w:pPr>
      <w:spacing w:before="240"/>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5C4" w:rsidRPr="008105C4" w:rsidRDefault="008105C4" w:rsidP="008105C4">
    <w:pPr>
      <w:pStyle w:val="Header"/>
      <w:pBdr>
        <w:bottom w:val="single" w:sz="12" w:space="1" w:color="990033"/>
      </w:pBdr>
      <w:rPr>
        <w:b/>
        <w:bCs/>
        <w:i/>
        <w:iCs/>
        <w:sz w:val="12"/>
        <w:szCs w:val="14"/>
        <w:lang w:val="en-US"/>
      </w:rPr>
    </w:pPr>
    <w:r w:rsidRPr="008105C4">
      <w:rPr>
        <w:b/>
        <w:bCs/>
        <w:i/>
        <w:iCs/>
        <w:sz w:val="24"/>
        <w:szCs w:val="28"/>
        <w:lang w:val="en-US"/>
      </w:rPr>
      <w:t>Stimulating Universal Access to Broadband</w:t>
    </w:r>
    <w:r w:rsidRPr="008105C4">
      <w:rPr>
        <w:b/>
        <w:bCs/>
        <w:i/>
        <w:iCs/>
        <w:sz w:val="24"/>
        <w:szCs w:val="28"/>
        <w:lang w:val="en-US"/>
      </w:rPr>
      <w:br/>
    </w:r>
  </w:p>
  <w:p w:rsidR="008105C4" w:rsidRPr="008105C4" w:rsidRDefault="008105C4" w:rsidP="008105C4">
    <w:pPr>
      <w:spacing w:before="240"/>
      <w:rPr>
        <w:lang w:val="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5C4" w:rsidRPr="008105C4" w:rsidRDefault="008105C4" w:rsidP="008105C4">
    <w:pPr>
      <w:pStyle w:val="Header"/>
      <w:pBdr>
        <w:bottom w:val="single" w:sz="12" w:space="1" w:color="990033"/>
      </w:pBdr>
      <w:rPr>
        <w:b/>
        <w:bCs/>
        <w:i/>
        <w:iCs/>
        <w:sz w:val="12"/>
        <w:szCs w:val="14"/>
        <w:lang w:val="en-US"/>
      </w:rPr>
    </w:pPr>
    <w:r w:rsidRPr="008105C4">
      <w:rPr>
        <w:b/>
        <w:bCs/>
        <w:i/>
        <w:iCs/>
        <w:sz w:val="24"/>
        <w:szCs w:val="28"/>
        <w:lang w:val="en-US"/>
      </w:rPr>
      <w:t>Stimulating Universal Access to Broadband</w:t>
    </w:r>
    <w:r w:rsidRPr="008105C4">
      <w:rPr>
        <w:b/>
        <w:bCs/>
        <w:i/>
        <w:iCs/>
        <w:sz w:val="24"/>
        <w:szCs w:val="28"/>
        <w:lang w:val="en-US"/>
      </w:rPr>
      <w:br/>
    </w:r>
  </w:p>
  <w:p w:rsidR="008105C4" w:rsidRPr="008105C4" w:rsidRDefault="008105C4" w:rsidP="008105C4">
    <w:pPr>
      <w:spacing w:before="240"/>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19A1102"/>
    <w:multiLevelType w:val="hybridMultilevel"/>
    <w:tmpl w:val="3A842F12"/>
    <w:lvl w:ilvl="0" w:tplc="01685100">
      <w:start w:val="1"/>
      <w:numFmt w:val="bullet"/>
      <w:lvlText w:val="–"/>
      <w:lvlJc w:val="left"/>
      <w:pPr>
        <w:tabs>
          <w:tab w:val="num" w:pos="1440"/>
        </w:tabs>
        <w:ind w:left="144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7DC44CA"/>
    <w:multiLevelType w:val="multilevel"/>
    <w:tmpl w:val="0A9424E8"/>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0A71CC5"/>
    <w:multiLevelType w:val="hybridMultilevel"/>
    <w:tmpl w:val="D2185D0C"/>
    <w:lvl w:ilvl="0" w:tplc="5BF2C286">
      <w:start w:val="1"/>
      <w:numFmt w:val="bullet"/>
      <w:lvlText w:val=""/>
      <w:lvlJc w:val="left"/>
      <w:pPr>
        <w:tabs>
          <w:tab w:val="num" w:pos="627"/>
        </w:tabs>
        <w:ind w:left="627" w:hanging="56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1104A4E"/>
    <w:multiLevelType w:val="hybridMultilevel"/>
    <w:tmpl w:val="BC1403F0"/>
    <w:lvl w:ilvl="0" w:tplc="B8FC1922">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C000A65"/>
    <w:multiLevelType w:val="hybridMultilevel"/>
    <w:tmpl w:val="670E077E"/>
    <w:lvl w:ilvl="0" w:tplc="39EEE478">
      <w:start w:val="1"/>
      <w:numFmt w:val="decimal"/>
      <w:lvlText w:val="%1."/>
      <w:lvlJc w:val="left"/>
      <w:pPr>
        <w:tabs>
          <w:tab w:val="num" w:pos="420"/>
        </w:tabs>
        <w:ind w:left="420" w:hanging="360"/>
      </w:pPr>
      <w:rPr>
        <w:rFonts w:hint="default"/>
        <w:b w:val="0"/>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D65126C"/>
    <w:multiLevelType w:val="hybridMultilevel"/>
    <w:tmpl w:val="CA98D3C0"/>
    <w:lvl w:ilvl="0" w:tplc="B8FC1922">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E294178"/>
    <w:multiLevelType w:val="hybridMultilevel"/>
    <w:tmpl w:val="09542564"/>
    <w:lvl w:ilvl="0" w:tplc="76D4252A">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4E5A2A6C"/>
    <w:multiLevelType w:val="hybridMultilevel"/>
    <w:tmpl w:val="13F64A04"/>
    <w:lvl w:ilvl="0" w:tplc="040C000F">
      <w:start w:val="1"/>
      <w:numFmt w:val="decimal"/>
      <w:lvlText w:val="%1."/>
      <w:lvlJc w:val="left"/>
      <w:pPr>
        <w:tabs>
          <w:tab w:val="num" w:pos="540"/>
        </w:tabs>
        <w:ind w:left="540" w:hanging="360"/>
      </w:pPr>
    </w:lvl>
    <w:lvl w:ilvl="1" w:tplc="040C0019" w:tentative="1">
      <w:start w:val="1"/>
      <w:numFmt w:val="lowerLetter"/>
      <w:lvlText w:val="%2."/>
      <w:lvlJc w:val="left"/>
      <w:pPr>
        <w:tabs>
          <w:tab w:val="num" w:pos="1260"/>
        </w:tabs>
        <w:ind w:left="1260" w:hanging="360"/>
      </w:p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12">
    <w:nsid w:val="5F7D028C"/>
    <w:multiLevelType w:val="hybridMultilevel"/>
    <w:tmpl w:val="A74EC746"/>
    <w:lvl w:ilvl="0" w:tplc="5BF2C286">
      <w:start w:val="1"/>
      <w:numFmt w:val="bullet"/>
      <w:lvlText w:val=""/>
      <w:lvlJc w:val="left"/>
      <w:pPr>
        <w:tabs>
          <w:tab w:val="num" w:pos="747"/>
        </w:tabs>
        <w:ind w:left="747" w:hanging="567"/>
      </w:pPr>
      <w:rPr>
        <w:rFonts w:ascii="Symbol" w:hAnsi="Symbol" w:hint="default"/>
        <w:color w:val="auto"/>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13">
    <w:nsid w:val="671C768D"/>
    <w:multiLevelType w:val="hybridMultilevel"/>
    <w:tmpl w:val="B54CA64A"/>
    <w:lvl w:ilvl="0" w:tplc="5BF2C286">
      <w:start w:val="1"/>
      <w:numFmt w:val="bullet"/>
      <w:lvlText w:val=""/>
      <w:lvlJc w:val="left"/>
      <w:pPr>
        <w:tabs>
          <w:tab w:val="num" w:pos="627"/>
        </w:tabs>
        <w:ind w:left="627" w:hanging="567"/>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FFB3D9B"/>
    <w:multiLevelType w:val="hybridMultilevel"/>
    <w:tmpl w:val="B4FA8244"/>
    <w:lvl w:ilvl="0" w:tplc="B8FC1922">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7"/>
  </w:num>
  <w:num w:numId="4">
    <w:abstractNumId w:val="13"/>
  </w:num>
  <w:num w:numId="5">
    <w:abstractNumId w:val="8"/>
  </w:num>
  <w:num w:numId="6">
    <w:abstractNumId w:val="6"/>
  </w:num>
  <w:num w:numId="7">
    <w:abstractNumId w:val="12"/>
  </w:num>
  <w:num w:numId="8">
    <w:abstractNumId w:val="4"/>
  </w:num>
  <w:num w:numId="9">
    <w:abstractNumId w:val="10"/>
  </w:num>
  <w:num w:numId="10">
    <w:abstractNumId w:val="5"/>
  </w:num>
  <w:num w:numId="1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doNotHyphenateCaps/>
  <w:evenAndOddHeaders/>
  <w:drawingGridHorizontalSpacing w:val="110"/>
  <w:displayHorizontalDrawingGridEvery w:val="0"/>
  <w:displayVerticalDrawingGridEvery w:val="0"/>
  <w:doNotShadeFormData/>
  <w:noPunctuationKerning/>
  <w:characterSpacingControl w:val="doNotCompress"/>
  <w:savePreviewPicture/>
  <w:hdrShapeDefaults>
    <o:shapedefaults v:ext="edit" spidmax="46081"/>
  </w:hdrShapeDefaults>
  <w:footnotePr>
    <w:footnote w:id="-1"/>
    <w:footnote w:id="0"/>
    <w:footnote w:id="1"/>
  </w:footnotePr>
  <w:endnotePr>
    <w:endnote w:id="-1"/>
    <w:endnote w:id="0"/>
  </w:endnotePr>
  <w:compat/>
  <w:rsids>
    <w:rsidRoot w:val="008105C4"/>
    <w:rsid w:val="00000404"/>
    <w:rsid w:val="00011BA4"/>
    <w:rsid w:val="00043D0F"/>
    <w:rsid w:val="000620A9"/>
    <w:rsid w:val="000D2A3B"/>
    <w:rsid w:val="000F4A58"/>
    <w:rsid w:val="001B4EA4"/>
    <w:rsid w:val="001C0A69"/>
    <w:rsid w:val="00262FB0"/>
    <w:rsid w:val="002A2EDF"/>
    <w:rsid w:val="00322A81"/>
    <w:rsid w:val="0034637C"/>
    <w:rsid w:val="00376E03"/>
    <w:rsid w:val="003907A0"/>
    <w:rsid w:val="003E4D8B"/>
    <w:rsid w:val="003F3F29"/>
    <w:rsid w:val="003F5602"/>
    <w:rsid w:val="00436E11"/>
    <w:rsid w:val="00440688"/>
    <w:rsid w:val="00451FF9"/>
    <w:rsid w:val="00475020"/>
    <w:rsid w:val="00477CF5"/>
    <w:rsid w:val="0048461C"/>
    <w:rsid w:val="004E2730"/>
    <w:rsid w:val="004E5F8B"/>
    <w:rsid w:val="005053D3"/>
    <w:rsid w:val="00527AA9"/>
    <w:rsid w:val="005422C1"/>
    <w:rsid w:val="005704BD"/>
    <w:rsid w:val="00580D80"/>
    <w:rsid w:val="005B624A"/>
    <w:rsid w:val="005C4BB4"/>
    <w:rsid w:val="006423A3"/>
    <w:rsid w:val="006B5347"/>
    <w:rsid w:val="006F34D9"/>
    <w:rsid w:val="00792411"/>
    <w:rsid w:val="007B79E8"/>
    <w:rsid w:val="00810397"/>
    <w:rsid w:val="008105C4"/>
    <w:rsid w:val="00834B63"/>
    <w:rsid w:val="00842471"/>
    <w:rsid w:val="00844684"/>
    <w:rsid w:val="008573F2"/>
    <w:rsid w:val="00872BA3"/>
    <w:rsid w:val="008A5DD9"/>
    <w:rsid w:val="008C540D"/>
    <w:rsid w:val="00900A44"/>
    <w:rsid w:val="00901B97"/>
    <w:rsid w:val="00953BCF"/>
    <w:rsid w:val="0096373B"/>
    <w:rsid w:val="009643E4"/>
    <w:rsid w:val="00994EB2"/>
    <w:rsid w:val="009A5213"/>
    <w:rsid w:val="00A326B4"/>
    <w:rsid w:val="00A460FF"/>
    <w:rsid w:val="00A5502E"/>
    <w:rsid w:val="00A71DEE"/>
    <w:rsid w:val="00A964DB"/>
    <w:rsid w:val="00B67A33"/>
    <w:rsid w:val="00B77126"/>
    <w:rsid w:val="00B96CCA"/>
    <w:rsid w:val="00BE13D6"/>
    <w:rsid w:val="00BE1EE6"/>
    <w:rsid w:val="00C21928"/>
    <w:rsid w:val="00C33BC4"/>
    <w:rsid w:val="00C464E3"/>
    <w:rsid w:val="00C5494E"/>
    <w:rsid w:val="00C55197"/>
    <w:rsid w:val="00C925F5"/>
    <w:rsid w:val="00C927B0"/>
    <w:rsid w:val="00CE30D1"/>
    <w:rsid w:val="00D736C6"/>
    <w:rsid w:val="00DB32C8"/>
    <w:rsid w:val="00DC056F"/>
    <w:rsid w:val="00E05D72"/>
    <w:rsid w:val="00E13A38"/>
    <w:rsid w:val="00E82816"/>
    <w:rsid w:val="00F009C1"/>
    <w:rsid w:val="00F166B1"/>
    <w:rsid w:val="00F25CAA"/>
    <w:rsid w:val="00F75B0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5C4"/>
    <w:pPr>
      <w:tabs>
        <w:tab w:val="left" w:pos="794"/>
        <w:tab w:val="left" w:pos="1191"/>
        <w:tab w:val="left" w:pos="1588"/>
        <w:tab w:val="left" w:pos="1985"/>
      </w:tabs>
      <w:overflowPunct w:val="0"/>
      <w:autoSpaceDE w:val="0"/>
      <w:autoSpaceDN w:val="0"/>
      <w:adjustRightInd w:val="0"/>
      <w:spacing w:before="160"/>
      <w:jc w:val="both"/>
      <w:textAlignment w:val="baseline"/>
    </w:pPr>
    <w:rPr>
      <w:rFonts w:asciiTheme="minorHAnsi" w:hAnsiTheme="minorHAnsi"/>
      <w:sz w:val="22"/>
      <w:lang w:val="en-GB" w:eastAsia="en-US"/>
    </w:rPr>
  </w:style>
  <w:style w:type="paragraph" w:styleId="Heading1">
    <w:name w:val="heading 1"/>
    <w:basedOn w:val="Normal"/>
    <w:next w:val="Normal"/>
    <w:link w:val="Heading1Char"/>
    <w:qFormat/>
    <w:rsid w:val="008105C4"/>
    <w:pPr>
      <w:keepNext/>
      <w:keepLines/>
      <w:spacing w:before="600" w:line="320" w:lineRule="exact"/>
      <w:ind w:left="794" w:hanging="794"/>
      <w:outlineLvl w:val="0"/>
    </w:pPr>
    <w:rPr>
      <w:b/>
      <w:color w:val="990033"/>
      <w:sz w:val="28"/>
    </w:rPr>
  </w:style>
  <w:style w:type="paragraph" w:styleId="Heading2">
    <w:name w:val="heading 2"/>
    <w:basedOn w:val="Heading1"/>
    <w:next w:val="Normal"/>
    <w:qFormat/>
    <w:rsid w:val="008105C4"/>
    <w:pPr>
      <w:spacing w:before="360"/>
      <w:outlineLvl w:val="1"/>
    </w:pPr>
    <w:rPr>
      <w:sz w:val="26"/>
    </w:rPr>
  </w:style>
  <w:style w:type="paragraph" w:styleId="Heading3">
    <w:name w:val="heading 3"/>
    <w:basedOn w:val="Heading1"/>
    <w:next w:val="Normal"/>
    <w:link w:val="Heading3Char"/>
    <w:qFormat/>
    <w:rsid w:val="008105C4"/>
    <w:pPr>
      <w:spacing w:before="240"/>
      <w:outlineLvl w:val="2"/>
    </w:pPr>
    <w:rPr>
      <w:sz w:val="24"/>
    </w:rPr>
  </w:style>
  <w:style w:type="paragraph" w:styleId="Heading4">
    <w:name w:val="heading 4"/>
    <w:basedOn w:val="Heading3"/>
    <w:next w:val="Normal"/>
    <w:qFormat/>
    <w:rsid w:val="000D2A3B"/>
    <w:pPr>
      <w:tabs>
        <w:tab w:val="clear" w:pos="794"/>
        <w:tab w:val="left" w:pos="1021"/>
      </w:tabs>
      <w:ind w:left="1021" w:hanging="1021"/>
      <w:outlineLvl w:val="3"/>
    </w:pPr>
  </w:style>
  <w:style w:type="paragraph" w:styleId="Heading5">
    <w:name w:val="heading 5"/>
    <w:basedOn w:val="Heading4"/>
    <w:next w:val="Normal"/>
    <w:qFormat/>
    <w:rsid w:val="000D2A3B"/>
    <w:pPr>
      <w:outlineLvl w:val="4"/>
    </w:pPr>
  </w:style>
  <w:style w:type="paragraph" w:styleId="Heading6">
    <w:name w:val="heading 6"/>
    <w:basedOn w:val="Heading4"/>
    <w:next w:val="Normal"/>
    <w:qFormat/>
    <w:rsid w:val="000D2A3B"/>
    <w:pPr>
      <w:tabs>
        <w:tab w:val="clear" w:pos="1021"/>
        <w:tab w:val="clear" w:pos="1191"/>
      </w:tabs>
      <w:ind w:left="1588" w:hanging="1588"/>
      <w:outlineLvl w:val="5"/>
    </w:pPr>
  </w:style>
  <w:style w:type="paragraph" w:styleId="Heading7">
    <w:name w:val="heading 7"/>
    <w:basedOn w:val="Heading6"/>
    <w:next w:val="Normal"/>
    <w:qFormat/>
    <w:rsid w:val="000D2A3B"/>
    <w:pPr>
      <w:outlineLvl w:val="6"/>
    </w:pPr>
  </w:style>
  <w:style w:type="paragraph" w:styleId="Heading8">
    <w:name w:val="heading 8"/>
    <w:basedOn w:val="Heading6"/>
    <w:next w:val="Normal"/>
    <w:qFormat/>
    <w:rsid w:val="000D2A3B"/>
    <w:pPr>
      <w:outlineLvl w:val="7"/>
    </w:pPr>
  </w:style>
  <w:style w:type="paragraph" w:styleId="Heading9">
    <w:name w:val="heading 9"/>
    <w:basedOn w:val="Heading2"/>
    <w:next w:val="Normal"/>
    <w:qFormat/>
    <w:rsid w:val="00F75B07"/>
    <w:pPr>
      <w:shd w:val="clear" w:color="auto" w:fill="BFBFBF" w:themeFill="background1" w:themeFillShade="BF"/>
      <w:outlineLvl w:val="8"/>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0D2A3B"/>
  </w:style>
  <w:style w:type="paragraph" w:styleId="TOC4">
    <w:name w:val="toc 4"/>
    <w:basedOn w:val="TOC3"/>
    <w:semiHidden/>
    <w:rsid w:val="000D2A3B"/>
  </w:style>
  <w:style w:type="paragraph" w:styleId="TOC3">
    <w:name w:val="toc 3"/>
    <w:basedOn w:val="TOC2"/>
    <w:uiPriority w:val="39"/>
    <w:rsid w:val="000D2A3B"/>
  </w:style>
  <w:style w:type="paragraph" w:styleId="TOC2">
    <w:name w:val="toc 2"/>
    <w:basedOn w:val="TOC1"/>
    <w:uiPriority w:val="39"/>
    <w:rsid w:val="00580D80"/>
    <w:pPr>
      <w:spacing w:before="80"/>
      <w:ind w:left="1531" w:hanging="851"/>
    </w:pPr>
    <w:rPr>
      <w:i/>
      <w:color w:val="auto"/>
    </w:rPr>
  </w:style>
  <w:style w:type="paragraph" w:styleId="TOC1">
    <w:name w:val="toc 1"/>
    <w:basedOn w:val="Normal"/>
    <w:uiPriority w:val="39"/>
    <w:rsid w:val="00580D80"/>
    <w:pPr>
      <w:tabs>
        <w:tab w:val="clear" w:pos="794"/>
        <w:tab w:val="clear" w:pos="1191"/>
        <w:tab w:val="clear" w:pos="1588"/>
        <w:tab w:val="clear" w:pos="1985"/>
        <w:tab w:val="left" w:pos="964"/>
        <w:tab w:val="left" w:leader="dot" w:pos="8789"/>
        <w:tab w:val="right" w:pos="9639"/>
      </w:tabs>
      <w:ind w:left="680" w:right="851" w:hanging="680"/>
      <w:jc w:val="left"/>
    </w:pPr>
    <w:rPr>
      <w:color w:val="990033"/>
    </w:rPr>
  </w:style>
  <w:style w:type="paragraph" w:styleId="TOC7">
    <w:name w:val="toc 7"/>
    <w:basedOn w:val="TOC4"/>
    <w:semiHidden/>
    <w:rsid w:val="000D2A3B"/>
  </w:style>
  <w:style w:type="paragraph" w:styleId="TOC6">
    <w:name w:val="toc 6"/>
    <w:basedOn w:val="TOC4"/>
    <w:semiHidden/>
    <w:rsid w:val="000D2A3B"/>
  </w:style>
  <w:style w:type="paragraph" w:styleId="TOC5">
    <w:name w:val="toc 5"/>
    <w:basedOn w:val="TOC4"/>
    <w:semiHidden/>
    <w:rsid w:val="000D2A3B"/>
  </w:style>
  <w:style w:type="paragraph" w:customStyle="1" w:styleId="AnnexNoTitle">
    <w:name w:val="Annex_NoTitle"/>
    <w:basedOn w:val="Normal"/>
    <w:next w:val="Normalaftertitle"/>
    <w:rsid w:val="000D2A3B"/>
    <w:pPr>
      <w:keepNext/>
      <w:keepLines/>
      <w:spacing w:before="720" w:after="120"/>
      <w:jc w:val="center"/>
    </w:pPr>
    <w:rPr>
      <w:b/>
      <w:sz w:val="24"/>
    </w:rPr>
  </w:style>
  <w:style w:type="paragraph" w:styleId="Header">
    <w:name w:val="header"/>
    <w:basedOn w:val="Normal"/>
    <w:semiHidden/>
    <w:rsid w:val="000D2A3B"/>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semiHidden/>
    <w:rsid w:val="000D2A3B"/>
    <w:rPr>
      <w:position w:val="6"/>
      <w:sz w:val="18"/>
    </w:rPr>
  </w:style>
  <w:style w:type="paragraph" w:styleId="FootnoteText">
    <w:name w:val="footnote text"/>
    <w:basedOn w:val="Note"/>
    <w:semiHidden/>
    <w:rsid w:val="000D2A3B"/>
    <w:pPr>
      <w:keepLines/>
      <w:tabs>
        <w:tab w:val="left" w:pos="255"/>
      </w:tabs>
      <w:ind w:left="255" w:hanging="255"/>
    </w:pPr>
  </w:style>
  <w:style w:type="paragraph" w:customStyle="1" w:styleId="Note">
    <w:name w:val="Note"/>
    <w:basedOn w:val="Normal"/>
    <w:rsid w:val="000D2A3B"/>
    <w:pPr>
      <w:spacing w:before="80" w:line="240" w:lineRule="exact"/>
    </w:pPr>
    <w:rPr>
      <w:sz w:val="20"/>
    </w:rPr>
  </w:style>
  <w:style w:type="paragraph" w:customStyle="1" w:styleId="enumlev1">
    <w:name w:val="enumlev1"/>
    <w:basedOn w:val="Normal"/>
    <w:rsid w:val="000D2A3B"/>
    <w:pPr>
      <w:spacing w:before="80"/>
      <w:ind w:left="794" w:hanging="794"/>
    </w:pPr>
  </w:style>
  <w:style w:type="paragraph" w:customStyle="1" w:styleId="enumlev2">
    <w:name w:val="enumlev2"/>
    <w:basedOn w:val="enumlev1"/>
    <w:rsid w:val="000D2A3B"/>
    <w:pPr>
      <w:ind w:left="1191" w:hanging="397"/>
    </w:pPr>
  </w:style>
  <w:style w:type="paragraph" w:customStyle="1" w:styleId="enumlev3">
    <w:name w:val="enumlev3"/>
    <w:basedOn w:val="enumlev2"/>
    <w:rsid w:val="000D2A3B"/>
    <w:pPr>
      <w:ind w:left="1588"/>
    </w:pPr>
  </w:style>
  <w:style w:type="paragraph" w:customStyle="1" w:styleId="Equation">
    <w:name w:val="Equation"/>
    <w:basedOn w:val="Normal"/>
    <w:rsid w:val="000D2A3B"/>
    <w:pPr>
      <w:tabs>
        <w:tab w:val="clear" w:pos="1191"/>
        <w:tab w:val="clear" w:pos="1588"/>
        <w:tab w:val="clear" w:pos="1985"/>
        <w:tab w:val="center" w:pos="4820"/>
        <w:tab w:val="right" w:pos="9639"/>
      </w:tabs>
      <w:jc w:val="left"/>
    </w:pPr>
  </w:style>
  <w:style w:type="paragraph" w:customStyle="1" w:styleId="toc0">
    <w:name w:val="toc 0"/>
    <w:basedOn w:val="Normal"/>
    <w:next w:val="TOC1"/>
    <w:rsid w:val="000D2A3B"/>
    <w:pPr>
      <w:keepLines/>
      <w:tabs>
        <w:tab w:val="clear" w:pos="794"/>
        <w:tab w:val="clear" w:pos="1191"/>
        <w:tab w:val="clear" w:pos="1588"/>
        <w:tab w:val="clear" w:pos="1985"/>
        <w:tab w:val="right" w:pos="9639"/>
      </w:tabs>
      <w:jc w:val="left"/>
    </w:pPr>
    <w:rPr>
      <w:b/>
    </w:rPr>
  </w:style>
  <w:style w:type="paragraph" w:customStyle="1" w:styleId="ASN1">
    <w:name w:val="ASN.1"/>
    <w:rsid w:val="000D2A3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0D2A3B"/>
  </w:style>
  <w:style w:type="paragraph" w:customStyle="1" w:styleId="Chaptitle">
    <w:name w:val="Chap_title"/>
    <w:basedOn w:val="Normal"/>
    <w:next w:val="Normalaftertitle"/>
    <w:rsid w:val="000D2A3B"/>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rsid w:val="000D2A3B"/>
    <w:pPr>
      <w:spacing w:before="400"/>
    </w:pPr>
  </w:style>
  <w:style w:type="character" w:styleId="PageNumber">
    <w:name w:val="page number"/>
    <w:basedOn w:val="DefaultParagraphFont"/>
    <w:semiHidden/>
    <w:rsid w:val="000D2A3B"/>
  </w:style>
  <w:style w:type="paragraph" w:customStyle="1" w:styleId="Reftitle">
    <w:name w:val="Ref_title"/>
    <w:basedOn w:val="Normal"/>
    <w:next w:val="Reftext"/>
    <w:rsid w:val="000D2A3B"/>
    <w:pPr>
      <w:spacing w:before="480"/>
      <w:jc w:val="center"/>
    </w:pPr>
    <w:rPr>
      <w:b/>
    </w:rPr>
  </w:style>
  <w:style w:type="paragraph" w:customStyle="1" w:styleId="Reftext">
    <w:name w:val="Ref_text"/>
    <w:basedOn w:val="Normal"/>
    <w:rsid w:val="000D2A3B"/>
    <w:pPr>
      <w:ind w:left="794" w:hanging="794"/>
      <w:jc w:val="left"/>
    </w:pPr>
  </w:style>
  <w:style w:type="paragraph" w:styleId="Index1">
    <w:name w:val="index 1"/>
    <w:basedOn w:val="Normal"/>
    <w:next w:val="Normal"/>
    <w:semiHidden/>
    <w:rsid w:val="000D2A3B"/>
    <w:pPr>
      <w:jc w:val="left"/>
    </w:pPr>
  </w:style>
  <w:style w:type="paragraph" w:customStyle="1" w:styleId="Formal">
    <w:name w:val="Formal"/>
    <w:basedOn w:val="ASN1"/>
    <w:rsid w:val="000D2A3B"/>
    <w:rPr>
      <w:b w:val="0"/>
    </w:rPr>
  </w:style>
  <w:style w:type="paragraph" w:customStyle="1" w:styleId="Headingpart">
    <w:name w:val="Heading_part"/>
    <w:basedOn w:val="Heading1"/>
    <w:next w:val="Participants"/>
    <w:rsid w:val="000D2A3B"/>
    <w:pPr>
      <w:spacing w:before="480" w:after="120"/>
    </w:pPr>
    <w:rPr>
      <w:sz w:val="22"/>
    </w:rPr>
  </w:style>
  <w:style w:type="character" w:customStyle="1" w:styleId="Appdef">
    <w:name w:val="App_def"/>
    <w:basedOn w:val="DefaultParagraphFont"/>
    <w:rsid w:val="000D2A3B"/>
    <w:rPr>
      <w:rFonts w:ascii="Times New Roman" w:hAnsi="Times New Roman"/>
      <w:b/>
    </w:rPr>
  </w:style>
  <w:style w:type="character" w:customStyle="1" w:styleId="Appref">
    <w:name w:val="App_ref"/>
    <w:basedOn w:val="DefaultParagraphFont"/>
    <w:rsid w:val="000D2A3B"/>
  </w:style>
  <w:style w:type="paragraph" w:customStyle="1" w:styleId="AppendixNoTitle">
    <w:name w:val="Appendix_NoTitle"/>
    <w:basedOn w:val="AnnexNoTitle"/>
    <w:next w:val="Normalaftertitle"/>
    <w:rsid w:val="000D2A3B"/>
  </w:style>
  <w:style w:type="character" w:customStyle="1" w:styleId="Artdef">
    <w:name w:val="Art_def"/>
    <w:basedOn w:val="DefaultParagraphFont"/>
    <w:rsid w:val="000D2A3B"/>
    <w:rPr>
      <w:rFonts w:ascii="Times New Roman" w:hAnsi="Times New Roman"/>
      <w:b/>
    </w:rPr>
  </w:style>
  <w:style w:type="paragraph" w:customStyle="1" w:styleId="Artheading">
    <w:name w:val="Art_heading"/>
    <w:basedOn w:val="Normal"/>
    <w:next w:val="Normalaftertitle"/>
    <w:rsid w:val="000D2A3B"/>
    <w:pPr>
      <w:spacing w:before="480"/>
      <w:jc w:val="center"/>
    </w:pPr>
    <w:rPr>
      <w:b/>
      <w:sz w:val="28"/>
    </w:rPr>
  </w:style>
  <w:style w:type="paragraph" w:customStyle="1" w:styleId="ArtNo">
    <w:name w:val="Art_No"/>
    <w:basedOn w:val="Normal"/>
    <w:next w:val="Arttitle"/>
    <w:rsid w:val="000D2A3B"/>
    <w:pPr>
      <w:keepNext/>
      <w:keepLines/>
      <w:spacing w:before="480"/>
      <w:jc w:val="center"/>
    </w:pPr>
    <w:rPr>
      <w:caps/>
      <w:sz w:val="28"/>
    </w:rPr>
  </w:style>
  <w:style w:type="paragraph" w:customStyle="1" w:styleId="Arttitle">
    <w:name w:val="Art_title"/>
    <w:basedOn w:val="Normal"/>
    <w:next w:val="Normalaftertitle"/>
    <w:rsid w:val="000D2A3B"/>
    <w:pPr>
      <w:keepNext/>
      <w:keepLines/>
      <w:spacing w:before="240"/>
      <w:jc w:val="center"/>
    </w:pPr>
    <w:rPr>
      <w:b/>
      <w:sz w:val="28"/>
    </w:rPr>
  </w:style>
  <w:style w:type="character" w:customStyle="1" w:styleId="Artref">
    <w:name w:val="Art_ref"/>
    <w:basedOn w:val="DefaultParagraphFont"/>
    <w:rsid w:val="000D2A3B"/>
  </w:style>
  <w:style w:type="paragraph" w:customStyle="1" w:styleId="Call">
    <w:name w:val="Call"/>
    <w:basedOn w:val="Normal"/>
    <w:next w:val="Normal"/>
    <w:rsid w:val="000D2A3B"/>
    <w:pPr>
      <w:keepNext/>
      <w:keepLines/>
      <w:spacing w:before="240"/>
      <w:ind w:left="794"/>
      <w:jc w:val="left"/>
    </w:pPr>
    <w:rPr>
      <w:i/>
    </w:rPr>
  </w:style>
  <w:style w:type="paragraph" w:customStyle="1" w:styleId="ChapNo">
    <w:name w:val="Chap_No"/>
    <w:basedOn w:val="Normal"/>
    <w:next w:val="Chaptitle"/>
    <w:rsid w:val="000D2A3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0D2A3B"/>
    <w:pPr>
      <w:tabs>
        <w:tab w:val="clear" w:pos="794"/>
        <w:tab w:val="clear" w:pos="1191"/>
        <w:tab w:val="clear" w:pos="1588"/>
        <w:tab w:val="right" w:pos="1814"/>
      </w:tabs>
      <w:spacing w:before="80"/>
      <w:ind w:left="1985" w:hanging="1985"/>
    </w:pPr>
  </w:style>
  <w:style w:type="paragraph" w:customStyle="1" w:styleId="Figurelegend">
    <w:name w:val="Figure_legend"/>
    <w:basedOn w:val="BoxText"/>
    <w:rsid w:val="00A326B4"/>
    <w:rPr>
      <w:sz w:val="18"/>
    </w:rPr>
  </w:style>
  <w:style w:type="paragraph" w:customStyle="1" w:styleId="Figure">
    <w:name w:val="Figure"/>
    <w:basedOn w:val="BoxText"/>
    <w:next w:val="FigureNoTitle"/>
    <w:rsid w:val="00A326B4"/>
    <w:pPr>
      <w:spacing w:before="240"/>
      <w:jc w:val="center"/>
    </w:pPr>
    <w:rPr>
      <w:noProof/>
      <w:lang w:val="en-US" w:eastAsia="zh-CN"/>
    </w:rPr>
  </w:style>
  <w:style w:type="paragraph" w:customStyle="1" w:styleId="FigureNoTitle">
    <w:name w:val="Figure_NoTitle"/>
    <w:basedOn w:val="BoxTitle"/>
    <w:next w:val="Normalaftertitle"/>
    <w:rsid w:val="00A326B4"/>
    <w:pPr>
      <w:keepNext w:val="0"/>
      <w:keepLines w:val="0"/>
      <w:outlineLvl w:val="9"/>
    </w:pPr>
    <w:rPr>
      <w:lang w:val="en-US"/>
    </w:rPr>
  </w:style>
  <w:style w:type="paragraph" w:customStyle="1" w:styleId="Figurewithouttitle">
    <w:name w:val="Figure_without_title"/>
    <w:basedOn w:val="Normal"/>
    <w:next w:val="Normalaftertitle"/>
    <w:rsid w:val="000D2A3B"/>
    <w:pPr>
      <w:keepLines/>
      <w:spacing w:before="240" w:after="120"/>
      <w:jc w:val="center"/>
    </w:pPr>
  </w:style>
  <w:style w:type="paragraph" w:customStyle="1" w:styleId="FirstFooter">
    <w:name w:val="FirstFooter"/>
    <w:basedOn w:val="Normal"/>
    <w:rsid w:val="000D2A3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0D2A3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C33BC4"/>
    <w:pPr>
      <w:keepNext/>
      <w:spacing w:before="240"/>
    </w:pPr>
    <w:rPr>
      <w:b/>
      <w:color w:val="990033"/>
      <w:lang w:val="en-US"/>
    </w:rPr>
  </w:style>
  <w:style w:type="paragraph" w:customStyle="1" w:styleId="Headingi">
    <w:name w:val="Heading_i"/>
    <w:basedOn w:val="Normal"/>
    <w:next w:val="Normal"/>
    <w:rsid w:val="000D2A3B"/>
    <w:pPr>
      <w:keepNext/>
      <w:spacing w:before="240"/>
      <w:jc w:val="left"/>
    </w:pPr>
    <w:rPr>
      <w:i/>
    </w:rPr>
  </w:style>
  <w:style w:type="paragraph" w:styleId="Index2">
    <w:name w:val="index 2"/>
    <w:basedOn w:val="Normal"/>
    <w:next w:val="Normal"/>
    <w:semiHidden/>
    <w:rsid w:val="000D2A3B"/>
    <w:pPr>
      <w:ind w:left="284"/>
      <w:jc w:val="left"/>
    </w:pPr>
  </w:style>
  <w:style w:type="paragraph" w:styleId="Index3">
    <w:name w:val="index 3"/>
    <w:basedOn w:val="Normal"/>
    <w:next w:val="Normal"/>
    <w:semiHidden/>
    <w:rsid w:val="000D2A3B"/>
    <w:pPr>
      <w:ind w:left="567"/>
      <w:jc w:val="left"/>
    </w:pPr>
  </w:style>
  <w:style w:type="paragraph" w:customStyle="1" w:styleId="PartNo">
    <w:name w:val="Part_No"/>
    <w:basedOn w:val="Normal"/>
    <w:next w:val="Partref"/>
    <w:rsid w:val="000D2A3B"/>
    <w:pPr>
      <w:keepNext/>
      <w:keepLines/>
      <w:spacing w:before="480" w:after="80"/>
      <w:jc w:val="center"/>
    </w:pPr>
    <w:rPr>
      <w:caps/>
      <w:sz w:val="24"/>
    </w:rPr>
  </w:style>
  <w:style w:type="paragraph" w:customStyle="1" w:styleId="Partref">
    <w:name w:val="Part_ref"/>
    <w:basedOn w:val="Normal"/>
    <w:next w:val="Parttitle"/>
    <w:rsid w:val="000D2A3B"/>
    <w:pPr>
      <w:keepNext/>
      <w:keepLines/>
      <w:spacing w:before="280"/>
      <w:jc w:val="center"/>
    </w:pPr>
  </w:style>
  <w:style w:type="paragraph" w:customStyle="1" w:styleId="Parttitle">
    <w:name w:val="Part_title"/>
    <w:basedOn w:val="Normal"/>
    <w:next w:val="Normalaftertitle"/>
    <w:rsid w:val="000D2A3B"/>
    <w:pPr>
      <w:keepNext/>
      <w:keepLines/>
      <w:spacing w:before="240" w:after="280" w:line="320" w:lineRule="exact"/>
      <w:jc w:val="center"/>
    </w:pPr>
    <w:rPr>
      <w:b/>
      <w:sz w:val="24"/>
    </w:rPr>
  </w:style>
  <w:style w:type="paragraph" w:customStyle="1" w:styleId="Recdate">
    <w:name w:val="Rec_date"/>
    <w:basedOn w:val="Normal"/>
    <w:next w:val="Normalaftertitle"/>
    <w:rsid w:val="000D2A3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D2A3B"/>
  </w:style>
  <w:style w:type="paragraph" w:customStyle="1" w:styleId="RecNo">
    <w:name w:val="Rec_No"/>
    <w:basedOn w:val="Normal"/>
    <w:next w:val="Rectitle"/>
    <w:rsid w:val="000D2A3B"/>
    <w:pPr>
      <w:keepNext/>
      <w:keepLines/>
      <w:spacing w:before="0"/>
      <w:jc w:val="left"/>
    </w:pPr>
    <w:rPr>
      <w:b/>
      <w:sz w:val="28"/>
    </w:rPr>
  </w:style>
  <w:style w:type="paragraph" w:customStyle="1" w:styleId="Rectitle">
    <w:name w:val="Rec_title"/>
    <w:basedOn w:val="Normal"/>
    <w:next w:val="Normalaftertitle"/>
    <w:rsid w:val="000D2A3B"/>
    <w:pPr>
      <w:keepNext/>
      <w:keepLines/>
      <w:spacing w:before="360"/>
      <w:jc w:val="center"/>
    </w:pPr>
    <w:rPr>
      <w:b/>
      <w:sz w:val="28"/>
    </w:rPr>
  </w:style>
  <w:style w:type="paragraph" w:customStyle="1" w:styleId="QuestionNo">
    <w:name w:val="Question_No"/>
    <w:basedOn w:val="RecNo"/>
    <w:next w:val="Questiontitle"/>
    <w:rsid w:val="000D2A3B"/>
  </w:style>
  <w:style w:type="paragraph" w:customStyle="1" w:styleId="Questiontitle">
    <w:name w:val="Question_title"/>
    <w:basedOn w:val="Rectitle"/>
    <w:next w:val="Questionref"/>
    <w:rsid w:val="000D2A3B"/>
  </w:style>
  <w:style w:type="paragraph" w:customStyle="1" w:styleId="Questionref">
    <w:name w:val="Question_ref"/>
    <w:basedOn w:val="Recref"/>
    <w:next w:val="Questiondate"/>
    <w:rsid w:val="000D2A3B"/>
  </w:style>
  <w:style w:type="paragraph" w:customStyle="1" w:styleId="Recref">
    <w:name w:val="Rec_ref"/>
    <w:basedOn w:val="Normal"/>
    <w:next w:val="Recdate"/>
    <w:rsid w:val="000D2A3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0D2A3B"/>
  </w:style>
  <w:style w:type="paragraph" w:customStyle="1" w:styleId="RepNo">
    <w:name w:val="Rep_No"/>
    <w:basedOn w:val="RecNo"/>
    <w:next w:val="Reptitle"/>
    <w:rsid w:val="000D2A3B"/>
  </w:style>
  <w:style w:type="paragraph" w:customStyle="1" w:styleId="Reptitle">
    <w:name w:val="Rep_title"/>
    <w:basedOn w:val="Rectitle"/>
    <w:next w:val="Repref"/>
    <w:rsid w:val="000D2A3B"/>
  </w:style>
  <w:style w:type="paragraph" w:customStyle="1" w:styleId="Repref">
    <w:name w:val="Rep_ref"/>
    <w:basedOn w:val="Recref"/>
    <w:next w:val="Repdate"/>
    <w:rsid w:val="000D2A3B"/>
  </w:style>
  <w:style w:type="paragraph" w:customStyle="1" w:styleId="Resdate">
    <w:name w:val="Res_date"/>
    <w:basedOn w:val="Recdate"/>
    <w:next w:val="Normalaftertitle"/>
    <w:rsid w:val="000D2A3B"/>
  </w:style>
  <w:style w:type="character" w:customStyle="1" w:styleId="Resdef">
    <w:name w:val="Res_def"/>
    <w:basedOn w:val="DefaultParagraphFont"/>
    <w:rsid w:val="000D2A3B"/>
    <w:rPr>
      <w:rFonts w:ascii="Times New Roman" w:hAnsi="Times New Roman"/>
      <w:b/>
    </w:rPr>
  </w:style>
  <w:style w:type="paragraph" w:customStyle="1" w:styleId="ResNo">
    <w:name w:val="Res_No"/>
    <w:basedOn w:val="RecNo"/>
    <w:next w:val="Restitle"/>
    <w:rsid w:val="000D2A3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0D2A3B"/>
  </w:style>
  <w:style w:type="paragraph" w:customStyle="1" w:styleId="Resref">
    <w:name w:val="Res_ref"/>
    <w:basedOn w:val="Recref"/>
    <w:next w:val="Resdate"/>
    <w:rsid w:val="000D2A3B"/>
  </w:style>
  <w:style w:type="paragraph" w:customStyle="1" w:styleId="SectionNo">
    <w:name w:val="Section_No"/>
    <w:basedOn w:val="Normal"/>
    <w:next w:val="Sectiontitle"/>
    <w:rsid w:val="000D2A3B"/>
    <w:pPr>
      <w:keepNext/>
      <w:keepLines/>
      <w:spacing w:before="720" w:line="320" w:lineRule="exact"/>
      <w:jc w:val="center"/>
    </w:pPr>
    <w:rPr>
      <w:caps/>
      <w:sz w:val="28"/>
    </w:rPr>
  </w:style>
  <w:style w:type="paragraph" w:customStyle="1" w:styleId="Sectiontitle">
    <w:name w:val="Section_title"/>
    <w:basedOn w:val="Normal"/>
    <w:next w:val="Normalaftertitle"/>
    <w:rsid w:val="000D2A3B"/>
    <w:pPr>
      <w:keepNext/>
      <w:keepLines/>
      <w:spacing w:before="360" w:after="120" w:line="320" w:lineRule="exact"/>
      <w:jc w:val="center"/>
    </w:pPr>
    <w:rPr>
      <w:b/>
      <w:sz w:val="28"/>
    </w:rPr>
  </w:style>
  <w:style w:type="paragraph" w:customStyle="1" w:styleId="Source">
    <w:name w:val="Source"/>
    <w:basedOn w:val="Normal"/>
    <w:next w:val="Normalaftertitle"/>
    <w:rsid w:val="000D2A3B"/>
    <w:pPr>
      <w:spacing w:before="840" w:after="200"/>
      <w:jc w:val="center"/>
    </w:pPr>
    <w:rPr>
      <w:b/>
      <w:sz w:val="28"/>
    </w:rPr>
  </w:style>
  <w:style w:type="paragraph" w:customStyle="1" w:styleId="SpecialFooter">
    <w:name w:val="Special Footer"/>
    <w:basedOn w:val="Normal"/>
    <w:rsid w:val="000D2A3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character" w:customStyle="1" w:styleId="Tablefreq">
    <w:name w:val="Table_freq"/>
    <w:basedOn w:val="DefaultParagraphFont"/>
    <w:rsid w:val="000D2A3B"/>
    <w:rPr>
      <w:b/>
      <w:color w:val="auto"/>
    </w:rPr>
  </w:style>
  <w:style w:type="paragraph" w:customStyle="1" w:styleId="Tablehead">
    <w:name w:val="Table_head"/>
    <w:basedOn w:val="Normal"/>
    <w:next w:val="Tabletext"/>
    <w:rsid w:val="00A71D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color w:val="990033"/>
      <w:sz w:val="20"/>
      <w:lang w:val="en-US"/>
    </w:rPr>
  </w:style>
  <w:style w:type="paragraph" w:customStyle="1" w:styleId="Tabletext">
    <w:name w:val="Table_text"/>
    <w:basedOn w:val="Normal"/>
    <w:link w:val="TabletextChar"/>
    <w:rsid w:val="00A71D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color w:val="990033"/>
      <w:sz w:val="20"/>
    </w:rPr>
  </w:style>
  <w:style w:type="paragraph" w:customStyle="1" w:styleId="Tablelegend">
    <w:name w:val="Table_legend"/>
    <w:basedOn w:val="Tabletext"/>
    <w:rsid w:val="007B79E8"/>
    <w:rPr>
      <w:b/>
      <w:bCs/>
      <w:i/>
      <w:iCs/>
      <w:lang w:val="en-US"/>
    </w:rPr>
  </w:style>
  <w:style w:type="paragraph" w:customStyle="1" w:styleId="TableNoTitle">
    <w:name w:val="Table_NoTitle"/>
    <w:basedOn w:val="FigureNoTitle"/>
    <w:next w:val="Tablehead"/>
    <w:rsid w:val="00E13A38"/>
    <w:rPr>
      <w:color w:val="FFFFFF" w:themeColor="background1"/>
    </w:rPr>
  </w:style>
  <w:style w:type="paragraph" w:customStyle="1" w:styleId="Title1">
    <w:name w:val="Title 1"/>
    <w:basedOn w:val="Source"/>
    <w:next w:val="Title2"/>
    <w:rsid w:val="000D2A3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D2A3B"/>
  </w:style>
  <w:style w:type="paragraph" w:customStyle="1" w:styleId="Title3">
    <w:name w:val="Title 3"/>
    <w:basedOn w:val="Title2"/>
    <w:next w:val="Title4"/>
    <w:rsid w:val="000D2A3B"/>
    <w:rPr>
      <w:caps w:val="0"/>
    </w:rPr>
  </w:style>
  <w:style w:type="paragraph" w:customStyle="1" w:styleId="Title4">
    <w:name w:val="Title 4"/>
    <w:basedOn w:val="Title3"/>
    <w:next w:val="Heading1"/>
    <w:rsid w:val="000D2A3B"/>
    <w:rPr>
      <w:b/>
    </w:rPr>
  </w:style>
  <w:style w:type="paragraph" w:customStyle="1" w:styleId="Section1">
    <w:name w:val="Section_1"/>
    <w:basedOn w:val="Normal"/>
    <w:next w:val="Normal"/>
    <w:rsid w:val="000D2A3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D2A3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0D2A3B"/>
    <w:rPr>
      <w:color w:val="0000FF"/>
      <w:u w:val="single"/>
    </w:rPr>
  </w:style>
  <w:style w:type="character" w:styleId="FollowedHyperlink">
    <w:name w:val="FollowedHyperlink"/>
    <w:basedOn w:val="DefaultParagraphFont"/>
    <w:semiHidden/>
    <w:rsid w:val="000D2A3B"/>
    <w:rPr>
      <w:color w:val="800080"/>
      <w:u w:val="single"/>
    </w:rPr>
  </w:style>
  <w:style w:type="character" w:styleId="CommentReference">
    <w:name w:val="annotation reference"/>
    <w:basedOn w:val="DefaultParagraphFont"/>
    <w:semiHidden/>
    <w:rsid w:val="000D2A3B"/>
    <w:rPr>
      <w:sz w:val="16"/>
      <w:szCs w:val="16"/>
    </w:rPr>
  </w:style>
  <w:style w:type="paragraph" w:styleId="CommentText">
    <w:name w:val="annotation text"/>
    <w:basedOn w:val="Normal"/>
    <w:semiHidden/>
    <w:rsid w:val="000D2A3B"/>
    <w:rPr>
      <w:sz w:val="20"/>
    </w:rPr>
  </w:style>
  <w:style w:type="paragraph" w:customStyle="1" w:styleId="Headingparti">
    <w:name w:val="Heading_part_i"/>
    <w:basedOn w:val="Headingpart"/>
    <w:next w:val="Normal"/>
    <w:rsid w:val="000D2A3B"/>
    <w:pPr>
      <w:spacing w:before="120" w:after="60" w:line="280" w:lineRule="exact"/>
    </w:pPr>
    <w:rPr>
      <w:b w:val="0"/>
      <w:i/>
    </w:rPr>
  </w:style>
  <w:style w:type="paragraph" w:customStyle="1" w:styleId="NormalIndent">
    <w:name w:val="Normal_Indent"/>
    <w:basedOn w:val="Normal"/>
    <w:rsid w:val="000D2A3B"/>
    <w:pPr>
      <w:spacing w:before="120"/>
      <w:ind w:left="794"/>
      <w:jc w:val="left"/>
    </w:pPr>
  </w:style>
  <w:style w:type="paragraph" w:customStyle="1" w:styleId="Participants">
    <w:name w:val="Participants"/>
    <w:basedOn w:val="Normal"/>
    <w:rsid w:val="000D2A3B"/>
    <w:pPr>
      <w:tabs>
        <w:tab w:val="clear" w:pos="794"/>
        <w:tab w:val="clear" w:pos="1588"/>
      </w:tabs>
      <w:spacing w:before="0"/>
      <w:ind w:left="1191"/>
    </w:pPr>
    <w:rPr>
      <w:sz w:val="20"/>
    </w:rPr>
  </w:style>
  <w:style w:type="paragraph" w:customStyle="1" w:styleId="blanc">
    <w:name w:val="blanc"/>
    <w:basedOn w:val="Normal"/>
    <w:rsid w:val="000D2A3B"/>
    <w:pPr>
      <w:tabs>
        <w:tab w:val="clear" w:pos="794"/>
        <w:tab w:val="clear" w:pos="1191"/>
        <w:tab w:val="clear" w:pos="1588"/>
        <w:tab w:val="clear" w:pos="1985"/>
      </w:tabs>
      <w:spacing w:before="0"/>
      <w:jc w:val="left"/>
    </w:pPr>
    <w:rPr>
      <w:sz w:val="2"/>
      <w:lang w:val="en-US"/>
    </w:rPr>
  </w:style>
  <w:style w:type="paragraph" w:styleId="Title">
    <w:name w:val="Title"/>
    <w:basedOn w:val="Normal"/>
    <w:next w:val="Normal"/>
    <w:link w:val="TitleChar"/>
    <w:uiPriority w:val="10"/>
    <w:qFormat/>
    <w:rsid w:val="008105C4"/>
    <w:pPr>
      <w:spacing w:before="240" w:after="60"/>
      <w:jc w:val="center"/>
      <w:outlineLvl w:val="0"/>
    </w:pPr>
    <w:rPr>
      <w:rFonts w:eastAsiaTheme="majorEastAsia" w:cstheme="majorBidi"/>
      <w:b/>
      <w:bCs/>
      <w:color w:val="990033"/>
      <w:kern w:val="28"/>
      <w:sz w:val="32"/>
      <w:szCs w:val="32"/>
      <w:lang w:val="en-US"/>
    </w:rPr>
  </w:style>
  <w:style w:type="character" w:customStyle="1" w:styleId="TitleChar">
    <w:name w:val="Title Char"/>
    <w:basedOn w:val="DefaultParagraphFont"/>
    <w:link w:val="Title"/>
    <w:uiPriority w:val="10"/>
    <w:rsid w:val="008105C4"/>
    <w:rPr>
      <w:rFonts w:asciiTheme="minorHAnsi" w:eastAsiaTheme="majorEastAsia" w:hAnsiTheme="minorHAnsi" w:cstheme="majorBidi"/>
      <w:b/>
      <w:bCs/>
      <w:color w:val="990033"/>
      <w:kern w:val="28"/>
      <w:sz w:val="32"/>
      <w:szCs w:val="32"/>
      <w:lang w:eastAsia="en-US"/>
    </w:rPr>
  </w:style>
  <w:style w:type="paragraph" w:styleId="Footer">
    <w:name w:val="footer"/>
    <w:basedOn w:val="Normal"/>
    <w:link w:val="FooterChar"/>
    <w:uiPriority w:val="99"/>
    <w:semiHidden/>
    <w:unhideWhenUsed/>
    <w:rsid w:val="008105C4"/>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uiPriority w:val="99"/>
    <w:semiHidden/>
    <w:rsid w:val="008105C4"/>
    <w:rPr>
      <w:rFonts w:asciiTheme="minorHAnsi" w:hAnsiTheme="minorHAnsi"/>
      <w:sz w:val="22"/>
      <w:lang w:val="fr-FR" w:eastAsia="en-US"/>
    </w:rPr>
  </w:style>
  <w:style w:type="paragraph" w:styleId="Date">
    <w:name w:val="Date"/>
    <w:basedOn w:val="Normal"/>
    <w:next w:val="Normal"/>
    <w:link w:val="DateChar"/>
    <w:uiPriority w:val="99"/>
    <w:semiHidden/>
    <w:unhideWhenUsed/>
    <w:rsid w:val="008105C4"/>
  </w:style>
  <w:style w:type="character" w:customStyle="1" w:styleId="DateChar">
    <w:name w:val="Date Char"/>
    <w:basedOn w:val="DefaultParagraphFont"/>
    <w:link w:val="Date"/>
    <w:uiPriority w:val="99"/>
    <w:semiHidden/>
    <w:rsid w:val="008105C4"/>
    <w:rPr>
      <w:rFonts w:asciiTheme="minorHAnsi" w:hAnsiTheme="minorHAnsi"/>
      <w:sz w:val="22"/>
      <w:lang w:val="fr-FR" w:eastAsia="en-US"/>
    </w:rPr>
  </w:style>
  <w:style w:type="paragraph" w:styleId="BalloonText">
    <w:name w:val="Balloon Text"/>
    <w:basedOn w:val="Normal"/>
    <w:link w:val="BalloonTextChar"/>
    <w:uiPriority w:val="99"/>
    <w:semiHidden/>
    <w:unhideWhenUsed/>
    <w:rsid w:val="008105C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5C4"/>
    <w:rPr>
      <w:rFonts w:ascii="Tahoma" w:hAnsi="Tahoma" w:cs="Tahoma"/>
      <w:sz w:val="16"/>
      <w:szCs w:val="16"/>
      <w:lang w:val="fr-FR" w:eastAsia="en-US"/>
    </w:rPr>
  </w:style>
  <w:style w:type="paragraph" w:customStyle="1" w:styleId="Title10">
    <w:name w:val="Title1"/>
    <w:basedOn w:val="Normal"/>
    <w:rsid w:val="008105C4"/>
    <w:pPr>
      <w:tabs>
        <w:tab w:val="clear" w:pos="794"/>
        <w:tab w:val="clear" w:pos="1191"/>
        <w:tab w:val="clear" w:pos="1588"/>
        <w:tab w:val="clear" w:pos="1985"/>
      </w:tabs>
      <w:overflowPunct/>
      <w:autoSpaceDE/>
      <w:autoSpaceDN/>
      <w:adjustRightInd/>
      <w:spacing w:before="0" w:after="120"/>
      <w:textAlignment w:val="auto"/>
    </w:pPr>
    <w:rPr>
      <w:rFonts w:ascii="Times New Roman" w:hAnsi="Times New Roman"/>
      <w:bCs/>
      <w:sz w:val="28"/>
      <w:szCs w:val="28"/>
      <w:lang w:val="en-US"/>
    </w:rPr>
  </w:style>
  <w:style w:type="table" w:styleId="TableGrid">
    <w:name w:val="Table Grid"/>
    <w:basedOn w:val="TableNormal"/>
    <w:rsid w:val="00E05D7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xText">
    <w:name w:val="Box Text"/>
    <w:basedOn w:val="Normal"/>
    <w:link w:val="BoxTextChar"/>
    <w:qFormat/>
    <w:rsid w:val="00A326B4"/>
    <w:rPr>
      <w:sz w:val="20"/>
      <w:szCs w:val="18"/>
    </w:rPr>
  </w:style>
  <w:style w:type="paragraph" w:customStyle="1" w:styleId="BoxTitle">
    <w:name w:val="Box Title"/>
    <w:basedOn w:val="Heading3"/>
    <w:link w:val="BoxTitleChar"/>
    <w:qFormat/>
    <w:rsid w:val="00A326B4"/>
  </w:style>
  <w:style w:type="character" w:customStyle="1" w:styleId="BoxTextChar">
    <w:name w:val="Box Text Char"/>
    <w:basedOn w:val="DefaultParagraphFont"/>
    <w:link w:val="BoxText"/>
    <w:rsid w:val="00A326B4"/>
    <w:rPr>
      <w:rFonts w:asciiTheme="minorHAnsi" w:hAnsiTheme="minorHAnsi"/>
      <w:szCs w:val="18"/>
      <w:lang w:val="en-GB" w:eastAsia="en-US"/>
    </w:rPr>
  </w:style>
  <w:style w:type="table" w:styleId="LightShading-Accent2">
    <w:name w:val="Light Shading Accent 2"/>
    <w:basedOn w:val="TableNormal"/>
    <w:uiPriority w:val="60"/>
    <w:rsid w:val="00E13A3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1Char">
    <w:name w:val="Heading 1 Char"/>
    <w:basedOn w:val="DefaultParagraphFont"/>
    <w:link w:val="Heading1"/>
    <w:rsid w:val="00A326B4"/>
    <w:rPr>
      <w:rFonts w:asciiTheme="minorHAnsi" w:hAnsiTheme="minorHAnsi"/>
      <w:b/>
      <w:color w:val="990033"/>
      <w:sz w:val="28"/>
      <w:lang w:val="fr-FR" w:eastAsia="en-US"/>
    </w:rPr>
  </w:style>
  <w:style w:type="character" w:customStyle="1" w:styleId="Heading3Char">
    <w:name w:val="Heading 3 Char"/>
    <w:basedOn w:val="Heading1Char"/>
    <w:link w:val="Heading3"/>
    <w:rsid w:val="00A326B4"/>
    <w:rPr>
      <w:sz w:val="24"/>
    </w:rPr>
  </w:style>
  <w:style w:type="character" w:customStyle="1" w:styleId="BoxTitleChar">
    <w:name w:val="Box Title Char"/>
    <w:basedOn w:val="Heading3Char"/>
    <w:link w:val="BoxTitle"/>
    <w:rsid w:val="00A326B4"/>
  </w:style>
  <w:style w:type="character" w:customStyle="1" w:styleId="TabletextChar">
    <w:name w:val="Table_text Char"/>
    <w:basedOn w:val="DefaultParagraphFont"/>
    <w:link w:val="Tabletext"/>
    <w:rsid w:val="00F75B07"/>
    <w:rPr>
      <w:rFonts w:asciiTheme="minorHAnsi" w:hAnsiTheme="minorHAnsi"/>
      <w:color w:val="990033"/>
      <w:lang w:val="fr-FR" w:eastAsia="en-US"/>
    </w:rPr>
  </w:style>
</w:styles>
</file>

<file path=word/webSettings.xml><?xml version="1.0" encoding="utf-8"?>
<w:webSettings xmlns:r="http://schemas.openxmlformats.org/officeDocument/2006/relationships" xmlns:w="http://schemas.openxmlformats.org/wordprocessingml/2006/main">
  <w:divs>
    <w:div w:id="57543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jpeg"/><Relationship Id="rId55" Type="http://schemas.openxmlformats.org/officeDocument/2006/relationships/hyperlink" Target="http://www.booz.com/media/uploads/Digital_Highways_Role_of_Government.pdf" TargetMode="External"/><Relationship Id="rId63" Type="http://schemas.openxmlformats.org/officeDocument/2006/relationships/hyperlink" Target="http://www.itu.int/publ/D-IND-RPM.AM-2009/en" TargetMode="External"/><Relationship Id="rId68" Type="http://schemas.openxmlformats.org/officeDocument/2006/relationships/hyperlink" Target="http://www.itu.int/dms_pub/itu-d/opb/reg/D-REG-TTR.9-2007-SUM-PDF-E.pdf" TargetMode="External"/><Relationship Id="rId76" Type="http://schemas.openxmlformats.org/officeDocument/2006/relationships/hyperlink" Target="http://www.oecd.org/dataoecd/41/39/44381795.pdf" TargetMode="External"/><Relationship Id="rId84" Type="http://schemas.openxmlformats.org/officeDocument/2006/relationships/hyperlink" Target="http://www.netimpactstudy.com/NetImpact_Study_Report.pdf"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tu.int/ITU-D/treg/publications/Trends02_ExecSummary.pdf"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5.emf"/><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hyperlink" Target="http://www.atra.gov.af/spaw/uploads/files/MOP-21%20October%202008-Final.pdf" TargetMode="External"/><Relationship Id="rId58" Type="http://schemas.openxmlformats.org/officeDocument/2006/relationships/hyperlink" Target="http://www.itu.int/publ/D-IND-RPM.AR-2009/en" TargetMode="External"/><Relationship Id="rId66" Type="http://schemas.openxmlformats.org/officeDocument/2006/relationships/hyperlink" Target="http://www.itu.int/dms_pub/itu-d/opb/reg/D-REG-TTR.11-2009-SUM-PDF-E.pdf" TargetMode="External"/><Relationship Id="rId74" Type="http://schemas.openxmlformats.org/officeDocument/2006/relationships/hyperlink" Target="http://www.unescap.org/tid/publication/aptir2362.pdf" TargetMode="External"/><Relationship Id="rId79" Type="http://schemas.openxmlformats.org/officeDocument/2006/relationships/hyperlink" Target="http://lesrapports.ladocumentationfrancaise.fr/BRP/084000664/0000.pdf" TargetMode="External"/><Relationship Id="rId87"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www.itu.int/publ/D-IND-RPM.AP-2009/en" TargetMode="External"/><Relationship Id="rId82" Type="http://schemas.openxmlformats.org/officeDocument/2006/relationships/hyperlink" Target="http://hdr.undp.org/en/media/HDR_2009_EN_Complete.pdf" TargetMode="External"/><Relationship Id="rId90" Type="http://schemas.openxmlformats.org/officeDocument/2006/relationships/theme" Target="theme/theme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image" Target="media/image34.emf"/><Relationship Id="rId56" Type="http://schemas.openxmlformats.org/officeDocument/2006/relationships/hyperlink" Target="http://www.broadband.gov/plan/" TargetMode="External"/><Relationship Id="rId64" Type="http://schemas.openxmlformats.org/officeDocument/2006/relationships/hyperlink" Target="http://www.itu.int/publ/D-IND-RPM.CIS-2009/en" TargetMode="External"/><Relationship Id="rId69" Type="http://schemas.openxmlformats.org/officeDocument/2006/relationships/hyperlink" Target="http://www.itu.int/ITU-D/ict/publications/wtdr_06/index.html" TargetMode="External"/><Relationship Id="rId77" Type="http://schemas.openxmlformats.org/officeDocument/2006/relationships/hyperlink" Target="http://www.oecd.org/dataoecd/62/7/40781696.pdf" TargetMode="External"/><Relationship Id="rId8" Type="http://schemas.openxmlformats.org/officeDocument/2006/relationships/image" Target="media/image1.emf"/><Relationship Id="rId51" Type="http://schemas.openxmlformats.org/officeDocument/2006/relationships/image" Target="media/image37.jpeg"/><Relationship Id="rId72" Type="http://schemas.openxmlformats.org/officeDocument/2006/relationships/hyperlink" Target="http://www.cmt.es/es/documentacion_de_referencia/redes_nueva_generacion/anexos/Informe_final_HE_1_2008_09_MDF.pdf" TargetMode="External"/><Relationship Id="rId80" Type="http://schemas.openxmlformats.org/officeDocument/2006/relationships/hyperlink" Target="http://issuu.com/world.bank.publications/docs/9780821376058" TargetMode="External"/><Relationship Id="rId85" Type="http://schemas.openxmlformats.org/officeDocument/2006/relationships/hyperlink" Target="http://www.accenture.com/Global/Research_and_Insights/Outlook/By_alphabet/IgnitingRevolution.ht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hyperlink" Target="http://www.itu.int/ITU-D/ict/publications/idi/2010/index.html" TargetMode="External"/><Relationship Id="rId67" Type="http://schemas.openxmlformats.org/officeDocument/2006/relationships/hyperlink" Target="http://www.itu.int/ITU-D/ict/publications/asia/2008/index.html" TargetMode="External"/><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hyperlink" Target="http://www.bmwi.de/Dateien/BBA/PDF/breitbandstrategie-der-bundesregierung" TargetMode="External"/><Relationship Id="rId62" Type="http://schemas.openxmlformats.org/officeDocument/2006/relationships/hyperlink" Target="http://www.itu.int/publ/D-IND-RPM.AF-2009/en" TargetMode="External"/><Relationship Id="rId70" Type="http://schemas.openxmlformats.org/officeDocument/2006/relationships/hyperlink" Target="http://www.itu.int/ITU-D/treg/publications/Trends05_summary.pdf" TargetMode="External"/><Relationship Id="rId75" Type="http://schemas.openxmlformats.org/officeDocument/2006/relationships/hyperlink" Target="http://www.ntc.net.np/publication/annualreport/ntcAnnual2007.pdf" TargetMode="External"/><Relationship Id="rId83" Type="http://schemas.openxmlformats.org/officeDocument/2006/relationships/hyperlink" Target="http://www.itu.int/wsis/tffm/final-report.pdf" TargetMode="External"/><Relationship Id="rId88"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hyperlink" Target="http://www.phoenix-centre.org/pcpp/PCPP29Final.pdf" TargetMode="External"/><Relationship Id="rId10"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image" Target="media/image30.jpeg"/><Relationship Id="rId52" Type="http://schemas.openxmlformats.org/officeDocument/2006/relationships/image" Target="media/image38.emf"/><Relationship Id="rId60" Type="http://schemas.openxmlformats.org/officeDocument/2006/relationships/hyperlink" Target="http://www.itu.int/ITU-D/ict/publications/idi/2009/index.html" TargetMode="External"/><Relationship Id="rId65" Type="http://schemas.openxmlformats.org/officeDocument/2006/relationships/hyperlink" Target="http://www.itu.int/publ/D-IND-RPM.EUR-2009/en" TargetMode="External"/><Relationship Id="rId73" Type="http://schemas.openxmlformats.org/officeDocument/2006/relationships/hyperlink" Target="http://browse.oecdbookshop.org/oecd/pdfs/browseit/0309071E.PDF" TargetMode="External"/><Relationship Id="rId78" Type="http://schemas.openxmlformats.org/officeDocument/2006/relationships/hyperlink" Target="http://www.reg-markets.org/admin/authorpdfs/redirect-safely.php?fname=../pdffiles/phpvw.pdf" TargetMode="External"/><Relationship Id="rId81" Type="http://schemas.openxmlformats.org/officeDocument/2006/relationships/hyperlink" Target="http://www.pacificsurvey.org/UserFiles/PS-BackgroundPaper-Telco.pdf" TargetMode="External"/><Relationship Id="rId86"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www.itu.int/wsis/docs/geneva/official/poa.html" TargetMode="External"/><Relationship Id="rId13" Type="http://schemas.openxmlformats.org/officeDocument/2006/relationships/hyperlink" Target="http://www.itu.int/ITU-D/tech/RuralTelecom/Rural_Publications/Bhutan-Report.pdf" TargetMode="External"/><Relationship Id="rId18" Type="http://schemas.openxmlformats.org/officeDocument/2006/relationships/hyperlink" Target="http://www.ictregulationtoolkit.org/en/Section.507.html" TargetMode="External"/><Relationship Id="rId3" Type="http://schemas.openxmlformats.org/officeDocument/2006/relationships/hyperlink" Target="http://www.echoupal.com/" TargetMode="External"/><Relationship Id="rId21" Type="http://schemas.openxmlformats.org/officeDocument/2006/relationships/hyperlink" Target="http://eur-lex.europa.eu/LexUriServ/LexUriServ.do?uri=OJ:C:2002:165:0006:0031:EN:PDF" TargetMode="External"/><Relationship Id="rId7" Type="http://schemas.openxmlformats.org/officeDocument/2006/relationships/hyperlink" Target="http://www.ictregulationtoolkit.org/en/Section.3105.html" TargetMode="External"/><Relationship Id="rId12" Type="http://schemas.openxmlformats.org/officeDocument/2006/relationships/hyperlink" Target="http://www.olenepal.org/" TargetMode="External"/><Relationship Id="rId17" Type="http://schemas.openxmlformats.org/officeDocument/2006/relationships/hyperlink" Target="http://www.digitalbangladesh.com.bd/" TargetMode="External"/><Relationship Id="rId2" Type="http://schemas.openxmlformats.org/officeDocument/2006/relationships/hyperlink" Target="http://business.gov.in/outsourcing/outsourcing.php" TargetMode="External"/><Relationship Id="rId16" Type="http://schemas.openxmlformats.org/officeDocument/2006/relationships/hyperlink" Target="http://eur-lex.europa.eu/LexUriServ/LexUriServ.do?uri=OJ:L:2009:337:0011:0036:En:PDF" TargetMode="External"/><Relationship Id="rId20" Type="http://schemas.openxmlformats.org/officeDocument/2006/relationships/hyperlink" Target="http://www.ictregulationtoolkit.org/en/Section.1196.html" TargetMode="External"/><Relationship Id="rId1" Type="http://schemas.openxmlformats.org/officeDocument/2006/relationships/hyperlink" Target="http://data.worldbank.org/indicator/NY.GNP.PCAP.CD" TargetMode="External"/><Relationship Id="rId6" Type="http://schemas.openxmlformats.org/officeDocument/2006/relationships/hyperlink" Target="http://go.worldbank.org/UI22NH9ME0" TargetMode="External"/><Relationship Id="rId11" Type="http://schemas.openxmlformats.org/officeDocument/2006/relationships/hyperlink" Target="http://www.olpc.af/" TargetMode="External"/><Relationship Id="rId5" Type="http://schemas.openxmlformats.org/officeDocument/2006/relationships/hyperlink" Target="http://www.druknet.bt/gprsedge-3g/" TargetMode="External"/><Relationship Id="rId15" Type="http://schemas.openxmlformats.org/officeDocument/2006/relationships/hyperlink" Target="http://eur-lex.europa.eu/LexUriServ/LexUriServ.do?uri=OJ:L:2002:108:0051:0077:EN:PDF" TargetMode="External"/><Relationship Id="rId10" Type="http://schemas.openxmlformats.org/officeDocument/2006/relationships/hyperlink" Target="http://www.itu.int/newsroom/press_releases/2009/41.html" TargetMode="External"/><Relationship Id="rId19" Type="http://schemas.openxmlformats.org/officeDocument/2006/relationships/hyperlink" Target="http://eur-lex.europa.eu/LexUriServ/LexUriServ.do?uri=OJ:L:2002:108:0021:0032:EN:PDF" TargetMode="External"/><Relationship Id="rId4" Type="http://schemas.openxmlformats.org/officeDocument/2006/relationships/hyperlink" Target="http://data.worldbank.org/indicator/NY.GNP.PCAP.CD" TargetMode="External"/><Relationship Id="rId9" Type="http://schemas.openxmlformats.org/officeDocument/2006/relationships/hyperlink" Target="http://www.itu.int/ITU-D/sis/Connect_a_school/Modules/Mod2.pdf" TargetMode="External"/><Relationship Id="rId14" Type="http://schemas.openxmlformats.org/officeDocument/2006/relationships/hyperlink" Target="http://www.btcl.gov.b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casi\Application%20Data\Microsoft\Templates\Livre_jaun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8DDF5-DFC9-44E7-A797-575D83CE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Livre_jaune.dot</Template>
  <TotalTime>1018</TotalTime>
  <Pages>83</Pages>
  <Words>26557</Words>
  <Characters>156315</Characters>
  <Application>Microsoft Office Word</Application>
  <DocSecurity>0</DocSecurity>
  <Lines>1302</Lines>
  <Paragraphs>365</Paragraphs>
  <ScaleCrop>false</ScaleCrop>
  <HeadingPairs>
    <vt:vector size="2" baseType="variant">
      <vt:variant>
        <vt:lpstr>Title</vt:lpstr>
      </vt:variant>
      <vt:variant>
        <vt:i4>1</vt:i4>
      </vt:variant>
    </vt:vector>
  </HeadingPairs>
  <TitlesOfParts>
    <vt:vector size="1" baseType="lpstr">
      <vt:lpstr>Livre Jaune</vt:lpstr>
    </vt:vector>
  </TitlesOfParts>
  <Company>ITU</Company>
  <LinksUpToDate>false</LinksUpToDate>
  <CharactersWithSpaces>182507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 Jaune</dc:title>
  <dc:subject>ASSEMBLÉE MONDIALE DE NORMALISATION_x000b_DES TÉLÉCOMMUNICATIONS - Florianópolis, 5-14 octobre 2004</dc:subject>
  <dc:creator>lucasi</dc:creator>
  <cp:keywords/>
  <dc:description>Template du Livre Jaune - Basé sur QPUB_x000d_
Changements:_x000d_
Normal (11pt - Exactly 14 pt)_x000d_
Note (10 pt)_x000d_
Table NoTitle, Table_head, Table_text (10 pt)_x000d_
Chap_title (12 pt)_x000d_
Res_No (MAJ, centré, Pas bold)_x000d_
 </dc:description>
  <cp:lastModifiedBy>lucasi</cp:lastModifiedBy>
  <cp:revision>60</cp:revision>
  <cp:lastPrinted>2010-10-06T08:16:00Z</cp:lastPrinted>
  <dcterms:created xsi:type="dcterms:W3CDTF">2010-09-29T13:47:00Z</dcterms:created>
  <dcterms:modified xsi:type="dcterms:W3CDTF">2010-12-03T08:14:00Z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ies>
</file>