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BC7BC0" w:rsidRPr="00187261">
        <w:trPr>
          <w:cantSplit/>
        </w:trPr>
        <w:tc>
          <w:tcPr>
            <w:tcW w:w="6911" w:type="dxa"/>
          </w:tcPr>
          <w:p w:rsidR="00BC7BC0" w:rsidRPr="00187261" w:rsidRDefault="00740168" w:rsidP="0074016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87261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187261">
              <w:rPr>
                <w:b/>
                <w:smallCaps/>
                <w:sz w:val="28"/>
                <w:szCs w:val="28"/>
                <w:lang w:val="ru-RU"/>
              </w:rPr>
              <w:t xml:space="preserve"> </w:t>
            </w:r>
            <w:r w:rsidR="000569B4" w:rsidRPr="001872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6719" w:rsidRPr="00187261">
              <w:rPr>
                <w:b/>
                <w:bCs/>
                <w:szCs w:val="22"/>
                <w:lang w:val="ru-RU"/>
              </w:rPr>
              <w:t>Гвадалахара, 2</w:t>
            </w:r>
            <w:r w:rsidRPr="00187261">
              <w:rPr>
                <w:b/>
                <w:bCs/>
                <w:szCs w:val="22"/>
                <w:lang w:val="ru-RU"/>
              </w:rPr>
              <w:t>1</w:t>
            </w:r>
            <w:r w:rsidR="001E6719" w:rsidRPr="00187261">
              <w:rPr>
                <w:b/>
                <w:bCs/>
                <w:szCs w:val="22"/>
                <w:lang w:val="ru-RU"/>
              </w:rPr>
              <w:t xml:space="preserve"> октября 2010 г.</w:t>
            </w:r>
          </w:p>
        </w:tc>
        <w:tc>
          <w:tcPr>
            <w:tcW w:w="3120" w:type="dxa"/>
          </w:tcPr>
          <w:p w:rsidR="00BC7BC0" w:rsidRPr="00187261" w:rsidRDefault="00192B41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87261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872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8726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8726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72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8726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8726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726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8726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87261" w:rsidRDefault="00BC7BC0" w:rsidP="0074016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87261">
              <w:rPr>
                <w:b/>
                <w:bCs/>
                <w:szCs w:val="22"/>
                <w:lang w:val="ru-RU"/>
              </w:rPr>
              <w:t>Документ C</w:t>
            </w:r>
            <w:r w:rsidR="00740168" w:rsidRPr="00187261">
              <w:rPr>
                <w:b/>
                <w:bCs/>
                <w:szCs w:val="22"/>
                <w:lang w:val="ru-RU"/>
              </w:rPr>
              <w:t>-EXT</w:t>
            </w:r>
            <w:r w:rsidRPr="00187261">
              <w:rPr>
                <w:b/>
                <w:bCs/>
                <w:szCs w:val="22"/>
                <w:lang w:val="ru-RU"/>
              </w:rPr>
              <w:t>/</w:t>
            </w:r>
            <w:r w:rsidR="00740168" w:rsidRPr="00187261">
              <w:rPr>
                <w:b/>
                <w:bCs/>
                <w:szCs w:val="22"/>
                <w:lang w:val="ru-RU"/>
              </w:rPr>
              <w:t>8</w:t>
            </w:r>
            <w:r w:rsidRPr="001872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87261">
        <w:trPr>
          <w:cantSplit/>
          <w:trHeight w:val="23"/>
        </w:trPr>
        <w:tc>
          <w:tcPr>
            <w:tcW w:w="6911" w:type="dxa"/>
            <w:vMerge/>
          </w:tcPr>
          <w:p w:rsidR="00BC7BC0" w:rsidRPr="001872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87261" w:rsidRDefault="00740168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7261">
              <w:rPr>
                <w:b/>
                <w:bCs/>
                <w:szCs w:val="22"/>
                <w:lang w:val="ru-RU"/>
              </w:rPr>
              <w:t>17 ноября</w:t>
            </w:r>
            <w:r w:rsidR="00BC7BC0" w:rsidRPr="00187261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187261">
              <w:rPr>
                <w:b/>
                <w:bCs/>
                <w:szCs w:val="22"/>
                <w:lang w:val="ru-RU"/>
              </w:rPr>
              <w:t>10</w:t>
            </w:r>
            <w:r w:rsidR="00BC7BC0" w:rsidRPr="001872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87261">
        <w:trPr>
          <w:cantSplit/>
          <w:trHeight w:val="23"/>
        </w:trPr>
        <w:tc>
          <w:tcPr>
            <w:tcW w:w="6911" w:type="dxa"/>
            <w:vMerge/>
          </w:tcPr>
          <w:p w:rsidR="00BC7BC0" w:rsidRPr="001872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872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72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5D74B2" w:rsidRPr="00187261">
        <w:trPr>
          <w:cantSplit/>
          <w:trHeight w:val="23"/>
        </w:trPr>
        <w:tc>
          <w:tcPr>
            <w:tcW w:w="6911" w:type="dxa"/>
          </w:tcPr>
          <w:p w:rsidR="005D74B2" w:rsidRPr="00187261" w:rsidRDefault="005D74B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D74B2" w:rsidRPr="00187261" w:rsidRDefault="005D74B2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5D74B2" w:rsidRPr="00187261">
        <w:trPr>
          <w:cantSplit/>
          <w:trHeight w:val="23"/>
        </w:trPr>
        <w:tc>
          <w:tcPr>
            <w:tcW w:w="6911" w:type="dxa"/>
          </w:tcPr>
          <w:p w:rsidR="005D74B2" w:rsidRPr="00187261" w:rsidRDefault="005D74B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D74B2" w:rsidRPr="00187261" w:rsidRDefault="005D74B2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:rsidR="00740168" w:rsidRPr="00187261" w:rsidRDefault="00740168" w:rsidP="005D74B2">
      <w:pPr>
        <w:pStyle w:val="Title1"/>
        <w:rPr>
          <w:lang w:val="ru-RU"/>
        </w:rPr>
      </w:pPr>
      <w:r w:rsidRPr="00187261">
        <w:rPr>
          <w:lang w:val="ru-RU"/>
        </w:rPr>
        <w:t>КРАТКИЙ ОТЧЕТ</w:t>
      </w:r>
    </w:p>
    <w:p w:rsidR="00740168" w:rsidRPr="00187261" w:rsidRDefault="00740168" w:rsidP="005D74B2">
      <w:pPr>
        <w:pStyle w:val="Title1"/>
        <w:rPr>
          <w:lang w:val="ru-RU"/>
        </w:rPr>
      </w:pPr>
      <w:r w:rsidRPr="00187261">
        <w:rPr>
          <w:lang w:val="ru-RU"/>
        </w:rPr>
        <w:t>О ВНЕОЧЕРЕДНОЙ СЕССИИ СОВЕТА</w:t>
      </w:r>
    </w:p>
    <w:p w:rsidR="00740168" w:rsidRPr="00187261" w:rsidRDefault="00740168" w:rsidP="005D74B2">
      <w:pPr>
        <w:jc w:val="center"/>
        <w:rPr>
          <w:lang w:val="ru-RU"/>
        </w:rPr>
      </w:pPr>
      <w:r w:rsidRPr="00187261">
        <w:rPr>
          <w:lang w:val="ru-RU"/>
        </w:rPr>
        <w:t>Пятница, 22 октября 2010 года, 10 час. 15 мин. – 12 час. 35 мин.</w:t>
      </w:r>
    </w:p>
    <w:p w:rsidR="002D2F57" w:rsidRPr="00187261" w:rsidRDefault="00740168" w:rsidP="005D74B2">
      <w:pPr>
        <w:jc w:val="center"/>
        <w:rPr>
          <w:lang w:val="ru-RU"/>
        </w:rPr>
      </w:pPr>
      <w:r w:rsidRPr="00187261">
        <w:rPr>
          <w:b/>
          <w:lang w:val="ru-RU"/>
        </w:rPr>
        <w:t>Председатель</w:t>
      </w:r>
      <w:r w:rsidRPr="00187261">
        <w:rPr>
          <w:bCs/>
          <w:lang w:val="ru-RU"/>
        </w:rPr>
        <w:t>:</w:t>
      </w:r>
      <w:r w:rsidRPr="00187261">
        <w:rPr>
          <w:b/>
          <w:lang w:val="ru-RU"/>
        </w:rPr>
        <w:t xml:space="preserve"> </w:t>
      </w:r>
      <w:r w:rsidRPr="00187261">
        <w:rPr>
          <w:lang w:val="ru-RU"/>
        </w:rPr>
        <w:t>г-н Р.Н. ДЖХА (Индия)</w:t>
      </w:r>
      <w:r w:rsidR="005D74B2" w:rsidRPr="00187261">
        <w:rPr>
          <w:lang w:val="ru-RU"/>
        </w:rPr>
        <w:br/>
      </w:r>
      <w:r w:rsidRPr="00187261">
        <w:rPr>
          <w:b/>
          <w:lang w:val="ru-RU"/>
        </w:rPr>
        <w:t>затем</w:t>
      </w:r>
      <w:r w:rsidRPr="00187261">
        <w:rPr>
          <w:bCs/>
          <w:lang w:val="ru-RU"/>
        </w:rPr>
        <w:t>:</w:t>
      </w:r>
      <w:r w:rsidRPr="00187261">
        <w:rPr>
          <w:lang w:val="ru-RU"/>
        </w:rPr>
        <w:t xml:space="preserve"> г-н Ф. БОРХОН (Мексика)</w:t>
      </w:r>
    </w:p>
    <w:p w:rsidR="00740168" w:rsidRPr="00187261" w:rsidRDefault="00740168" w:rsidP="00740168">
      <w:pPr>
        <w:jc w:val="center"/>
        <w:rPr>
          <w:lang w:val="ru-RU"/>
        </w:rPr>
      </w:pPr>
    </w:p>
    <w:tbl>
      <w:tblPr>
        <w:tblW w:w="5163" w:type="pct"/>
        <w:tblLook w:val="0000"/>
      </w:tblPr>
      <w:tblGrid>
        <w:gridCol w:w="540"/>
        <w:gridCol w:w="6834"/>
        <w:gridCol w:w="2802"/>
      </w:tblGrid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pStyle w:val="toc0"/>
              <w:rPr>
                <w:lang w:val="ru-RU"/>
              </w:rPr>
            </w:pPr>
          </w:p>
        </w:tc>
        <w:tc>
          <w:tcPr>
            <w:tcW w:w="3358" w:type="pct"/>
          </w:tcPr>
          <w:p w:rsidR="00740168" w:rsidRPr="00187261" w:rsidRDefault="00740168" w:rsidP="00740168">
            <w:pPr>
              <w:pStyle w:val="toc0"/>
              <w:rPr>
                <w:lang w:val="ru-RU"/>
              </w:rPr>
            </w:pPr>
            <w:r w:rsidRPr="00187261">
              <w:rPr>
                <w:lang w:val="ru-RU"/>
              </w:rPr>
              <w:t>Обсуждаемые вопросы</w:t>
            </w:r>
          </w:p>
        </w:tc>
        <w:tc>
          <w:tcPr>
            <w:tcW w:w="1377" w:type="pct"/>
          </w:tcPr>
          <w:p w:rsidR="00740168" w:rsidRPr="00187261" w:rsidRDefault="00740168" w:rsidP="00740168">
            <w:pPr>
              <w:pStyle w:val="toc0"/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Документы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1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ind w:left="567" w:hanging="567"/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Открытие сессии </w:t>
            </w:r>
            <w:r w:rsidR="005D74B2" w:rsidRPr="00187261">
              <w:rPr>
                <w:rFonts w:asciiTheme="minorHAnsi" w:hAnsiTheme="minorHAnsi"/>
                <w:lang w:val="ru-RU"/>
              </w:rPr>
              <w:t>председателем</w:t>
            </w:r>
            <w:r w:rsidRPr="00187261">
              <w:rPr>
                <w:rFonts w:asciiTheme="minorHAnsi" w:hAnsiTheme="minorHAnsi"/>
                <w:lang w:val="ru-RU"/>
              </w:rPr>
              <w:t>, покидающим свой пост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2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Выборы председателя внеочередной сессии Совета и сессии </w:t>
            </w:r>
            <w:r w:rsidRPr="00187261">
              <w:rPr>
                <w:rFonts w:asciiTheme="minorHAnsi" w:hAnsiTheme="minorHAnsi"/>
                <w:lang w:val="ru-RU"/>
              </w:rPr>
              <w:br/>
              <w:t>Совета 2011 года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3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Замечания </w:t>
            </w:r>
            <w:r w:rsidR="005D74B2" w:rsidRPr="00187261">
              <w:rPr>
                <w:rFonts w:asciiTheme="minorHAnsi" w:hAnsiTheme="minorHAnsi"/>
                <w:lang w:val="ru-RU"/>
              </w:rPr>
              <w:t>председателя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4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ind w:left="567" w:hanging="567"/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>Выборы заместителя председателя сессии Совета 2011 года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5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Выборы председателя и заместителей председателя Постоянного </w:t>
            </w:r>
            <w:r w:rsidRPr="00187261">
              <w:rPr>
                <w:rFonts w:asciiTheme="minorHAnsi" w:hAnsiTheme="minorHAnsi"/>
                <w:lang w:val="ru-RU"/>
              </w:rPr>
              <w:br/>
              <w:t>комитета по администрированию и управлению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6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Решения сессии Совета 2010 года, в которых содержится призыв </w:t>
            </w:r>
            <w:r w:rsidRPr="00187261">
              <w:rPr>
                <w:rFonts w:asciiTheme="minorHAnsi" w:hAnsiTheme="minorHAnsi"/>
                <w:lang w:val="ru-RU"/>
              </w:rPr>
              <w:br/>
              <w:t>к принятию мер на внеочередной сессии Совета</w:t>
            </w:r>
          </w:p>
        </w:tc>
        <w:tc>
          <w:tcPr>
            <w:tcW w:w="1377" w:type="pct"/>
          </w:tcPr>
          <w:p w:rsidR="00740168" w:rsidRPr="00187261" w:rsidRDefault="00065947" w:rsidP="00740168">
            <w:pPr>
              <w:jc w:val="center"/>
              <w:rPr>
                <w:lang w:val="ru-RU"/>
              </w:rPr>
            </w:pPr>
            <w:hyperlink r:id="rId8" w:history="1">
              <w:r w:rsidR="00740168" w:rsidRPr="00187261">
                <w:rPr>
                  <w:rStyle w:val="Hyperlink"/>
                  <w:lang w:val="ru-RU"/>
                </w:rPr>
                <w:t>C-EXT/2</w:t>
              </w:r>
            </w:hyperlink>
            <w:r w:rsidR="00740168" w:rsidRPr="00187261">
              <w:rPr>
                <w:lang w:val="ru-RU"/>
              </w:rPr>
              <w:t xml:space="preserve">, </w:t>
            </w:r>
            <w:hyperlink r:id="rId9" w:history="1">
              <w:r w:rsidR="00740168" w:rsidRPr="00187261">
                <w:rPr>
                  <w:rStyle w:val="Hyperlink"/>
                  <w:lang w:val="ru-RU"/>
                </w:rPr>
                <w:t>C-EXT/4</w:t>
              </w:r>
            </w:hyperlink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7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 xml:space="preserve">Решения Полномочной конференции, в которых содержится призыв </w:t>
            </w:r>
            <w:r w:rsidRPr="00187261">
              <w:rPr>
                <w:rFonts w:asciiTheme="minorHAnsi" w:hAnsiTheme="minorHAnsi"/>
                <w:lang w:val="ru-RU"/>
              </w:rPr>
              <w:br/>
              <w:t>к принятию мер на внеочередной сессии Совета</w:t>
            </w:r>
          </w:p>
        </w:tc>
        <w:tc>
          <w:tcPr>
            <w:tcW w:w="1377" w:type="pct"/>
          </w:tcPr>
          <w:p w:rsidR="00740168" w:rsidRPr="00187261" w:rsidRDefault="00065947" w:rsidP="00740168">
            <w:pPr>
              <w:jc w:val="center"/>
              <w:rPr>
                <w:lang w:val="ru-RU"/>
              </w:rPr>
            </w:pPr>
            <w:hyperlink r:id="rId10" w:history="1">
              <w:r w:rsidR="00740168" w:rsidRPr="00187261">
                <w:rPr>
                  <w:rStyle w:val="Hyperlink"/>
                  <w:lang w:val="ru-RU"/>
                </w:rPr>
                <w:t>C-EXT/3</w:t>
              </w:r>
            </w:hyperlink>
          </w:p>
        </w:tc>
      </w:tr>
      <w:tr w:rsidR="00740168" w:rsidRPr="00187261" w:rsidTr="00D144F5">
        <w:tc>
          <w:tcPr>
            <w:tcW w:w="265" w:type="pct"/>
          </w:tcPr>
          <w:p w:rsidR="00740168" w:rsidRPr="00187261" w:rsidRDefault="00740168" w:rsidP="00D144F5">
            <w:pPr>
              <w:ind w:left="567" w:hanging="567"/>
              <w:rPr>
                <w:lang w:val="ru-RU"/>
              </w:rPr>
            </w:pPr>
            <w:r w:rsidRPr="00187261">
              <w:rPr>
                <w:lang w:val="ru-RU"/>
              </w:rPr>
              <w:t>8</w:t>
            </w:r>
          </w:p>
        </w:tc>
        <w:tc>
          <w:tcPr>
            <w:tcW w:w="3358" w:type="pct"/>
          </w:tcPr>
          <w:p w:rsidR="00740168" w:rsidRPr="00187261" w:rsidRDefault="00740168" w:rsidP="00740168">
            <w:pPr>
              <w:rPr>
                <w:lang w:val="ru-RU"/>
              </w:rPr>
            </w:pPr>
            <w:r w:rsidRPr="00187261">
              <w:rPr>
                <w:rFonts w:asciiTheme="minorHAnsi" w:hAnsiTheme="minorHAnsi"/>
                <w:lang w:val="ru-RU"/>
              </w:rPr>
              <w:t>Закрытие</w:t>
            </w:r>
          </w:p>
        </w:tc>
        <w:tc>
          <w:tcPr>
            <w:tcW w:w="1377" w:type="pct"/>
          </w:tcPr>
          <w:p w:rsidR="00740168" w:rsidRPr="00187261" w:rsidRDefault="00740168" w:rsidP="00D144F5">
            <w:pPr>
              <w:jc w:val="center"/>
              <w:rPr>
                <w:lang w:val="ru-RU"/>
              </w:rPr>
            </w:pPr>
            <w:r w:rsidRPr="00187261">
              <w:rPr>
                <w:lang w:val="ru-RU"/>
              </w:rPr>
              <w:t>–</w:t>
            </w:r>
          </w:p>
        </w:tc>
      </w:tr>
    </w:tbl>
    <w:p w:rsidR="002D2F57" w:rsidRPr="00187261" w:rsidRDefault="002D2F57">
      <w:pPr>
        <w:rPr>
          <w:lang w:val="ru-RU"/>
        </w:rPr>
      </w:pPr>
    </w:p>
    <w:p w:rsidR="00740168" w:rsidRPr="00187261" w:rsidRDefault="002D2F57" w:rsidP="005D74B2">
      <w:pPr>
        <w:pStyle w:val="Heading1"/>
        <w:spacing w:before="0"/>
        <w:rPr>
          <w:lang w:val="ru-RU"/>
        </w:rPr>
      </w:pPr>
      <w:r w:rsidRPr="00187261">
        <w:rPr>
          <w:lang w:val="ru-RU"/>
        </w:rPr>
        <w:br w:type="page"/>
      </w:r>
      <w:r w:rsidR="00740168" w:rsidRPr="00187261">
        <w:rPr>
          <w:lang w:val="ru-RU"/>
        </w:rPr>
        <w:lastRenderedPageBreak/>
        <w:t>1</w:t>
      </w:r>
      <w:r w:rsidR="00740168" w:rsidRPr="00187261">
        <w:rPr>
          <w:lang w:val="ru-RU"/>
        </w:rPr>
        <w:tab/>
        <w:t xml:space="preserve">Открытие сессии </w:t>
      </w:r>
      <w:r w:rsidR="005D74B2" w:rsidRPr="00187261">
        <w:rPr>
          <w:lang w:val="ru-RU"/>
        </w:rPr>
        <w:t>председателем</w:t>
      </w:r>
      <w:r w:rsidR="00740168" w:rsidRPr="00187261">
        <w:rPr>
          <w:lang w:val="ru-RU"/>
        </w:rPr>
        <w:t>, покидающим свой пост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1.1</w:t>
      </w:r>
      <w:r w:rsidRPr="00187261">
        <w:rPr>
          <w:lang w:val="ru-RU"/>
        </w:rPr>
        <w:tab/>
        <w:t xml:space="preserve">Покидающий свой пост </w:t>
      </w:r>
      <w:r w:rsidR="005D74B2" w:rsidRPr="00187261">
        <w:rPr>
          <w:lang w:val="ru-RU"/>
        </w:rPr>
        <w:t xml:space="preserve">председатель </w:t>
      </w:r>
      <w:r w:rsidRPr="00187261">
        <w:rPr>
          <w:lang w:val="ru-RU"/>
        </w:rPr>
        <w:t xml:space="preserve">объявляет внеочередную сессию Совета открытой и выступает с речью, текст которой воспроизводится в Приложении А. 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1.2</w:t>
      </w:r>
      <w:r w:rsidRPr="00187261">
        <w:rPr>
          <w:lang w:val="ru-RU"/>
        </w:rPr>
        <w:tab/>
        <w:t xml:space="preserve">Генеральный секретарь выражает признательность покидающему свой пост </w:t>
      </w:r>
      <w:r w:rsidR="005D74B2" w:rsidRPr="00187261">
        <w:rPr>
          <w:lang w:val="ru-RU"/>
        </w:rPr>
        <w:t xml:space="preserve">председателю </w:t>
      </w:r>
      <w:r w:rsidRPr="00187261">
        <w:rPr>
          <w:lang w:val="ru-RU"/>
        </w:rPr>
        <w:t>за мудрость и благодарит его за отличную работу. Он также выражает благодарность правительству Индии за возможность прибегнуть к услугам столь компетентного специалиста. Затем оратор произносит речь, текст которой воспроизводится в Приложении B.</w:t>
      </w:r>
    </w:p>
    <w:p w:rsidR="00740168" w:rsidRPr="00187261" w:rsidRDefault="00740168" w:rsidP="00740168">
      <w:pPr>
        <w:pStyle w:val="Heading1"/>
        <w:rPr>
          <w:lang w:val="ru-RU"/>
        </w:rPr>
      </w:pPr>
      <w:r w:rsidRPr="00187261">
        <w:rPr>
          <w:lang w:val="ru-RU"/>
        </w:rPr>
        <w:t>2</w:t>
      </w:r>
      <w:r w:rsidRPr="00187261">
        <w:rPr>
          <w:lang w:val="ru-RU"/>
        </w:rPr>
        <w:tab/>
        <w:t xml:space="preserve">Выборы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lang w:val="ru-RU"/>
        </w:rPr>
        <w:t>внеочередной сессии Совета и сессии Совета 2011 года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2.1</w:t>
      </w:r>
      <w:r w:rsidRPr="00187261">
        <w:rPr>
          <w:lang w:val="ru-RU"/>
        </w:rPr>
        <w:tab/>
        <w:t>Генеральный секретарь, напомнив, что заместитель председателя Совета традиционно принимает функции председателя на следующий год, предлагает избрать г-на Ф. Борхона (Мексика) председателем внеочередной сессии Совета и сессии Совета 2011 года.</w:t>
      </w:r>
    </w:p>
    <w:p w:rsidR="00740168" w:rsidRPr="00187261" w:rsidRDefault="00740168" w:rsidP="00740168">
      <w:pPr>
        <w:rPr>
          <w:b/>
          <w:lang w:val="ru-RU"/>
        </w:rPr>
      </w:pPr>
      <w:r w:rsidRPr="00187261">
        <w:rPr>
          <w:lang w:val="ru-RU"/>
        </w:rPr>
        <w:t>2.2</w:t>
      </w:r>
      <w:r w:rsidRPr="00187261">
        <w:rPr>
          <w:lang w:val="ru-RU"/>
        </w:rPr>
        <w:tab/>
      </w:r>
      <w:r w:rsidRPr="00187261">
        <w:rPr>
          <w:b/>
          <w:bCs/>
          <w:lang w:val="ru-RU"/>
        </w:rPr>
        <w:t>Г-н Ф. Борхон избирается путем аккламации и занимает место председателя</w:t>
      </w:r>
      <w:r w:rsidRPr="00187261">
        <w:rPr>
          <w:lang w:val="ru-RU"/>
        </w:rPr>
        <w:t>.</w:t>
      </w:r>
    </w:p>
    <w:p w:rsidR="00740168" w:rsidRPr="00187261" w:rsidRDefault="00740168" w:rsidP="00740168">
      <w:pPr>
        <w:pStyle w:val="Heading1"/>
        <w:rPr>
          <w:lang w:val="ru-RU"/>
        </w:rPr>
      </w:pPr>
      <w:r w:rsidRPr="00187261">
        <w:rPr>
          <w:lang w:val="ru-RU"/>
        </w:rPr>
        <w:t>3</w:t>
      </w:r>
      <w:r w:rsidRPr="00187261">
        <w:rPr>
          <w:lang w:val="ru-RU"/>
        </w:rPr>
        <w:tab/>
        <w:t xml:space="preserve">Замечания </w:t>
      </w:r>
      <w:r w:rsidR="005D74B2" w:rsidRPr="00187261">
        <w:rPr>
          <w:lang w:val="ru-RU"/>
        </w:rPr>
        <w:t>председателя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3.1</w:t>
      </w:r>
      <w:r w:rsidRPr="00187261">
        <w:rPr>
          <w:lang w:val="ru-RU"/>
        </w:rPr>
        <w:tab/>
        <w:t xml:space="preserve">Председатель выражает благодарность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кам за оказанное ему доверие и предоставленную возможность продолжать служить Союзу. Он напоминает, что ПК-10 увеличила количество Государств – Членов Совета с 46 до 48, и замечает, что большое число мудрых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обогатит процесс принятия решений и привнесет в него мудрость.</w:t>
      </w:r>
    </w:p>
    <w:p w:rsidR="00740168" w:rsidRPr="00187261" w:rsidRDefault="00740168" w:rsidP="00740168">
      <w:pPr>
        <w:pStyle w:val="Heading1"/>
        <w:rPr>
          <w:lang w:val="ru-RU"/>
        </w:rPr>
      </w:pPr>
      <w:r w:rsidRPr="00187261">
        <w:rPr>
          <w:lang w:val="ru-RU"/>
        </w:rPr>
        <w:t>4</w:t>
      </w:r>
      <w:r w:rsidRPr="00187261">
        <w:rPr>
          <w:lang w:val="ru-RU"/>
        </w:rPr>
        <w:tab/>
        <w:t xml:space="preserve">Выборы заместителя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lang w:val="ru-RU"/>
        </w:rPr>
        <w:t>сессии Совета 2011 года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4.1</w:t>
      </w:r>
      <w:r w:rsidRPr="00187261">
        <w:rPr>
          <w:lang w:val="ru-RU"/>
        </w:rPr>
        <w:tab/>
        <w:t>Генеральный секретарь говорит, что согласно принципу географической ротации заместителем председателя сессии Совета 2011 года должен быть избран представитель Региона B (Западная Европа). По результатам консультаций он предлагает избрать г-на A. Джавусоглу (Турция) заместителем председателя сессии Совета 2011 года.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4.2</w:t>
      </w:r>
      <w:r w:rsidRPr="00187261">
        <w:rPr>
          <w:lang w:val="ru-RU"/>
        </w:rPr>
        <w:tab/>
      </w:r>
      <w:r w:rsidRPr="00187261">
        <w:rPr>
          <w:b/>
          <w:lang w:val="ru-RU"/>
        </w:rPr>
        <w:t>Г-н A. Джавусоглу избирается путем аккламации</w:t>
      </w:r>
      <w:r w:rsidRPr="00187261">
        <w:rPr>
          <w:bCs/>
          <w:lang w:val="ru-RU"/>
        </w:rPr>
        <w:t>.</w:t>
      </w:r>
    </w:p>
    <w:p w:rsidR="00740168" w:rsidRPr="00187261" w:rsidRDefault="00740168" w:rsidP="00740168">
      <w:pPr>
        <w:pStyle w:val="Heading1"/>
        <w:rPr>
          <w:lang w:val="ru-RU"/>
        </w:rPr>
      </w:pPr>
      <w:r w:rsidRPr="00187261">
        <w:rPr>
          <w:lang w:val="ru-RU"/>
        </w:rPr>
        <w:t>5</w:t>
      </w:r>
      <w:r w:rsidRPr="00187261">
        <w:rPr>
          <w:lang w:val="ru-RU"/>
        </w:rPr>
        <w:tab/>
        <w:t>Выборы председателя и заместителей председателя Постоянного комитета по администрированию и управлению</w:t>
      </w:r>
    </w:p>
    <w:p w:rsidR="00740168" w:rsidRPr="00187261" w:rsidRDefault="00740168" w:rsidP="00866B0F">
      <w:pPr>
        <w:rPr>
          <w:lang w:val="ru-RU"/>
        </w:rPr>
      </w:pPr>
      <w:r w:rsidRPr="00187261">
        <w:rPr>
          <w:lang w:val="ru-RU"/>
        </w:rPr>
        <w:t>5.1</w:t>
      </w:r>
      <w:r w:rsidRPr="00187261">
        <w:rPr>
          <w:lang w:val="ru-RU"/>
        </w:rPr>
        <w:tab/>
        <w:t>Генеральный секретарь напоминает, что председатель и заместители председателя Постоянного комитета по администрированию и управлению избираются сразу на два года для обеспечения определенной степени преемственности и соблюдения принципов ротации и географического представительства. По результатам консультаций оратор предлагает избрать г</w:t>
      </w:r>
      <w:r w:rsidR="00866B0F" w:rsidRPr="00187261">
        <w:rPr>
          <w:lang w:val="ru-RU"/>
        </w:rPr>
        <w:noBreakHyphen/>
      </w:r>
      <w:r w:rsidRPr="00187261">
        <w:rPr>
          <w:lang w:val="ru-RU"/>
        </w:rPr>
        <w:t>жу Б. Гонсалес (Испания) председателем, а г-на Дж. Ашурста (Австралия) и г-на П. Ондрачека (Чешская Республика) заместителями председателя Постоянного комитета.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5.2</w:t>
      </w:r>
      <w:r w:rsidRPr="00187261">
        <w:rPr>
          <w:lang w:val="ru-RU"/>
        </w:rPr>
        <w:tab/>
      </w:r>
      <w:r w:rsidRPr="00187261">
        <w:rPr>
          <w:b/>
          <w:bCs/>
          <w:lang w:val="ru-RU"/>
        </w:rPr>
        <w:t>Г-жа Б. Гонсалес, г-н Дж. Ашурст и г-н П. Ондрачек избираются путем аккламации</w:t>
      </w:r>
      <w:r w:rsidRPr="00187261">
        <w:rPr>
          <w:lang w:val="ru-RU"/>
        </w:rPr>
        <w:t>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5.3</w:t>
      </w:r>
      <w:r w:rsidRPr="00187261">
        <w:rPr>
          <w:lang w:val="ru-RU"/>
        </w:rPr>
        <w:tab/>
        <w:t>Председатель благодарит г-на </w:t>
      </w:r>
      <w:r w:rsidR="00D144F5">
        <w:rPr>
          <w:lang w:val="ru-RU"/>
        </w:rPr>
        <w:t xml:space="preserve">Р. Гонсалеса </w:t>
      </w:r>
      <w:r w:rsidRPr="00187261">
        <w:rPr>
          <w:lang w:val="ru-RU"/>
        </w:rPr>
        <w:t>Бустаманте (Мексика) за отличную работу в качестве председателя Постоянного комитета в течение 2009 и 2010 годов.</w:t>
      </w:r>
    </w:p>
    <w:p w:rsidR="00740168" w:rsidRPr="00187261" w:rsidRDefault="00740168" w:rsidP="00740168">
      <w:pPr>
        <w:pStyle w:val="Heading1"/>
        <w:rPr>
          <w:lang w:val="ru-RU"/>
        </w:rPr>
      </w:pPr>
      <w:r w:rsidRPr="00187261">
        <w:rPr>
          <w:lang w:val="ru-RU"/>
        </w:rPr>
        <w:lastRenderedPageBreak/>
        <w:t>6</w:t>
      </w:r>
      <w:r w:rsidRPr="00187261">
        <w:rPr>
          <w:lang w:val="ru-RU"/>
        </w:rPr>
        <w:tab/>
        <w:t xml:space="preserve">Решения сессии Совета 2010 года, в которых содержится призыв </w:t>
      </w:r>
      <w:r w:rsidRPr="00187261">
        <w:rPr>
          <w:lang w:val="ru-RU"/>
        </w:rPr>
        <w:br/>
        <w:t>к принятию мер на внеочередной сессии Совета (</w:t>
      </w:r>
      <w:r w:rsidR="005D74B2" w:rsidRPr="00187261">
        <w:rPr>
          <w:lang w:val="ru-RU"/>
        </w:rPr>
        <w:t>Документы </w:t>
      </w:r>
      <w:r w:rsidRPr="00187261">
        <w:rPr>
          <w:lang w:val="ru-RU"/>
        </w:rPr>
        <w:t>C-EXT/2 и C</w:t>
      </w:r>
      <w:r w:rsidRPr="00187261">
        <w:rPr>
          <w:lang w:val="ru-RU"/>
        </w:rPr>
        <w:noBreakHyphen/>
        <w:t>EXT/4)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Сроки и продолжительность сессии Совета 2011 года (Документ C-EXT/2)</w:t>
      </w:r>
    </w:p>
    <w:p w:rsidR="00740168" w:rsidRPr="00187261" w:rsidRDefault="00740168" w:rsidP="005D74B2">
      <w:pPr>
        <w:rPr>
          <w:lang w:val="ru-RU"/>
        </w:rPr>
      </w:pPr>
      <w:r w:rsidRPr="00187261">
        <w:rPr>
          <w:lang w:val="ru-RU"/>
        </w:rPr>
        <w:t>6.1</w:t>
      </w:r>
      <w:r w:rsidRPr="00187261">
        <w:rPr>
          <w:lang w:val="ru-RU"/>
        </w:rPr>
        <w:tab/>
        <w:t>Представляя Документ C-EXT/2, Секретарь пленарного заседания напоминает, что очередная сессия Совета 2010 года не приняла решения относительно сроков проведения своей следующей сессии, предпочитая дождаться решения ПК-10 в рамках Резолюции 153 (Пересм. Гвадалахара, 2010 г.) по графику проведения сессий Совета и полномочных конференций. В настоящее время предлагаются представленные в форме проекта решения, которое содержится в приложении к Документу C-EXT/2, сро</w:t>
      </w:r>
      <w:r w:rsidR="005D74B2" w:rsidRPr="00187261">
        <w:rPr>
          <w:lang w:val="ru-RU"/>
        </w:rPr>
        <w:t>к</w:t>
      </w:r>
      <w:r w:rsidRPr="00187261">
        <w:rPr>
          <w:lang w:val="ru-RU"/>
        </w:rPr>
        <w:t>и проведения: 11–21 октября 2011 года, продолжительность – 8 рабочих дней.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6.2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говорит, что было бы предпочтительным проводить очередную сессию Совета во втором квартале года, с тем чтобы не ожидать неоправданно долго пересмотра финансов Союза за предыдущий год.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6.3</w:t>
      </w:r>
      <w:r w:rsidRPr="00187261">
        <w:rPr>
          <w:lang w:val="ru-RU"/>
        </w:rPr>
        <w:tab/>
        <w:t xml:space="preserve">Председатель Комитета 6 (Администрирование и управление) ПК-10 отмечает, что Внешний аудитор должен составить требуемые отчеты до июля. Следовательно, желательно было бы проводить сессию Совета позднее в течение года. Другой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 соглашается, добавив, что было бы также целесообразным проводить очередную сессию Совета в более поздние сроки, с тем чтобы иметь возможность более эффективно решать вопросы, связанные с бюджетом на предстоящий год.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6.4</w:t>
      </w:r>
      <w:r w:rsidRPr="00187261">
        <w:rPr>
          <w:lang w:val="ru-RU"/>
        </w:rPr>
        <w:tab/>
        <w:t>Генеральный секретарь поддерживает предложение о проведении сессии совета во втором квартале, для того чтобы обеспечить стабильность графика проведения ежегодных сессий и не вносить в этот график изменений в годы проведения полномочной конференции. Союз будет искать нового внешнего аудитора и может запросить представление отчетов в более ранний период года.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6.5</w:t>
      </w:r>
      <w:r w:rsidRPr="00187261">
        <w:rPr>
          <w:lang w:val="ru-RU"/>
        </w:rPr>
        <w:tab/>
        <w:t xml:space="preserve">Несколько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полагают, что следует провести дальнейшее рассмотрение вопроса о графике проведения очередных сессий Совета. Руководитель </w:t>
      </w:r>
      <w:r w:rsidR="005D74B2" w:rsidRPr="00187261">
        <w:rPr>
          <w:lang w:val="ru-RU"/>
        </w:rPr>
        <w:t xml:space="preserve">Отдела </w:t>
      </w:r>
      <w:r w:rsidRPr="00187261">
        <w:rPr>
          <w:lang w:val="ru-RU"/>
        </w:rPr>
        <w:t>корпоративного управления и связей с членами указывает, что Резолюция 153 (Пересм. Гвадалахара, 2010 г.) оставляет выбор сроков за самим Советом.</w:t>
      </w:r>
    </w:p>
    <w:p w:rsidR="00740168" w:rsidRPr="00187261" w:rsidRDefault="00740168" w:rsidP="00866B0F">
      <w:pPr>
        <w:rPr>
          <w:lang w:val="ru-RU"/>
        </w:rPr>
      </w:pPr>
      <w:r w:rsidRPr="00187261">
        <w:rPr>
          <w:lang w:val="ru-RU"/>
        </w:rPr>
        <w:t>6.6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говорит, что было бы благоразумным провести сессию Совета 2011 года в октябре, как предлагается, так как Совет сможет проанализировать ход выполнения решений ПК</w:t>
      </w:r>
      <w:r w:rsidR="00866B0F" w:rsidRPr="00187261">
        <w:rPr>
          <w:lang w:val="ru-RU"/>
        </w:rPr>
        <w:noBreakHyphen/>
      </w:r>
      <w:r w:rsidRPr="00187261">
        <w:rPr>
          <w:lang w:val="ru-RU"/>
        </w:rPr>
        <w:t xml:space="preserve">10. Другие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ки также поддерживают предложенные сроки.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6.7</w:t>
      </w:r>
      <w:r w:rsidRPr="00187261">
        <w:rPr>
          <w:lang w:val="ru-RU"/>
        </w:rPr>
        <w:tab/>
        <w:t xml:space="preserve">В соответствии с предложением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b/>
          <w:bCs/>
          <w:lang w:val="ru-RU"/>
        </w:rPr>
        <w:t xml:space="preserve">принимается </w:t>
      </w:r>
      <w:r w:rsidRPr="00187261">
        <w:rPr>
          <w:lang w:val="ru-RU"/>
        </w:rPr>
        <w:t>решение</w:t>
      </w:r>
      <w:r w:rsidRPr="00187261">
        <w:rPr>
          <w:b/>
          <w:bCs/>
          <w:lang w:val="ru-RU"/>
        </w:rPr>
        <w:t xml:space="preserve"> </w:t>
      </w:r>
      <w:r w:rsidRPr="00187261">
        <w:rPr>
          <w:lang w:val="ru-RU"/>
        </w:rPr>
        <w:t>о том, что вопрос о графике проведения очередных сессий Совета должны быть повторно поднят на сессии Совета 2011 года.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6.8</w:t>
      </w:r>
      <w:r w:rsidRPr="00187261">
        <w:rPr>
          <w:lang w:val="ru-RU"/>
        </w:rPr>
        <w:tab/>
        <w:t xml:space="preserve">В качестве срока проведения Совета-11 </w:t>
      </w:r>
      <w:r w:rsidRPr="00187261">
        <w:rPr>
          <w:b/>
          <w:lang w:val="ru-RU"/>
        </w:rPr>
        <w:t xml:space="preserve">утверждается </w:t>
      </w:r>
      <w:r w:rsidRPr="00187261">
        <w:rPr>
          <w:lang w:val="ru-RU"/>
        </w:rPr>
        <w:t xml:space="preserve">срок 11–21 октября 2011 года, и проект решения о сроках и продолжительности Совета-11 </w:t>
      </w:r>
      <w:r w:rsidRPr="00187261">
        <w:rPr>
          <w:b/>
          <w:lang w:val="ru-RU"/>
        </w:rPr>
        <w:t>принимается</w:t>
      </w:r>
      <w:r w:rsidRPr="00187261">
        <w:rPr>
          <w:lang w:val="ru-RU"/>
        </w:rPr>
        <w:t>.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Мероприятия ITU TELECOM (Резолюция 11 ПК-10)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6.9</w:t>
      </w:r>
      <w:r w:rsidRPr="00187261">
        <w:rPr>
          <w:lang w:val="ru-RU"/>
        </w:rPr>
        <w:tab/>
        <w:t>Генеральный директор ITU TELECOM говорит, что в Резолюции 11 (Пересм. Гвадалахара, 2010 г.) для мероприятий TELECOM предусмотрен открытый и прозрачный конкурсный процесс на основе типового соглашения с принимающей страной, утвержденного Советом. Совет обсуждал, но еще не утвердил такое соглашение, поэтому важно найти возможность для продвижения вперед.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6.10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предлагает создать специальную группу Постоянного комитета Совета по администрированию и управлению для рассмотрения этого вопроса, с тем чтобы обеспечить возможность принятия Советом решения в начале своей сессии 2011 года. Это предложение поддерживает другой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к, указывая, что для подготовки успешного мероприятия необходим период не менее двух лет.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lastRenderedPageBreak/>
        <w:t>6.11</w:t>
      </w:r>
      <w:r w:rsidRPr="00187261">
        <w:rPr>
          <w:lang w:val="ru-RU"/>
        </w:rPr>
        <w:tab/>
        <w:t xml:space="preserve">Генеральный секретарь говорит, что для финансового успеха мероприятий TELECOM необходима гибкость при переговорах с принимающими странами. Мероприятия TELECOM эволюционируют, поэтому типовое соглашение с принимающей страной должно быть динамичным документом, при этом любые изменения, вносимые в него, доводятся до сведения Совета. 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6.12</w:t>
      </w:r>
      <w:r w:rsidRPr="00187261">
        <w:rPr>
          <w:lang w:val="ru-RU"/>
        </w:rPr>
        <w:tab/>
        <w:t xml:space="preserve">Ряд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соглашаются с тем, что необходима гибкость типового соглашения с принимающей страной и признают неотложную потребность в утверждении его текста Советом.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6.13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указывает, что Резолюция 11 не будет применяться к мероприятиям TELECOM в 2011 и 2012 годах. Следовательно, если Совет примет типовое соглашение на своей сессии 2011 года в октябре, останется достаточно времени для подготовки к мероприятию 2013 года.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6.14</w:t>
      </w:r>
      <w:r w:rsidRPr="00187261">
        <w:rPr>
          <w:lang w:val="ru-RU"/>
        </w:rPr>
        <w:tab/>
        <w:t xml:space="preserve">Другой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 говорит, что должно быть четко предусмотрено, что любое такое соглашение заключается исключительно по "взаимному согласию с приглашающим правительством".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6.15</w:t>
      </w:r>
      <w:r w:rsidRPr="00187261">
        <w:rPr>
          <w:lang w:val="ru-RU"/>
        </w:rPr>
        <w:tab/>
        <w:t xml:space="preserve">По предложению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b/>
          <w:lang w:val="ru-RU"/>
        </w:rPr>
        <w:t xml:space="preserve">принимается </w:t>
      </w:r>
      <w:r w:rsidRPr="00187261">
        <w:rPr>
          <w:lang w:val="ru-RU"/>
        </w:rPr>
        <w:t>решение о том, что существующий проект соглашения с принимающей страной следует использовать как руководящий документ для мероприятий TELECOM в 2011 и 2012 годах, что специальной рабочей группе Совета следует работать над текстом, с тем чтобы представить его на утверждение Совету-11, и что любое соглашение с принимающей страной должно основываться на взаимном согласии между ITU TELECOM и приглашающим правительством.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Состав Комитета по пенсионному обеспечению персонала МСЭ (Документ C-EXT/4)</w:t>
      </w:r>
    </w:p>
    <w:p w:rsidR="00740168" w:rsidRPr="00187261" w:rsidRDefault="00740168" w:rsidP="00866B0F">
      <w:pPr>
        <w:rPr>
          <w:lang w:val="ru-RU"/>
        </w:rPr>
      </w:pPr>
      <w:r w:rsidRPr="00187261">
        <w:rPr>
          <w:lang w:val="ru-RU"/>
        </w:rPr>
        <w:t>6.16</w:t>
      </w:r>
      <w:r w:rsidRPr="00187261">
        <w:rPr>
          <w:lang w:val="ru-RU"/>
        </w:rPr>
        <w:tab/>
        <w:t>Руководитель Департамента администрирования и финансов, представляя Документ C</w:t>
      </w:r>
      <w:r w:rsidR="00866B0F" w:rsidRPr="00187261">
        <w:rPr>
          <w:lang w:val="ru-RU"/>
        </w:rPr>
        <w:noBreakHyphen/>
      </w:r>
      <w:r w:rsidRPr="00187261">
        <w:rPr>
          <w:lang w:val="ru-RU"/>
        </w:rPr>
        <w:t>EXT/4, говорит, что Комитет по пенсионному обеспечению персонала МСЭ состоит из членов, представляющих Государства-Члены, руководство и персонал. Традиционно Совет был представлен отдельными лицами, однако в проекте резолюции по членству в Комитете по пенсионному обеспечению персонала МСЭ (приложение к Документу C-EXT/4) предусматривается выбор шести Государств-Членов из числа Государств – Членов Совета: три государства для назначения представителей, действующих в качестве членов Комитета по пенсионному обеспечению персонала МСЭ, и три государства для назначения представителей, действующих в качестве заместителей. Учитывая, что мандаты конкретных лиц – членов Комитета по пенсионному обеспечению еще не истекли, их соответствующие страны будут сразу включены в проект резолюции: Италия и Болгария в качестве членов Комитета по пенсионному обеспечению, Гана, Мексика и Индия – в качестве заместителей. В качестве третьего члена Комитета по пенсионному обеспечению будет предложена Канада, однако решение будет приниматься на очередной сессии Совета.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6.17</w:t>
      </w:r>
      <w:r w:rsidRPr="00187261">
        <w:rPr>
          <w:lang w:val="ru-RU"/>
        </w:rPr>
        <w:tab/>
        <w:t xml:space="preserve">При этом понимании проект резолюции, содержащийся в приложении к Документу C-EXT/4, </w:t>
      </w:r>
      <w:r w:rsidRPr="00187261">
        <w:rPr>
          <w:b/>
          <w:lang w:val="ru-RU"/>
        </w:rPr>
        <w:t>принимается</w:t>
      </w:r>
      <w:r w:rsidRPr="00187261">
        <w:rPr>
          <w:lang w:val="ru-RU"/>
        </w:rPr>
        <w:t>.</w:t>
      </w:r>
    </w:p>
    <w:p w:rsidR="00740168" w:rsidRPr="00187261" w:rsidRDefault="00740168" w:rsidP="00866B0F">
      <w:pPr>
        <w:pStyle w:val="Heading1"/>
        <w:rPr>
          <w:lang w:val="ru-RU"/>
        </w:rPr>
      </w:pPr>
      <w:r w:rsidRPr="00187261">
        <w:rPr>
          <w:lang w:val="ru-RU"/>
        </w:rPr>
        <w:t>7</w:t>
      </w:r>
      <w:r w:rsidRPr="00187261">
        <w:rPr>
          <w:lang w:val="ru-RU"/>
        </w:rPr>
        <w:tab/>
        <w:t xml:space="preserve">Решения Полномочной конференции, в которых содержится призыв </w:t>
      </w:r>
      <w:r w:rsidRPr="00187261">
        <w:rPr>
          <w:lang w:val="ru-RU"/>
        </w:rPr>
        <w:br/>
        <w:t>к принятию мер на внеочередной сессии Совета (</w:t>
      </w:r>
      <w:r w:rsidR="00866B0F" w:rsidRPr="00187261">
        <w:rPr>
          <w:lang w:val="ru-RU"/>
        </w:rPr>
        <w:t>Документ</w:t>
      </w:r>
      <w:r w:rsidRPr="00187261">
        <w:rPr>
          <w:lang w:val="ru-RU"/>
        </w:rPr>
        <w:t xml:space="preserve"> C-EXT/3)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Рабочая группа Совета по стабильному Уставу (Резолюция COM5/1 ПК-10)</w:t>
      </w:r>
    </w:p>
    <w:p w:rsidR="00740168" w:rsidRPr="00187261" w:rsidRDefault="00740168" w:rsidP="005D74B2">
      <w:pPr>
        <w:rPr>
          <w:lang w:val="ru-RU"/>
        </w:rPr>
      </w:pPr>
      <w:r w:rsidRPr="00187261">
        <w:rPr>
          <w:lang w:val="ru-RU"/>
        </w:rPr>
        <w:t>7.1</w:t>
      </w:r>
      <w:r w:rsidRPr="00187261">
        <w:rPr>
          <w:lang w:val="ru-RU"/>
        </w:rPr>
        <w:tab/>
        <w:t xml:space="preserve">Генеральный секретарь говорит, что несмотря на проводимые после принятия ПК-10 Резолюции COM5/1 (Гвадалахара, 2010 г.) о создании рабочей группы Совета по стабильному уставу МСЭ неофициальные консультации, до сих пор не удалось достичь консенсуса относительно кого-либо из числа предложенных к настоящему времени весьма компетентных кандидатов на пост председателя этой группы. По мнению оратора, важно, чтобы один человек возглавлял данную группу в течение четырех лет до следующей полномочной конференции, вместо того, чтобы делить </w:t>
      </w:r>
      <w:r w:rsidRPr="00187261">
        <w:rPr>
          <w:lang w:val="ru-RU"/>
        </w:rPr>
        <w:lastRenderedPageBreak/>
        <w:t>председательство на два двухгодичных срока. Выступающий подчеркивает, что председатель и заместители председателя этой группы, которые будут избраны с учетом регионального баланса, должны будут работать в интересах Союза, а не как представители своих регионов.</w:t>
      </w:r>
    </w:p>
    <w:p w:rsidR="00740168" w:rsidRPr="00187261" w:rsidRDefault="00740168" w:rsidP="00D144F5">
      <w:pPr>
        <w:rPr>
          <w:lang w:val="ru-RU"/>
        </w:rPr>
      </w:pPr>
      <w:r w:rsidRPr="00187261">
        <w:rPr>
          <w:lang w:val="ru-RU"/>
        </w:rPr>
        <w:t>7.2</w:t>
      </w:r>
      <w:r w:rsidRPr="00187261">
        <w:rPr>
          <w:lang w:val="ru-RU"/>
        </w:rPr>
        <w:tab/>
        <w:t xml:space="preserve">По предложению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b/>
          <w:lang w:val="ru-RU"/>
        </w:rPr>
        <w:t>принимается</w:t>
      </w:r>
      <w:r w:rsidRPr="00187261">
        <w:rPr>
          <w:lang w:val="ru-RU"/>
        </w:rPr>
        <w:t xml:space="preserve"> решение создать рабочую группу Совета по стабильному Уставу (РГС/СТБ-У), открытую для всех Государств-Членов, и поручить Генеральному секретарю продолжить неофициальные консультации, с тем чтобы Совет мог </w:t>
      </w:r>
      <w:r w:rsidR="00D144F5">
        <w:rPr>
          <w:lang w:val="ru-RU"/>
        </w:rPr>
        <w:t xml:space="preserve">принять решение </w:t>
      </w:r>
      <w:r w:rsidR="00D144F5" w:rsidRPr="00187261">
        <w:rPr>
          <w:lang w:val="ru-RU"/>
        </w:rPr>
        <w:t xml:space="preserve">по переписке </w:t>
      </w:r>
      <w:r w:rsidRPr="00187261">
        <w:rPr>
          <w:lang w:val="ru-RU"/>
        </w:rPr>
        <w:t>относительно председателя и заместителей председателя данной группы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7.3</w:t>
      </w:r>
      <w:r w:rsidRPr="00187261">
        <w:rPr>
          <w:lang w:val="ru-RU"/>
        </w:rPr>
        <w:tab/>
        <w:t xml:space="preserve">Несколько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предлагают критерии для выбора председателя и заместителей председателя рабочей группы в дополнение к основным требованиям в отношении компетенции и регионального баланса. Эти критерии включают гендерный баланс, опыт в области регуляторной деятельности Союза и качества руководителя. 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предлагает, чтобы назначаемые были из Государств – Членов Совета, другой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 предлагает, чтобы было шесть заместителей председателя, представляющих региональные организации.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7.4</w:t>
      </w:r>
      <w:r w:rsidRPr="00187261">
        <w:rPr>
          <w:lang w:val="ru-RU"/>
        </w:rPr>
        <w:tab/>
        <w:t>Председатель заверяет, что эти замечания будут учтены.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Программа добровольного ухода со службы и досрочного выхода на пенсию (Документ C</w:t>
      </w:r>
      <w:r w:rsidRPr="00187261">
        <w:rPr>
          <w:lang w:val="ru-RU"/>
        </w:rPr>
        <w:noBreakHyphen/>
        <w:t>EXT/3)</w:t>
      </w:r>
    </w:p>
    <w:p w:rsidR="00740168" w:rsidRPr="00187261" w:rsidRDefault="00740168" w:rsidP="00866B0F">
      <w:pPr>
        <w:rPr>
          <w:lang w:val="ru-RU"/>
        </w:rPr>
      </w:pPr>
      <w:r w:rsidRPr="00187261">
        <w:rPr>
          <w:lang w:val="ru-RU"/>
        </w:rPr>
        <w:t>7.5</w:t>
      </w:r>
      <w:r w:rsidRPr="00187261">
        <w:rPr>
          <w:lang w:val="ru-RU"/>
        </w:rPr>
        <w:tab/>
        <w:t>Руководитель Департамента администрирования и финансов представляет Документ C</w:t>
      </w:r>
      <w:r w:rsidR="00866B0F" w:rsidRPr="00187261">
        <w:rPr>
          <w:lang w:val="ru-RU"/>
        </w:rPr>
        <w:noBreakHyphen/>
      </w:r>
      <w:r w:rsidRPr="00187261">
        <w:rPr>
          <w:lang w:val="ru-RU"/>
        </w:rPr>
        <w:t xml:space="preserve">EXT/3, привлекая внимание к содержащемуся в приложении проекту решения, в котором Генеральному секретарю поручается осуществить программу добровольного ухода со службы и досрочного выхода на пенсию и разрешается снятие для этой цели </w:t>
      </w:r>
      <w:r w:rsidRPr="00187261">
        <w:rPr>
          <w:bCs/>
          <w:lang w:val="ru-RU"/>
        </w:rPr>
        <w:t>максимум 3 млн. швейцарских франков с Резервного счета</w:t>
      </w:r>
      <w:r w:rsidRPr="00187261">
        <w:rPr>
          <w:lang w:val="ru-RU"/>
        </w:rPr>
        <w:t xml:space="preserve">. Отвечая на вопрос одного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ков, оратор говорит, что платежи персоналу будут согласовываться на основе Положений о персонале и Правил о персонале.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7.6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поддерживает предложенное решение, но подчеркивает, что эта программа не должна привести к снижению уровня компетентности в Союзе. Председатель добавляет, что для сохранения персонала критерием должна служить целесообразность, независимо от возраста. </w:t>
      </w:r>
    </w:p>
    <w:p w:rsidR="00740168" w:rsidRPr="00187261" w:rsidRDefault="00740168" w:rsidP="00740168">
      <w:pPr>
        <w:rPr>
          <w:b/>
          <w:lang w:val="ru-RU"/>
        </w:rPr>
      </w:pPr>
      <w:r w:rsidRPr="00187261">
        <w:rPr>
          <w:lang w:val="ru-RU"/>
        </w:rPr>
        <w:t>7.7</w:t>
      </w:r>
      <w:r w:rsidRPr="00187261">
        <w:rPr>
          <w:lang w:val="ru-RU"/>
        </w:rPr>
        <w:tab/>
        <w:t xml:space="preserve">Проект решения, представленный в приложении к Документу C-EXT/3, </w:t>
      </w:r>
      <w:r w:rsidRPr="00187261">
        <w:rPr>
          <w:b/>
          <w:lang w:val="ru-RU"/>
        </w:rPr>
        <w:t>принимается</w:t>
      </w:r>
      <w:r w:rsidRPr="00187261">
        <w:rPr>
          <w:lang w:val="ru-RU"/>
        </w:rPr>
        <w:t>.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 xml:space="preserve">Независимый консультативный комитет по управлению 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7.8</w:t>
      </w:r>
      <w:r w:rsidRPr="00187261">
        <w:rPr>
          <w:lang w:val="ru-RU"/>
        </w:rPr>
        <w:tab/>
        <w:t xml:space="preserve">Председатель Комитета 6 (Администрирование и управление) ПК-10 напоминает, что ПК-10 приняла Резолюцию COM6/2 (Гвадалахара, 2010 г.) о новом </w:t>
      </w:r>
      <w:r w:rsidR="005D74B2" w:rsidRPr="00187261">
        <w:rPr>
          <w:lang w:val="ru-RU"/>
        </w:rPr>
        <w:t xml:space="preserve">Независимом </w:t>
      </w:r>
      <w:r w:rsidRPr="00187261">
        <w:rPr>
          <w:lang w:val="ru-RU"/>
        </w:rPr>
        <w:t xml:space="preserve">консультативном комитете по управлению (IMAC), и предлагает, что, для продвижения вперед, Группе Совета по Финансовому регламенту и </w:t>
      </w:r>
      <w:r w:rsidRPr="00187261">
        <w:rPr>
          <w:rFonts w:cs="TimesNewRomanPSMT"/>
          <w:lang w:val="ru-RU" w:eastAsia="zh-CN"/>
        </w:rPr>
        <w:t>связанным с ним вопросам управления финансами</w:t>
      </w:r>
      <w:r w:rsidRPr="00187261">
        <w:rPr>
          <w:lang w:val="ru-RU"/>
        </w:rPr>
        <w:t xml:space="preserve"> (ФИНРЕГ) следует приступить к решению этого вопроса.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7.9</w:t>
      </w:r>
      <w:r w:rsidRPr="00187261">
        <w:rPr>
          <w:lang w:val="ru-RU"/>
        </w:rPr>
        <w:tab/>
        <w:t>Руководитель Департамента администрирования и финансов говорит, что к Совету косвенно была обращена просьба дать начало подготовительной работе в отношении IMAC при том понимании, что Группа ФИНРЕГ представит отчет Совету в 2011 году, который далее примет необходимые решения.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7.10</w:t>
      </w:r>
      <w:r w:rsidRPr="00187261">
        <w:rPr>
          <w:lang w:val="ru-RU"/>
        </w:rPr>
        <w:tab/>
        <w:t xml:space="preserve">Несколько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выражают обеспокоенность в связи с немедленным созданием новой группы, учитывая, что Совет-11 в соответствии с Решением COM5/1 (Гвадалахара, 2010 г.) должен будет принять решение относительно создания рабочих групп Совета и управления ими. 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говорит, что подготовительная работа по IMAC должна рассматриваться как предварительная.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7.11</w:t>
      </w:r>
      <w:r w:rsidRPr="00187261">
        <w:rPr>
          <w:lang w:val="ru-RU"/>
        </w:rPr>
        <w:tab/>
        <w:t xml:space="preserve">Один из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ков предлагает, что подготовительную работу по новому комитету IMAC – и, безусловно, всю работу групп Совета – следует выполнять с помощью электронных средств в соответствии с Резолюцией COM6/6 (Гвадалахара, 2010 г.). Другой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 добавляет, что </w:t>
      </w:r>
      <w:r w:rsidRPr="00187261">
        <w:rPr>
          <w:lang w:val="ru-RU"/>
        </w:rPr>
        <w:lastRenderedPageBreak/>
        <w:t xml:space="preserve">непрерывное существование всех групп Совета следует подтверждать на временной основе в соответствии с решением Совета-11. 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7.12</w:t>
      </w:r>
      <w:r w:rsidRPr="00187261">
        <w:rPr>
          <w:lang w:val="ru-RU"/>
        </w:rPr>
        <w:tab/>
        <w:t xml:space="preserve">Несколько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ков поддерживают предложение о поручении Группе ФИНРЕГ подготовительной работы по IMAC.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7.13</w:t>
      </w:r>
      <w:r w:rsidRPr="00187261">
        <w:rPr>
          <w:lang w:val="ru-RU"/>
        </w:rPr>
        <w:tab/>
        <w:t>Председатель полагает, что Совет желает разрешить Группе ФИНРЕГ выполнение подготовительной работы по новому независимому консультативному комитету, используя электронные средства, при том понимании, что результаты этой работы – и также непрерывное существование всех групп Совета – будет по-прежнему носить временный характер и регулироваться решением Совета, принятым на его сессии 2011 года.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7.14</w:t>
      </w:r>
      <w:r w:rsidRPr="00187261">
        <w:rPr>
          <w:lang w:val="ru-RU"/>
        </w:rPr>
        <w:tab/>
        <w:t xml:space="preserve">Это предложение </w:t>
      </w:r>
      <w:r w:rsidRPr="00187261">
        <w:rPr>
          <w:b/>
          <w:lang w:val="ru-RU"/>
        </w:rPr>
        <w:t>принимается</w:t>
      </w:r>
      <w:r w:rsidR="00A9131C" w:rsidRPr="00187261">
        <w:rPr>
          <w:lang w:val="ru-RU"/>
        </w:rPr>
        <w:t>.</w:t>
      </w:r>
    </w:p>
    <w:p w:rsidR="00740168" w:rsidRPr="00187261" w:rsidRDefault="00740168" w:rsidP="00740168">
      <w:pPr>
        <w:pStyle w:val="Headingb"/>
        <w:rPr>
          <w:lang w:val="ru-RU"/>
        </w:rPr>
      </w:pPr>
      <w:r w:rsidRPr="00187261">
        <w:rPr>
          <w:lang w:val="ru-RU"/>
        </w:rPr>
        <w:t>Внешняя аудиторская проверка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7.15</w:t>
      </w:r>
      <w:r w:rsidRPr="00187261">
        <w:rPr>
          <w:lang w:val="ru-RU"/>
        </w:rPr>
        <w:tab/>
        <w:t>Председатель Комитета 6 (</w:t>
      </w:r>
      <w:r w:rsidRPr="00187261">
        <w:rPr>
          <w:szCs w:val="24"/>
          <w:lang w:val="ru-RU"/>
        </w:rPr>
        <w:t>Администрирование и управление</w:t>
      </w:r>
      <w:r w:rsidRPr="00187261">
        <w:rPr>
          <w:lang w:val="ru-RU"/>
        </w:rPr>
        <w:t>) ПК-10 напоминает, что при принятии Резолюции 94 (Пересм. Гвадалахара, 2010 г.) о проверке счетов Союза, ПК-10 поручила Генеральному секретарю ввести, когда Совет сочтет это целесообразным, механизмы проведения конкурсов для выбора внешнего аудитора.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7.16</w:t>
      </w:r>
      <w:r w:rsidRPr="00187261">
        <w:rPr>
          <w:lang w:val="ru-RU"/>
        </w:rPr>
        <w:tab/>
        <w:t>Руководитель Департамента администрирования и финансов поясняет, что к внеочередной сессии Совета обращена просьба о разрешении начать конкурсный процесс.</w:t>
      </w:r>
    </w:p>
    <w:p w:rsidR="00740168" w:rsidRPr="00187261" w:rsidRDefault="00740168" w:rsidP="00740168">
      <w:pPr>
        <w:rPr>
          <w:lang w:val="ru-RU"/>
        </w:rPr>
      </w:pPr>
      <w:r w:rsidRPr="00187261">
        <w:rPr>
          <w:lang w:val="ru-RU"/>
        </w:rPr>
        <w:t>7.17</w:t>
      </w:r>
      <w:r w:rsidRPr="00187261">
        <w:rPr>
          <w:lang w:val="ru-RU"/>
        </w:rPr>
        <w:tab/>
        <w:t xml:space="preserve">По предложению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b/>
          <w:bCs/>
          <w:lang w:val="ru-RU"/>
        </w:rPr>
        <w:t xml:space="preserve">принимается </w:t>
      </w:r>
      <w:r w:rsidRPr="00187261">
        <w:rPr>
          <w:lang w:val="ru-RU"/>
        </w:rPr>
        <w:t>решение о том, что Генеральному секретарю следует начать работу в связи с конкурсом для выбора внешнего аудитора, при том понимании, что результаты этой работы будут носить временный характер и регулироваться решением Совета-11.</w:t>
      </w:r>
    </w:p>
    <w:p w:rsidR="00740168" w:rsidRPr="00187261" w:rsidRDefault="00740168" w:rsidP="001761A6">
      <w:pPr>
        <w:pStyle w:val="Heading1"/>
        <w:rPr>
          <w:lang w:val="ru-RU"/>
        </w:rPr>
      </w:pPr>
      <w:r w:rsidRPr="00187261">
        <w:rPr>
          <w:lang w:val="ru-RU"/>
        </w:rPr>
        <w:t>8</w:t>
      </w:r>
      <w:r w:rsidRPr="00187261">
        <w:rPr>
          <w:lang w:val="ru-RU"/>
        </w:rPr>
        <w:tab/>
        <w:t>Закрытие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8.1</w:t>
      </w:r>
      <w:r w:rsidRPr="00187261">
        <w:rPr>
          <w:lang w:val="ru-RU"/>
        </w:rPr>
        <w:tab/>
        <w:t xml:space="preserve">Выразив благодарность синхронным переводчикам за работу, </w:t>
      </w:r>
      <w:r w:rsidR="005D74B2" w:rsidRPr="00187261">
        <w:rPr>
          <w:lang w:val="ru-RU"/>
        </w:rPr>
        <w:t xml:space="preserve">председатель </w:t>
      </w:r>
      <w:r w:rsidRPr="00187261">
        <w:rPr>
          <w:lang w:val="ru-RU"/>
        </w:rPr>
        <w:t>закрывает внеочередную сессию.</w:t>
      </w:r>
    </w:p>
    <w:p w:rsidR="00A9131C" w:rsidRPr="00187261" w:rsidRDefault="00A9131C" w:rsidP="00A9131C">
      <w:pPr>
        <w:rPr>
          <w:lang w:val="ru-RU"/>
        </w:rPr>
      </w:pPr>
    </w:p>
    <w:p w:rsidR="00A9131C" w:rsidRPr="00187261" w:rsidRDefault="00A9131C" w:rsidP="00A9131C">
      <w:pPr>
        <w:rPr>
          <w:lang w:val="ru-RU"/>
        </w:rPr>
      </w:pPr>
    </w:p>
    <w:p w:rsidR="00A9131C" w:rsidRPr="00187261" w:rsidRDefault="00A9131C" w:rsidP="00A9131C">
      <w:pPr>
        <w:rPr>
          <w:lang w:val="ru-RU"/>
        </w:rPr>
      </w:pPr>
    </w:p>
    <w:p w:rsidR="00740168" w:rsidRPr="00187261" w:rsidRDefault="00740168" w:rsidP="00A9131C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  <w:r w:rsidRPr="00187261">
        <w:rPr>
          <w:lang w:val="ru-RU"/>
        </w:rPr>
        <w:t>Генеральный секретарь:</w:t>
      </w:r>
      <w:r w:rsidRPr="00187261">
        <w:rPr>
          <w:lang w:val="ru-RU"/>
        </w:rPr>
        <w:tab/>
        <w:t>Председатель:</w:t>
      </w:r>
      <w:r w:rsidR="00A9131C" w:rsidRPr="00187261">
        <w:rPr>
          <w:lang w:val="ru-RU"/>
        </w:rPr>
        <w:br/>
      </w:r>
      <w:r w:rsidRPr="00187261">
        <w:rPr>
          <w:lang w:val="ru-RU"/>
        </w:rPr>
        <w:t>Х. ТУРЕ</w:t>
      </w:r>
      <w:r w:rsidRPr="00187261">
        <w:rPr>
          <w:lang w:val="ru-RU"/>
        </w:rPr>
        <w:tab/>
        <w:t>Ф. БОРХОН</w:t>
      </w:r>
    </w:p>
    <w:p w:rsidR="00A9131C" w:rsidRPr="00187261" w:rsidRDefault="00A9131C" w:rsidP="00A9131C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</w:p>
    <w:p w:rsidR="00A9131C" w:rsidRPr="00187261" w:rsidRDefault="00A9131C" w:rsidP="00A9131C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</w:p>
    <w:p w:rsidR="00A9131C" w:rsidRPr="00187261" w:rsidRDefault="00A9131C" w:rsidP="00A9131C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</w:p>
    <w:p w:rsidR="00A9131C" w:rsidRPr="00187261" w:rsidRDefault="00A9131C" w:rsidP="00A9131C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lang w:val="ru-RU"/>
        </w:rPr>
      </w:pPr>
    </w:p>
    <w:p w:rsidR="00A9131C" w:rsidRPr="00187261" w:rsidRDefault="00740168" w:rsidP="00A9131C">
      <w:pPr>
        <w:rPr>
          <w:lang w:val="ru-RU"/>
        </w:rPr>
      </w:pPr>
      <w:r w:rsidRPr="00187261">
        <w:rPr>
          <w:b/>
          <w:bCs/>
          <w:lang w:val="ru-RU"/>
        </w:rPr>
        <w:t>Приложения</w:t>
      </w:r>
      <w:r w:rsidRPr="00187261">
        <w:rPr>
          <w:lang w:val="ru-RU"/>
        </w:rPr>
        <w:t>: 2</w:t>
      </w:r>
    </w:p>
    <w:p w:rsidR="00A9131C" w:rsidRPr="00187261" w:rsidRDefault="00A913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ru-RU"/>
        </w:rPr>
      </w:pPr>
      <w:r w:rsidRPr="00187261">
        <w:rPr>
          <w:b/>
          <w:bCs/>
          <w:szCs w:val="24"/>
          <w:lang w:val="ru-RU"/>
        </w:rPr>
        <w:br w:type="page"/>
      </w:r>
    </w:p>
    <w:p w:rsidR="00740168" w:rsidRPr="00187261" w:rsidRDefault="00740168" w:rsidP="00A9131C">
      <w:pPr>
        <w:jc w:val="right"/>
        <w:rPr>
          <w:b/>
          <w:bCs/>
          <w:szCs w:val="24"/>
          <w:lang w:val="ru-RU"/>
        </w:rPr>
      </w:pPr>
      <w:r w:rsidRPr="00187261">
        <w:rPr>
          <w:b/>
          <w:bCs/>
          <w:szCs w:val="24"/>
          <w:lang w:val="ru-RU"/>
        </w:rPr>
        <w:lastRenderedPageBreak/>
        <w:t>Оригинал</w:t>
      </w:r>
      <w:r w:rsidRPr="00187261">
        <w:rPr>
          <w:szCs w:val="24"/>
          <w:lang w:val="ru-RU"/>
        </w:rPr>
        <w:t>: английский</w:t>
      </w:r>
    </w:p>
    <w:p w:rsidR="00740168" w:rsidRPr="00187261" w:rsidRDefault="00740168" w:rsidP="00A9131C">
      <w:pPr>
        <w:pStyle w:val="AnnexNo"/>
        <w:rPr>
          <w:lang w:val="ru-RU"/>
        </w:rPr>
      </w:pPr>
      <w:r w:rsidRPr="00187261">
        <w:rPr>
          <w:lang w:val="ru-RU"/>
        </w:rPr>
        <w:t>Приложение A</w:t>
      </w:r>
    </w:p>
    <w:p w:rsidR="00740168" w:rsidRPr="00187261" w:rsidRDefault="00740168" w:rsidP="00A9131C">
      <w:pPr>
        <w:pStyle w:val="AnnexTitle0"/>
        <w:rPr>
          <w:lang w:val="ru-RU"/>
        </w:rPr>
      </w:pPr>
      <w:r w:rsidRPr="00187261">
        <w:rPr>
          <w:lang w:val="ru-RU"/>
        </w:rPr>
        <w:t xml:space="preserve">Выступление Р.Н. Джха, покидающего свой пост </w:t>
      </w:r>
      <w:r w:rsidR="005D74B2" w:rsidRPr="00187261">
        <w:rPr>
          <w:lang w:val="ru-RU"/>
        </w:rPr>
        <w:t xml:space="preserve">председателя </w:t>
      </w:r>
      <w:r w:rsidRPr="00187261">
        <w:rPr>
          <w:lang w:val="ru-RU"/>
        </w:rPr>
        <w:t>Совета</w:t>
      </w:r>
    </w:p>
    <w:p w:rsidR="00740168" w:rsidRPr="00187261" w:rsidRDefault="00740168" w:rsidP="00A9131C">
      <w:pPr>
        <w:rPr>
          <w:lang w:val="ru-RU"/>
        </w:rPr>
      </w:pPr>
    </w:p>
    <w:p w:rsidR="00A9131C" w:rsidRPr="00187261" w:rsidRDefault="00740168" w:rsidP="00A9131C">
      <w:pPr>
        <w:rPr>
          <w:lang w:val="ru-RU"/>
        </w:rPr>
      </w:pPr>
      <w:r w:rsidRPr="00187261">
        <w:rPr>
          <w:lang w:val="ru-RU"/>
        </w:rPr>
        <w:t>Ваши Превосходительства,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>уважаемые Советни</w:t>
      </w:r>
      <w:r w:rsidRPr="00187261">
        <w:rPr>
          <w:lang w:val="ru-RU"/>
        </w:rPr>
        <w:t>ки,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 xml:space="preserve">достопочтенный </w:t>
      </w:r>
      <w:r w:rsidRPr="00187261">
        <w:rPr>
          <w:lang w:val="ru-RU"/>
        </w:rPr>
        <w:t>Генеральный секретарь,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 xml:space="preserve">достопочтенный </w:t>
      </w:r>
      <w:r w:rsidRPr="00187261">
        <w:rPr>
          <w:lang w:val="ru-RU"/>
        </w:rPr>
        <w:t>заместитель Генерального секретаря,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 xml:space="preserve">достопочтенные </w:t>
      </w:r>
      <w:r w:rsidRPr="00187261">
        <w:rPr>
          <w:lang w:val="ru-RU"/>
        </w:rPr>
        <w:t>Директора Бюро,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 xml:space="preserve">мои </w:t>
      </w:r>
      <w:r w:rsidRPr="00187261">
        <w:rPr>
          <w:lang w:val="ru-RU"/>
        </w:rPr>
        <w:t>уважаемые старшие коллеги,</w:t>
      </w:r>
    </w:p>
    <w:p w:rsidR="00A9131C" w:rsidRPr="00187261" w:rsidRDefault="00A9131C" w:rsidP="00A9131C">
      <w:pPr>
        <w:rPr>
          <w:lang w:val="ru-RU"/>
        </w:rPr>
      </w:pP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Дамы и господа,</w:t>
      </w:r>
      <w:r w:rsidR="00A9131C" w:rsidRPr="00187261">
        <w:rPr>
          <w:lang w:val="ru-RU"/>
        </w:rPr>
        <w:br/>
      </w:r>
      <w:r w:rsidR="005D74B2" w:rsidRPr="00187261">
        <w:rPr>
          <w:lang w:val="ru-RU"/>
        </w:rPr>
        <w:t xml:space="preserve">доброе </w:t>
      </w:r>
      <w:r w:rsidRPr="00187261">
        <w:rPr>
          <w:lang w:val="ru-RU"/>
        </w:rPr>
        <w:t>утро!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Мне очень приятно приветствовать всех вас на первом заседании внеочередной сессии Совета 2011 года. Точнее, я, от имени мой страны, испытываю чувство гордости и привилегированности в связи с тем, что могу приветствовать вас на внеочередной сессии вновь сформированного Совета МСЭ. 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Я хотел бы воспользоваться этой возможностью и сердечно поздравить всех вас с избранием в качестве Государств – Членов Совета на следующие четыре года. Являясь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 xml:space="preserve">ками, мы все должны играть очень важную и конструктивную роль в содействии росту глобального сектора электросвязи, используя столь важную организацию, каковой является МСЭ, на благо человечества, и в особенности миллиардов людей, находящихся в наихудших условиях, качество жизни которых необходимо еще улучшать, для того </w:t>
      </w:r>
      <w:r w:rsidR="00176FAA" w:rsidRPr="00187261">
        <w:rPr>
          <w:lang w:val="ru-RU"/>
        </w:rPr>
        <w:t>чтобы достичь желаемого уровня.</w:t>
      </w:r>
    </w:p>
    <w:p w:rsidR="00740168" w:rsidRPr="00187261" w:rsidRDefault="00740168" w:rsidP="00A9131C">
      <w:pPr>
        <w:spacing w:before="240"/>
        <w:rPr>
          <w:lang w:val="ru-RU"/>
        </w:rPr>
      </w:pPr>
      <w:r w:rsidRPr="00187261">
        <w:rPr>
          <w:lang w:val="ru-RU"/>
        </w:rPr>
        <w:t>Дамы и господа,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Полномочная конференция может рассматриваться как весна МСЭ. Весной природа возрождает деревья к жизни, прорастают зерна, зацветают растения, поют птицы, и вся природа и окружающая среда как будто пребывают в праздничном настроении. Также и полномочная конференция вызывает к жизни новые резолюции, оживляет существующие, порождает новые идеи, формирует новую команду руководства, конечно, новый Совет, а также вызывает новую волну энтузиазма.</w:t>
      </w:r>
    </w:p>
    <w:p w:rsidR="00740168" w:rsidRPr="00187261" w:rsidRDefault="00740168" w:rsidP="003306CA">
      <w:pPr>
        <w:rPr>
          <w:lang w:val="ru-RU"/>
        </w:rPr>
      </w:pPr>
      <w:r w:rsidRPr="00187261">
        <w:rPr>
          <w:lang w:val="ru-RU"/>
        </w:rPr>
        <w:t>Я хотел бы воспользоваться этой возможностью и поздравить доктора Хамадуна Туре с его повторным избранием на пост Генерального секретаря МСЭ. Я сердечно поздравляю г-на Чжао и г</w:t>
      </w:r>
      <w:r w:rsidR="00A9131C" w:rsidRPr="00187261">
        <w:rPr>
          <w:lang w:val="ru-RU"/>
        </w:rPr>
        <w:noBreakHyphen/>
      </w:r>
      <w:r w:rsidRPr="00187261">
        <w:rPr>
          <w:lang w:val="ru-RU"/>
        </w:rPr>
        <w:t>на Джонсона с их повторным избранием. Я также сердечно поздравляю вновь избранных Директоров Бюро – г-на Ранси и г-на </w:t>
      </w:r>
      <w:r w:rsidR="003306CA">
        <w:rPr>
          <w:lang w:val="ru-RU"/>
        </w:rPr>
        <w:t>Сану</w:t>
      </w:r>
      <w:r w:rsidRPr="00187261">
        <w:rPr>
          <w:lang w:val="ru-RU"/>
        </w:rPr>
        <w:t xml:space="preserve"> и желаю им успешной службы в МСЭ. Глубокое удовлетворение вызывает тот факт, что вновь избранные должностные лица МСЭ представляют сочетание обладающих опытом и новых интеллектуальных ресурсов и смогут взглянуть на вопросы во всех ракурсах и помочь МСЭ с блеском выполнять свою миссию.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В течение последнего цикла ПК в секторе электросвязи был достигнут значительный прогресс во всех его аспектах. В этот период происходил экспоненциальный рост услуг подвижной связи второго поколения, которые практически достигли своей точка насыщения; услуги подвижной связи третьего поколения находятся на подъеме, и разворачивается четвертое поколение, вызывая большие надежды и ожидания. Уверен, в течение следующего четырехгодичного цикла во всем мире будет так же экспоненциально расти 3G и вскоре достигнет своей точки насыщения; наступит подъем 4G и </w:t>
      </w:r>
      <w:r w:rsidRPr="00187261">
        <w:rPr>
          <w:lang w:val="ru-RU"/>
        </w:rPr>
        <w:lastRenderedPageBreak/>
        <w:t>начнется развертывание чего-то типа 5G или выше. В ходе этого цикла ПК МСЭ, я уверен, составит четкую технологическую дорожную карту реализации предложенной будущей сети электросвязи и поможет мировому сектору электросвязи перейти на сети последующих поколений.</w:t>
      </w:r>
    </w:p>
    <w:p w:rsidR="00740168" w:rsidRPr="00187261" w:rsidRDefault="005D74B2" w:rsidP="00A9131C">
      <w:pPr>
        <w:spacing w:before="240"/>
        <w:rPr>
          <w:lang w:val="ru-RU"/>
        </w:rPr>
      </w:pPr>
      <w:r w:rsidRPr="00187261">
        <w:rPr>
          <w:lang w:val="ru-RU"/>
        </w:rPr>
        <w:t>Дамы и господа,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Сектор электросвязи в современном рыночном контексте не ограничивается лишь "услугами", в сущности, он составляет сочетание большого числа факторов, потребители смотрят на него в аспекте услуг, предприниматели и операторы – с коммерческой точки зрения, ученые и технические специалисты рассматривают его как сферу ПИС и инноваций. Для правительств этот рынок является важнейшим ресурсом, который может приносить максимальные доходы и так далее и тому подобное. Таким образом, для разных групп населения существуют разные аспекты сектора электросвязи. Согласование интересов каждой группы и выработка долгосрочной политики в соответствии с техническим развитием – это действительно сложная задача, стоящая перед МСЭ. Более того, я бы сказал, что конкуренция на любом рынке обусловливает преимущества для потребителей в отношении качества обслуживания, цен, инноваций в области связи, но в то же время, она может создать и неблагополучную ситуацию, особенно если конкуренция становится слишком жесткой. Поэтому нам следует стремиться определить оптимальный уровень конкуренции на рынке, с тем чтобы обеспечить максимальную пользу.</w:t>
      </w:r>
    </w:p>
    <w:p w:rsidR="00740168" w:rsidRPr="00187261" w:rsidRDefault="005D74B2" w:rsidP="00A9131C">
      <w:pPr>
        <w:spacing w:before="240"/>
        <w:rPr>
          <w:lang w:val="ru-RU"/>
        </w:rPr>
      </w:pPr>
      <w:r w:rsidRPr="00187261">
        <w:rPr>
          <w:lang w:val="ru-RU"/>
        </w:rPr>
        <w:t>Дамы и господа,</w:t>
      </w:r>
    </w:p>
    <w:p w:rsidR="00740168" w:rsidRPr="00187261" w:rsidRDefault="00740168" w:rsidP="0091331C">
      <w:pPr>
        <w:rPr>
          <w:lang w:val="ru-RU"/>
        </w:rPr>
      </w:pPr>
      <w:r w:rsidRPr="00187261">
        <w:rPr>
          <w:lang w:val="ru-RU"/>
        </w:rPr>
        <w:t xml:space="preserve">На простом языке МСЭ – это интеллектуальное учреждение, являющееся движущей и направляющей силой развития сектора электросвязи и ИКТ в целом. И этим определяются обязанности и ответственность Совета МСЭ. Обязанность Совета заключается в контроле над всей работой МСЭ, так чтобы </w:t>
      </w:r>
      <w:r w:rsidR="0091331C">
        <w:rPr>
          <w:lang w:val="ru-RU"/>
        </w:rPr>
        <w:t xml:space="preserve">она </w:t>
      </w:r>
      <w:r w:rsidRPr="00187261">
        <w:rPr>
          <w:lang w:val="ru-RU"/>
        </w:rPr>
        <w:t>оправдыва</w:t>
      </w:r>
      <w:r w:rsidR="0091331C">
        <w:rPr>
          <w:lang w:val="ru-RU"/>
        </w:rPr>
        <w:t>ла</w:t>
      </w:r>
      <w:r w:rsidRPr="00187261">
        <w:rPr>
          <w:lang w:val="ru-RU"/>
        </w:rPr>
        <w:t xml:space="preserve"> ожидания. До тех пор пока Совет находится в боевой готовности, вся работа МСЭ будет согласована и активна точно так, как природа становится активной и пассивной с рассветом и закатом. 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Хотел бы отметить, что благополучная финансовая ситуация всегда является основой успешной деятельности любой организации. И, соответственно, только устойчивый в финансовом отношении МСЭ может играть ведущую роль при выполнении своей миссии и достижении своей цели и обеспечивать мировое сообщество все новыми экономически эффективными услугами электросвязи. Следовательно, настоятельной потребностью является щедрый вклад Членов МСЭ, соответствующий их финансовому потенциалу и возможностям. Последние изменения в резолюции, касающейся класса взносов, обязательно побудят Членов увеличить свой финансовый взнос в МСЭ.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Далее, бесплатный доступ к </w:t>
      </w:r>
      <w:r w:rsidR="005D74B2" w:rsidRPr="00187261">
        <w:rPr>
          <w:lang w:val="ru-RU"/>
        </w:rPr>
        <w:t xml:space="preserve">Рекомендациям </w:t>
      </w:r>
      <w:r w:rsidRPr="00187261">
        <w:rPr>
          <w:lang w:val="ru-RU"/>
        </w:rPr>
        <w:t xml:space="preserve">МСЭ также будет способствовать формированию технических возможностей людей на всей планете и, в конце концов, </w:t>
      </w:r>
      <w:r w:rsidR="005D74B2" w:rsidRPr="00187261">
        <w:rPr>
          <w:lang w:val="ru-RU"/>
        </w:rPr>
        <w:t xml:space="preserve">Рекомендации </w:t>
      </w:r>
      <w:r w:rsidRPr="00187261">
        <w:rPr>
          <w:lang w:val="ru-RU"/>
        </w:rPr>
        <w:t>МСЭ обязательно станут более эффективными.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Кроме того, я лично полагаю, что МСЭ следует проанализировать возможность использования определенных региональных организаций электросвязи для создания целевой массы для предоставления необходимой технической помощи, а не создавать или наращивать свои региональные отделения, расходуя на это значительные средства. Сэкономленные ресурсы могут быть более эффективно использованы для различных проектов развития, осуществляемых МСЭ. </w:t>
      </w:r>
    </w:p>
    <w:p w:rsidR="00740168" w:rsidRPr="00187261" w:rsidRDefault="005D74B2" w:rsidP="00A9131C">
      <w:pPr>
        <w:spacing w:before="240"/>
        <w:rPr>
          <w:lang w:val="ru-RU"/>
        </w:rPr>
      </w:pPr>
      <w:r w:rsidRPr="00187261">
        <w:rPr>
          <w:lang w:val="ru-RU"/>
        </w:rPr>
        <w:t>Дамы и господа,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Я очень внимательно следил за работой пленарного заседания. Как правило, вопросы, обозначенные "квадратными скобками" в проектах резолюций, трудно разрешить. Однако в этот раз я увидел, что Государства-Члены проявили не только огромное стремление найти компромисс, но, я бы сказал, огромное стремление к объединению и достижению взаимопонимания. Глубокое удовлетворение у </w:t>
      </w:r>
      <w:r w:rsidRPr="00187261">
        <w:rPr>
          <w:lang w:val="ru-RU"/>
        </w:rPr>
        <w:lastRenderedPageBreak/>
        <w:t>всех нас вызывает то, что мы все вместе представляем собой единое целое и можем весьма эффективно и действенно избавиться от любых "квадратных скобок".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Я считаю, что такие области, как киберпреступность, киберугрозы, кибербезопасность, безопасность сетей электросвязи, электронное доказательство, электронная криминалистика, ИКТ, требуют разработки материалов по гармонизированным всеобъемлющим исследованиям в области политики и т. д. для решения этих вопросов. Все эти области взаимосвязаны и взаимозависимы. Это требует глубоких и тщательных исследований. Любое учреждение может выполнять исследовательскую работу. Но, несомненно, МСЭ может выполнять исследовательскую работу в этих областях при полномасштабном сотрудничестве с Государствами-Членами. МСЭ, в конце концов, это объединение Государств-Членов, а указанные темы имеют весьма динамичный характер.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Я уверен, что Совет МСЭ, как "мозговой центр", всегда может найти пути и средства для своевременного принятия решений на основе консенсуса и помочь МСЭ подняться высоко. </w:t>
      </w:r>
    </w:p>
    <w:p w:rsidR="00740168" w:rsidRPr="00187261" w:rsidRDefault="005D74B2" w:rsidP="00A9131C">
      <w:pPr>
        <w:spacing w:before="240"/>
        <w:rPr>
          <w:lang w:val="ru-RU"/>
        </w:rPr>
      </w:pPr>
      <w:r w:rsidRPr="00187261">
        <w:rPr>
          <w:lang w:val="ru-RU"/>
        </w:rPr>
        <w:t>Дамы и господа,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Мое пребывание на посту председателя Совета стало для меня периодом обучения. Я накопил значительный опыт в течение этого срока. Являясь узловым центром при организации ВКРЭ в Хайдарабаде, я имел возможность взаимодействовать практически со всеми подразделениями Секретариата МСЭ. Я благодарен Секретариату МСЭ за поддержку и руководящие указания.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Пользуясь этой возможностью, хотел бы выразить особую благодарность сотрудникам МСЭ за масштабное сотрудничество и помощь в течение сессии Совета МСЭ 2010 года и упомянуть хотя бы несколько имен – г-жа Дорин, г-н Ричард Барр, г-жа Элен Барон и г-н Пректам Малур, а также все остальные, кто оказывал мне значительную помощь.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>Я хотел бы воспользоваться этой возможностью, чтобы выразить мою искреннюю благодарность правительству Мексики за тот уровень услуг и гостеприимства, который оно обеспечило для нас в прекрасном городе Гвадалахаре.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Я хотел бы отдельно поблагодарить и выразить свою признательность компетентному и обладающему разносторонними способностями г-ну Фернандо Борхону, который был заместителем председателя Совета, а затем председателем ПК-10, за осуществлявшееся им блестящее руководство. Я также приношу свою глубокую благодарность синхронным переводчикам. </w:t>
      </w:r>
    </w:p>
    <w:p w:rsidR="00740168" w:rsidRPr="00187261" w:rsidRDefault="00740168" w:rsidP="00A9131C">
      <w:pPr>
        <w:rPr>
          <w:lang w:val="ru-RU"/>
        </w:rPr>
      </w:pPr>
      <w:r w:rsidRPr="00187261">
        <w:rPr>
          <w:lang w:val="ru-RU"/>
        </w:rPr>
        <w:t xml:space="preserve">И последнее, но не менее важное, я хотел бы выразить свою глубочайшую признательность покидающим свои посты Директорам Бюро д-ру Тимофееву и г-ну Сами Аль-Баширу за их блестящее руководство и громадный вклад, который они внесли в своих областях деятельности. </w:t>
      </w:r>
    </w:p>
    <w:p w:rsidR="00740168" w:rsidRPr="00187261" w:rsidRDefault="00740168" w:rsidP="00A9131C">
      <w:pPr>
        <w:spacing w:before="240"/>
        <w:rPr>
          <w:lang w:val="ru-RU"/>
        </w:rPr>
      </w:pPr>
      <w:r w:rsidRPr="00187261">
        <w:rPr>
          <w:lang w:val="ru-RU"/>
        </w:rPr>
        <w:t>Благодарю вас и желаю вам всего наилучшего.</w:t>
      </w:r>
    </w:p>
    <w:p w:rsidR="005D74B2" w:rsidRPr="00187261" w:rsidRDefault="00740168" w:rsidP="005D74B2">
      <w:pPr>
        <w:overflowPunct/>
        <w:autoSpaceDE/>
        <w:autoSpaceDN/>
        <w:adjustRightInd/>
        <w:spacing w:before="0"/>
        <w:jc w:val="right"/>
        <w:textAlignment w:val="auto"/>
        <w:rPr>
          <w:lang w:val="ru-RU"/>
        </w:rPr>
      </w:pPr>
      <w:r w:rsidRPr="00187261">
        <w:rPr>
          <w:rFonts w:asciiTheme="minorHAnsi" w:hAnsiTheme="minorHAnsi"/>
          <w:b/>
          <w:bCs/>
          <w:lang w:val="ru-RU"/>
        </w:rPr>
        <w:br w:type="page"/>
      </w:r>
      <w:r w:rsidR="005D74B2" w:rsidRPr="00187261">
        <w:rPr>
          <w:b/>
          <w:bCs/>
          <w:szCs w:val="24"/>
          <w:lang w:val="ru-RU"/>
        </w:rPr>
        <w:lastRenderedPageBreak/>
        <w:t>Оригинал</w:t>
      </w:r>
      <w:r w:rsidR="005D74B2" w:rsidRPr="00187261">
        <w:rPr>
          <w:szCs w:val="24"/>
          <w:lang w:val="ru-RU"/>
        </w:rPr>
        <w:t>: английский</w:t>
      </w:r>
    </w:p>
    <w:p w:rsidR="00740168" w:rsidRPr="00187261" w:rsidRDefault="00740168" w:rsidP="00A9131C">
      <w:pPr>
        <w:pStyle w:val="AnnexNo"/>
        <w:rPr>
          <w:lang w:val="ru-RU"/>
        </w:rPr>
      </w:pPr>
      <w:r w:rsidRPr="00187261">
        <w:rPr>
          <w:lang w:val="ru-RU"/>
        </w:rPr>
        <w:t>Приложение B</w:t>
      </w:r>
    </w:p>
    <w:p w:rsidR="00740168" w:rsidRPr="00187261" w:rsidRDefault="00740168" w:rsidP="00A9131C">
      <w:pPr>
        <w:pStyle w:val="Annextitle"/>
        <w:rPr>
          <w:lang w:val="ru-RU"/>
        </w:rPr>
      </w:pPr>
      <w:r w:rsidRPr="00187261">
        <w:rPr>
          <w:lang w:val="ru-RU"/>
        </w:rPr>
        <w:t>Выступление Генерального секретаря</w:t>
      </w:r>
    </w:p>
    <w:p w:rsidR="00740168" w:rsidRPr="00187261" w:rsidRDefault="00740168" w:rsidP="001761A6">
      <w:pPr>
        <w:rPr>
          <w:lang w:val="ru-RU"/>
        </w:rPr>
      </w:pPr>
      <w:r w:rsidRPr="00187261">
        <w:rPr>
          <w:lang w:val="ru-RU"/>
        </w:rPr>
        <w:t xml:space="preserve">Уважаемые </w:t>
      </w:r>
      <w:r w:rsidR="005D74B2" w:rsidRPr="00187261">
        <w:rPr>
          <w:lang w:val="ru-RU"/>
        </w:rPr>
        <w:t>Советни</w:t>
      </w:r>
      <w:r w:rsidRPr="00187261">
        <w:rPr>
          <w:lang w:val="ru-RU"/>
        </w:rPr>
        <w:t>ки,</w:t>
      </w:r>
      <w:r w:rsidRPr="00187261">
        <w:rPr>
          <w:lang w:val="ru-RU"/>
        </w:rPr>
        <w:br/>
      </w:r>
      <w:r w:rsidR="001761A6" w:rsidRPr="00187261">
        <w:rPr>
          <w:lang w:val="ru-RU"/>
        </w:rPr>
        <w:t xml:space="preserve">дамы </w:t>
      </w:r>
      <w:r w:rsidRPr="00187261">
        <w:rPr>
          <w:lang w:val="ru-RU"/>
        </w:rPr>
        <w:t>и господа,</w:t>
      </w:r>
      <w:r w:rsidR="001761A6">
        <w:rPr>
          <w:lang w:val="ru-RU"/>
        </w:rPr>
        <w:br/>
      </w:r>
      <w:r w:rsidR="001761A6" w:rsidRPr="00187261">
        <w:rPr>
          <w:lang w:val="ru-RU"/>
        </w:rPr>
        <w:t xml:space="preserve">доброе </w:t>
      </w:r>
      <w:r w:rsidRPr="00187261">
        <w:rPr>
          <w:lang w:val="ru-RU"/>
        </w:rPr>
        <w:t>утро!</w:t>
      </w:r>
    </w:p>
    <w:p w:rsidR="00740168" w:rsidRPr="00187261" w:rsidRDefault="00176FAA" w:rsidP="00176FAA">
      <w:pPr>
        <w:pStyle w:val="enumlev1"/>
        <w:rPr>
          <w:lang w:val="ru-RU"/>
        </w:rPr>
      </w:pPr>
      <w:r w:rsidRPr="00187261">
        <w:rPr>
          <w:lang w:val="ru-RU"/>
        </w:rPr>
        <w:t>•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Приветствую всех вас и поздравляю каждого из вас с избранием в Совет МСЭ на ПК-10, здесь, в Гвадалахаре.</w:t>
      </w:r>
    </w:p>
    <w:p w:rsidR="00740168" w:rsidRPr="00187261" w:rsidRDefault="00176FAA" w:rsidP="00176FAA">
      <w:pPr>
        <w:pStyle w:val="enumlev1"/>
        <w:rPr>
          <w:lang w:val="ru-RU"/>
        </w:rPr>
      </w:pPr>
      <w:r w:rsidRPr="00187261">
        <w:rPr>
          <w:lang w:val="ru-RU"/>
        </w:rPr>
        <w:t>•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Особенно мне хотелось бы приветствовать наших новых Членов Совета – Грецию, Кувейт и Польшу, которые возвращаются в Совет после периода отсутствия, и Коста-Рику, Парагвай и Руанду, которые никогда еще не были Членами Совета.</w:t>
      </w:r>
    </w:p>
    <w:p w:rsidR="00740168" w:rsidRPr="00187261" w:rsidRDefault="00176FAA" w:rsidP="00176FAA">
      <w:pPr>
        <w:pStyle w:val="enumlev1"/>
        <w:rPr>
          <w:lang w:val="ru-RU"/>
        </w:rPr>
      </w:pPr>
      <w:r w:rsidRPr="00187261">
        <w:rPr>
          <w:lang w:val="ru-RU"/>
        </w:rPr>
        <w:t>•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 xml:space="preserve">Мы испытываем глубочайшую благодарность к каждому </w:t>
      </w:r>
      <w:r w:rsidR="005D74B2" w:rsidRPr="00187261">
        <w:rPr>
          <w:lang w:val="ru-RU"/>
        </w:rPr>
        <w:t>Советни</w:t>
      </w:r>
      <w:r w:rsidR="00740168" w:rsidRPr="00187261">
        <w:rPr>
          <w:lang w:val="ru-RU"/>
        </w:rPr>
        <w:t>ку за участие и ожидаем четыре года активной и конструктивной работы.</w:t>
      </w:r>
    </w:p>
    <w:p w:rsidR="00740168" w:rsidRPr="00187261" w:rsidRDefault="00176FAA" w:rsidP="00176FAA">
      <w:pPr>
        <w:pStyle w:val="enumlev1"/>
        <w:rPr>
          <w:lang w:val="ru-RU"/>
        </w:rPr>
      </w:pPr>
      <w:r w:rsidRPr="00187261">
        <w:rPr>
          <w:lang w:val="ru-RU"/>
        </w:rPr>
        <w:t>•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Сегодня мы проводим лишь краткое заседание, поэтому я не займу много вашего времени, но хотел бы коротко представить результаты и достижения, которых мы добились за прошедшие три недели здесь, в Гвадалахаре.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 xml:space="preserve">Мы утвердили обоснованные стратегический и финансовый планы на период </w:t>
      </w:r>
      <w:r w:rsidRPr="00187261">
        <w:rPr>
          <w:lang w:val="ru-RU"/>
        </w:rPr>
        <w:br/>
      </w:r>
      <w:r w:rsidR="00740168" w:rsidRPr="00187261">
        <w:rPr>
          <w:lang w:val="ru-RU"/>
        </w:rPr>
        <w:t>2012–2015 годы.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Мы приняли много важных резолюций, самой первой из которых была пересмотренная резолюция об управлении людскими ресурсами и их развитии.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Другие принятые в Гвадалахаре резолюции охватывают следующие темы: обеспечение доступности; ИКТ и изменение климата; укрепление регионального присутствия; меры, способствующие предотвращению незаконного использования сетей электросвязи и злоупотребления ими; соответствие и функциональная совместимость; связь в чрезвычайных ситуациях и гуманитарная помощь; допуск Членов Секторов из развивающихся стран; преодоление разрыва в стандартизации; специальные меры для оказания помощи малым островным развивающимся государствам и развивающимся странам, не имеющим выхода к морю; электронные собрания; и многие другие.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Мы открыли возможность для участия академических организаций в работе Союза.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 xml:space="preserve">Мы создали Рабочую группу Совета для работы над созданием стабильного </w:t>
      </w:r>
      <w:r w:rsidR="005D74B2" w:rsidRPr="00187261">
        <w:rPr>
          <w:lang w:val="ru-RU"/>
        </w:rPr>
        <w:t xml:space="preserve">Устава </w:t>
      </w:r>
      <w:r w:rsidR="00740168" w:rsidRPr="00187261">
        <w:rPr>
          <w:lang w:val="ru-RU"/>
        </w:rPr>
        <w:t>МСЭ.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 xml:space="preserve">Мы согласовали процесс подготовки к ВКМЭ, которая состоится в 2012 году. 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И мы придали новый импульс и новое направление мероприятию ITU TELECOM, которое теперь будет проходить ежегодно на основе конкурентного тендерного процесса.</w:t>
      </w:r>
    </w:p>
    <w:p w:rsidR="00740168" w:rsidRPr="00187261" w:rsidRDefault="00176FAA" w:rsidP="00176FAA">
      <w:pPr>
        <w:pStyle w:val="enumlev2"/>
        <w:rPr>
          <w:lang w:val="ru-RU"/>
        </w:rPr>
      </w:pPr>
      <w:r w:rsidRPr="00187261">
        <w:rPr>
          <w:lang w:val="ru-RU"/>
        </w:rPr>
        <w:t>–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>И последнее, но не менее важное, мы смогли в конце концов достичь компромисса по ряду ключевых резолюций относительно связанных с интернетом вопросов, которые зачастую носили особый характер, но мы смогли их разрешить. Существуют ключевые резолюции по вопросам интернета. Благодаря этому усиливается и приобретает новое значение наша приверженность работе с интернет-сообществом и распространению создаваемых интернетом благ среди всех жителей планеты.</w:t>
      </w:r>
    </w:p>
    <w:p w:rsidR="00740168" w:rsidRPr="00187261" w:rsidRDefault="00176FAA" w:rsidP="00176FAA">
      <w:pPr>
        <w:pStyle w:val="enumlev1"/>
        <w:rPr>
          <w:lang w:val="ru-RU"/>
        </w:rPr>
      </w:pPr>
      <w:r w:rsidRPr="00187261">
        <w:rPr>
          <w:lang w:val="ru-RU"/>
        </w:rPr>
        <w:t>•</w:t>
      </w:r>
      <w:r w:rsidRPr="00187261">
        <w:rPr>
          <w:lang w:val="ru-RU"/>
        </w:rPr>
        <w:tab/>
      </w:r>
      <w:r w:rsidR="00740168" w:rsidRPr="00187261">
        <w:rPr>
          <w:lang w:val="ru-RU"/>
        </w:rPr>
        <w:t xml:space="preserve">Уверен, что с обновленным и расширенным – до 48 мест – Советом мы имеем все возможности выполнить работу, порученную нам Полномочной конференцией, и в течение следующих четырех лет я буду полагаться на консультативную поддержку и руководящие указания Совета. Я также рад сообщить вам, что мы уже опубликовали заключительные акты </w:t>
      </w:r>
      <w:r w:rsidR="00740168" w:rsidRPr="00187261">
        <w:rPr>
          <w:lang w:val="ru-RU"/>
        </w:rPr>
        <w:lastRenderedPageBreak/>
        <w:t>на веб-сайте. Это рекордный срок, в течение которого мы обеспечили наличие заключительных актов в очень хорошем формате, в формате с перелистыванием страниц, вы можете увидеть это на веб-сайте. Уверен, вам это понравится. Бумажная версия выпущена на шести языках, и я должен заметить, что мы работаем очень быстро, и хочу поблагодарить всех, кто работал "за кулисами". Дамы и господа, я хотел бы выразить огромную благодарность всем вам и особую благодарность сотрудникам МСЭ, выполнявшим незаметную работу и наполнившим меня чувством гордости. В течение прошедших четырех лет я получал существенную выгоду благодаря их мудрости и компетентности, которыми я пользовался, и я уверен, что вам понравится то, чт</w:t>
      </w:r>
      <w:r w:rsidRPr="00187261">
        <w:rPr>
          <w:lang w:val="ru-RU"/>
        </w:rPr>
        <w:t>о вы увидите сегодня на Совете.</w:t>
      </w:r>
    </w:p>
    <w:p w:rsidR="00740168" w:rsidRPr="00187261" w:rsidRDefault="00740168" w:rsidP="00176FAA">
      <w:pPr>
        <w:spacing w:before="240"/>
        <w:rPr>
          <w:lang w:val="ru-RU"/>
        </w:rPr>
      </w:pPr>
      <w:r w:rsidRPr="00187261">
        <w:rPr>
          <w:lang w:val="ru-RU"/>
        </w:rPr>
        <w:t>Благодарю вас.</w:t>
      </w:r>
    </w:p>
    <w:sectPr w:rsidR="00740168" w:rsidRPr="00187261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D3" w:rsidRDefault="008A17D3">
      <w:r>
        <w:separator/>
      </w:r>
    </w:p>
  </w:endnote>
  <w:endnote w:type="continuationSeparator" w:id="0">
    <w:p w:rsidR="008A17D3" w:rsidRDefault="008A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D3" w:rsidRPr="00866B0F" w:rsidRDefault="00065947" w:rsidP="00866B0F">
    <w:pPr>
      <w:pStyle w:val="Footer"/>
      <w:rPr>
        <w:szCs w:val="18"/>
      </w:rPr>
    </w:pPr>
    <w:fldSimple w:instr=" FILENAME \p  \* MERGEFORMAT ">
      <w:r w:rsidR="0040333F" w:rsidRPr="0040333F">
        <w:rPr>
          <w:lang w:val="fr-CH"/>
        </w:rPr>
        <w:t>P</w:t>
      </w:r>
      <w:r w:rsidR="0040333F">
        <w:t>:\RUS\SG\CONSEIL\C-EXT\000\008V2R.DOCX</w:t>
      </w:r>
    </w:fldSimple>
    <w:r w:rsidR="008A17D3" w:rsidRPr="005D74B2">
      <w:rPr>
        <w:lang w:val="fr-CH"/>
      </w:rPr>
      <w:t xml:space="preserve"> (298163)</w:t>
    </w:r>
    <w:r w:rsidR="008A17D3" w:rsidRPr="005D74B2">
      <w:rPr>
        <w:lang w:val="fr-CH"/>
      </w:rPr>
      <w:tab/>
    </w:r>
    <w:r>
      <w:fldChar w:fldCharType="begin"/>
    </w:r>
    <w:r w:rsidR="008A17D3">
      <w:instrText xml:space="preserve"> SAVEDATE \@ DD.MM.YY </w:instrText>
    </w:r>
    <w:r>
      <w:fldChar w:fldCharType="separate"/>
    </w:r>
    <w:r w:rsidR="0040333F">
      <w:t>02.12.10</w:t>
    </w:r>
    <w:r>
      <w:fldChar w:fldCharType="end"/>
    </w:r>
    <w:r w:rsidR="008A17D3" w:rsidRPr="005D74B2">
      <w:rPr>
        <w:lang w:val="fr-CH"/>
      </w:rPr>
      <w:tab/>
    </w:r>
    <w:r>
      <w:fldChar w:fldCharType="begin"/>
    </w:r>
    <w:r w:rsidR="008A17D3">
      <w:instrText xml:space="preserve"> PRINTDATE \@ DD.MM.YY </w:instrText>
    </w:r>
    <w:r>
      <w:fldChar w:fldCharType="separate"/>
    </w:r>
    <w:r w:rsidR="0040333F">
      <w:t>02.12.10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D3" w:rsidRDefault="008A17D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A17D3" w:rsidRPr="005D74B2" w:rsidRDefault="00065947" w:rsidP="00866B0F">
    <w:pPr>
      <w:pStyle w:val="Footer"/>
      <w:rPr>
        <w:lang w:val="fr-CH"/>
      </w:rPr>
    </w:pPr>
    <w:fldSimple w:instr=" FILENAME \p  \* MERGEFORMAT ">
      <w:r w:rsidR="0040333F" w:rsidRPr="0040333F">
        <w:rPr>
          <w:lang w:val="fr-CH"/>
        </w:rPr>
        <w:t>P</w:t>
      </w:r>
      <w:r w:rsidR="0040333F">
        <w:t>:\RUS\SG\CONSEIL\C-EXT\000\008V2R.DOCX</w:t>
      </w:r>
    </w:fldSimple>
    <w:r w:rsidR="008A17D3" w:rsidRPr="005D74B2">
      <w:rPr>
        <w:lang w:val="fr-CH"/>
      </w:rPr>
      <w:t xml:space="preserve"> (298163)</w:t>
    </w:r>
    <w:r w:rsidR="008A17D3" w:rsidRPr="005D74B2">
      <w:rPr>
        <w:lang w:val="fr-CH"/>
      </w:rPr>
      <w:tab/>
    </w:r>
    <w:r>
      <w:fldChar w:fldCharType="begin"/>
    </w:r>
    <w:r w:rsidR="008A17D3">
      <w:instrText xml:space="preserve"> SAVEDATE \@ DD.MM.YY </w:instrText>
    </w:r>
    <w:r>
      <w:fldChar w:fldCharType="separate"/>
    </w:r>
    <w:r w:rsidR="0040333F">
      <w:t>02.12.10</w:t>
    </w:r>
    <w:r>
      <w:fldChar w:fldCharType="end"/>
    </w:r>
    <w:r w:rsidR="008A17D3" w:rsidRPr="005D74B2">
      <w:rPr>
        <w:lang w:val="fr-CH"/>
      </w:rPr>
      <w:tab/>
    </w:r>
    <w:r>
      <w:fldChar w:fldCharType="begin"/>
    </w:r>
    <w:r w:rsidR="008A17D3">
      <w:instrText xml:space="preserve"> PRINTDATE \@ DD.MM.YY </w:instrText>
    </w:r>
    <w:r>
      <w:fldChar w:fldCharType="separate"/>
    </w:r>
    <w:r w:rsidR="0040333F">
      <w:t>02.12.10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D3" w:rsidRDefault="008A17D3">
      <w:r>
        <w:t>____________________</w:t>
      </w:r>
    </w:p>
  </w:footnote>
  <w:footnote w:type="continuationSeparator" w:id="0">
    <w:p w:rsidR="008A17D3" w:rsidRDefault="008A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D3" w:rsidRPr="00187261" w:rsidRDefault="008A17D3" w:rsidP="00BD57B7">
    <w:pPr>
      <w:pStyle w:val="Header"/>
      <w:rPr>
        <w:lang w:val="ru-RU"/>
      </w:rPr>
    </w:pPr>
    <w:r>
      <w:rPr>
        <w:lang w:val="ru-RU"/>
      </w:rPr>
      <w:t xml:space="preserve">- </w:t>
    </w:r>
    <w:fldSimple w:instr="PAGE">
      <w:r w:rsidR="0040333F">
        <w:rPr>
          <w:noProof/>
        </w:rPr>
        <w:t>5</w:t>
      </w:r>
    </w:fldSimple>
    <w:r>
      <w:rPr>
        <w:lang w:val="ru-RU"/>
      </w:rPr>
      <w:t xml:space="preserve"> -</w:t>
    </w:r>
  </w:p>
  <w:p w:rsidR="008A17D3" w:rsidRDefault="008A17D3" w:rsidP="00866B0F">
    <w:pPr>
      <w:pStyle w:val="Header"/>
      <w:spacing w:after="480"/>
    </w:pPr>
    <w:r>
      <w:t>C</w:t>
    </w:r>
    <w:r>
      <w:rPr>
        <w:lang w:val="ru-RU"/>
      </w:rPr>
      <w:t>-</w:t>
    </w:r>
    <w:r>
      <w:rPr>
        <w:lang w:val="en-US"/>
      </w:rPr>
      <w:t>EXT</w:t>
    </w:r>
    <w:r>
      <w:t>/8-R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363976EC"/>
    <w:multiLevelType w:val="hybridMultilevel"/>
    <w:tmpl w:val="5E88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CD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5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6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7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A9131C"/>
    <w:rsid w:val="0002183E"/>
    <w:rsid w:val="000569B4"/>
    <w:rsid w:val="00065947"/>
    <w:rsid w:val="00080E82"/>
    <w:rsid w:val="000B2C37"/>
    <w:rsid w:val="000E568E"/>
    <w:rsid w:val="001226F1"/>
    <w:rsid w:val="00163A32"/>
    <w:rsid w:val="001761A6"/>
    <w:rsid w:val="00176FAA"/>
    <w:rsid w:val="00187261"/>
    <w:rsid w:val="00192B41"/>
    <w:rsid w:val="001B7B09"/>
    <w:rsid w:val="001E6719"/>
    <w:rsid w:val="00227FF0"/>
    <w:rsid w:val="00291EB6"/>
    <w:rsid w:val="002D2F57"/>
    <w:rsid w:val="002D48C5"/>
    <w:rsid w:val="003306CA"/>
    <w:rsid w:val="003F099E"/>
    <w:rsid w:val="003F235E"/>
    <w:rsid w:val="0040333F"/>
    <w:rsid w:val="00403DD8"/>
    <w:rsid w:val="0045686C"/>
    <w:rsid w:val="004918C4"/>
    <w:rsid w:val="004A45B5"/>
    <w:rsid w:val="004D0129"/>
    <w:rsid w:val="004E22C7"/>
    <w:rsid w:val="005A1BA7"/>
    <w:rsid w:val="005A64D5"/>
    <w:rsid w:val="005D74B2"/>
    <w:rsid w:val="00601994"/>
    <w:rsid w:val="006E2D42"/>
    <w:rsid w:val="00703676"/>
    <w:rsid w:val="00740168"/>
    <w:rsid w:val="00785ABD"/>
    <w:rsid w:val="007A2DD4"/>
    <w:rsid w:val="007D38B5"/>
    <w:rsid w:val="007D473C"/>
    <w:rsid w:val="00807255"/>
    <w:rsid w:val="0081023E"/>
    <w:rsid w:val="008173AA"/>
    <w:rsid w:val="00840A14"/>
    <w:rsid w:val="00862A03"/>
    <w:rsid w:val="00866B0F"/>
    <w:rsid w:val="008A17D3"/>
    <w:rsid w:val="008D2D7B"/>
    <w:rsid w:val="008E0737"/>
    <w:rsid w:val="008F7C2C"/>
    <w:rsid w:val="0091331C"/>
    <w:rsid w:val="00940E96"/>
    <w:rsid w:val="009B0BAE"/>
    <w:rsid w:val="009B73DD"/>
    <w:rsid w:val="00A71773"/>
    <w:rsid w:val="00A9131C"/>
    <w:rsid w:val="00AE2C85"/>
    <w:rsid w:val="00B63EF2"/>
    <w:rsid w:val="00BC0D39"/>
    <w:rsid w:val="00BC7BC0"/>
    <w:rsid w:val="00BD57B7"/>
    <w:rsid w:val="00BE63E2"/>
    <w:rsid w:val="00CF629C"/>
    <w:rsid w:val="00D144F5"/>
    <w:rsid w:val="00DA5D4E"/>
    <w:rsid w:val="00E176BA"/>
    <w:rsid w:val="00E423EC"/>
    <w:rsid w:val="00F26BC2"/>
    <w:rsid w:val="00F35898"/>
    <w:rsid w:val="00F5225B"/>
    <w:rsid w:val="00F96519"/>
    <w:rsid w:val="00FE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BC0D39"/>
    <w:pPr>
      <w:keepLines/>
      <w:tabs>
        <w:tab w:val="left" w:pos="255"/>
      </w:tabs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401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Theme="minorHAnsi" w:hAnsiTheme="minorHAns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link w:val="Rec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Body">
    <w:name w:val="Body"/>
    <w:rsid w:val="00740168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Table">
    <w:name w:val="Table_#"/>
    <w:basedOn w:val="Normal"/>
    <w:next w:val="Tabletitle"/>
    <w:rsid w:val="0074016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character" w:customStyle="1" w:styleId="enumlev1Char">
    <w:name w:val="enumlev1 Char"/>
    <w:basedOn w:val="DefaultParagraphFont"/>
    <w:link w:val="enumlev1"/>
    <w:rsid w:val="00740168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40168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740168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740168"/>
    <w:pPr>
      <w:spacing w:before="120"/>
    </w:pPr>
  </w:style>
  <w:style w:type="paragraph" w:customStyle="1" w:styleId="TableText0">
    <w:name w:val="Table_Text"/>
    <w:basedOn w:val="Normal"/>
    <w:rsid w:val="007401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740168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link w:val="BodyText2Char"/>
    <w:rsid w:val="0074016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740168"/>
    <w:rPr>
      <w:rFonts w:ascii="Calibri" w:hAnsi="Calibri"/>
      <w:lang w:val="en-GB" w:eastAsia="en-US"/>
    </w:rPr>
  </w:style>
  <w:style w:type="paragraph" w:styleId="BodyText">
    <w:name w:val="Body Text"/>
    <w:basedOn w:val="Normal"/>
    <w:link w:val="BodyTextChar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740168"/>
    <w:rPr>
      <w:rFonts w:ascii="Calibri" w:hAnsi="Calibri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0168"/>
    <w:rPr>
      <w:rFonts w:ascii="Calibri" w:hAnsi="Calibr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740168"/>
    <w:rPr>
      <w:b/>
    </w:rPr>
  </w:style>
  <w:style w:type="table" w:styleId="TableGrid">
    <w:name w:val="Table Grid"/>
    <w:basedOn w:val="TableNormal"/>
    <w:rsid w:val="007401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740168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740168"/>
    <w:pPr>
      <w:widowControl w:val="0"/>
      <w:tabs>
        <w:tab w:val="clear" w:pos="1588"/>
        <w:tab w:val="clear" w:pos="1985"/>
        <w:tab w:val="left" w:pos="397"/>
        <w:tab w:val="left" w:pos="567"/>
        <w:tab w:val="left" w:pos="1134"/>
        <w:tab w:val="left" w:pos="1701"/>
        <w:tab w:val="left" w:pos="2268"/>
        <w:tab w:val="left" w:pos="2835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410"/>
        <w:tab w:val="left" w:pos="2835"/>
        <w:tab w:val="left" w:pos="2921"/>
        <w:tab w:val="left" w:pos="3261"/>
      </w:tabs>
      <w:spacing w:before="160"/>
      <w:ind w:left="567" w:hanging="567"/>
      <w:outlineLvl w:val="9"/>
    </w:pPr>
    <w:rPr>
      <w:rFonts w:ascii="Times New Roman" w:hAnsi="Times New Roman"/>
      <w:i w:val="0"/>
      <w:lang w:val="fr-FR"/>
    </w:rPr>
  </w:style>
  <w:style w:type="character" w:customStyle="1" w:styleId="RecNoChar">
    <w:name w:val="Rec_No Char"/>
    <w:basedOn w:val="DefaultParagraphFont"/>
    <w:link w:val="RecNo"/>
    <w:rsid w:val="00740168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740168"/>
  </w:style>
  <w:style w:type="paragraph" w:customStyle="1" w:styleId="Rec">
    <w:name w:val="Rec_#"/>
    <w:basedOn w:val="Normal"/>
    <w:next w:val="RecTitle0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740168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740168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0168"/>
    <w:rPr>
      <w:rFonts w:ascii="Calibri" w:hAnsi="Calibri"/>
      <w:sz w:val="22"/>
      <w:lang w:val="en-GB" w:eastAsia="en-US"/>
    </w:rPr>
  </w:style>
  <w:style w:type="character" w:customStyle="1" w:styleId="ResNoChar1">
    <w:name w:val="Res_No Char1"/>
    <w:basedOn w:val="DefaultParagraphFont"/>
    <w:rsid w:val="00740168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0"/>
      <w:jc w:val="left"/>
    </w:pPr>
    <w:rPr>
      <w:b/>
    </w:rPr>
  </w:style>
  <w:style w:type="paragraph" w:customStyle="1" w:styleId="AnnextitleS2">
    <w:name w:val="Annex_title_S2"/>
    <w:basedOn w:val="Annextitle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0"/>
      <w:jc w:val="left"/>
    </w:pPr>
    <w:rPr>
      <w:b/>
      <w:sz w:val="26"/>
    </w:rPr>
  </w:style>
  <w:style w:type="paragraph" w:customStyle="1" w:styleId="AppendixtitleS2">
    <w:name w:val="Appendix_title_S2"/>
    <w:basedOn w:val="Appendixtitle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2"/>
    </w:rPr>
  </w:style>
  <w:style w:type="paragraph" w:customStyle="1" w:styleId="ArtheadingS2">
    <w:name w:val="Art_heading_S2"/>
    <w:basedOn w:val="Artheading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rFonts w:ascii="Calibri" w:hAnsi="Calibri"/>
      <w:sz w:val="22"/>
    </w:rPr>
  </w:style>
  <w:style w:type="paragraph" w:customStyle="1" w:styleId="ArtNoS2">
    <w:name w:val="Art_No_S2"/>
    <w:basedOn w:val="Art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left"/>
    </w:pPr>
    <w:rPr>
      <w:sz w:val="22"/>
    </w:rPr>
  </w:style>
  <w:style w:type="paragraph" w:customStyle="1" w:styleId="ChaptitleS2">
    <w:name w:val="Chap_title_S2"/>
    <w:basedOn w:val="Chaptitle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4"/>
    </w:rPr>
  </w:style>
  <w:style w:type="paragraph" w:styleId="Date">
    <w:name w:val="Date"/>
    <w:basedOn w:val="Normal"/>
    <w:link w:val="DateChar"/>
    <w:rsid w:val="00740168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740168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740168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</w:pPr>
    <w:rPr>
      <w:b/>
    </w:rPr>
  </w:style>
  <w:style w:type="paragraph" w:customStyle="1" w:styleId="enumlev2S2">
    <w:name w:val="enumlev2_S2"/>
    <w:basedOn w:val="enumlev2"/>
    <w:rsid w:val="00740168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</w:pPr>
    <w:rPr>
      <w:b/>
    </w:rPr>
  </w:style>
  <w:style w:type="paragraph" w:customStyle="1" w:styleId="enumlev3S2">
    <w:name w:val="enumlev3_S2"/>
    <w:basedOn w:val="enumlev3"/>
    <w:rsid w:val="00740168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</w:pPr>
    <w:rPr>
      <w:b/>
    </w:rPr>
  </w:style>
  <w:style w:type="paragraph" w:customStyle="1" w:styleId="firstfooter0">
    <w:name w:val="firstfooter"/>
    <w:basedOn w:val="Normal"/>
    <w:rsid w:val="007401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740168"/>
    <w:pPr>
      <w:tabs>
        <w:tab w:val="clear" w:pos="5954"/>
        <w:tab w:val="clear" w:pos="9639"/>
        <w:tab w:val="left" w:pos="3686"/>
        <w:tab w:val="right" w:pos="7655"/>
      </w:tabs>
      <w:ind w:left="-1985"/>
    </w:pPr>
    <w:rPr>
      <w:lang w:val="en-GB"/>
    </w:rPr>
  </w:style>
  <w:style w:type="paragraph" w:customStyle="1" w:styleId="FootnoteTextS2">
    <w:name w:val="Footnote Text_S2"/>
    <w:basedOn w:val="FootnoteText"/>
    <w:rsid w:val="00740168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740168"/>
    <w:pPr>
      <w:tabs>
        <w:tab w:val="clear" w:pos="794"/>
        <w:tab w:val="clear" w:pos="1191"/>
        <w:tab w:val="clear" w:pos="1588"/>
        <w:tab w:val="clear" w:pos="198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401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40168"/>
  </w:style>
  <w:style w:type="paragraph" w:customStyle="1" w:styleId="Heading2S2">
    <w:name w:val="Heading 2_S2"/>
    <w:basedOn w:val="Heading2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567" w:hanging="567"/>
    </w:pPr>
  </w:style>
  <w:style w:type="paragraph" w:customStyle="1" w:styleId="Heading2i">
    <w:name w:val="Heading 2i"/>
    <w:basedOn w:val="Heading2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567" w:hanging="567"/>
    </w:pPr>
    <w:rPr>
      <w:b w:val="0"/>
      <w:i/>
    </w:rPr>
  </w:style>
  <w:style w:type="paragraph" w:customStyle="1" w:styleId="Heading2iS2">
    <w:name w:val="Heading 2i_S2"/>
    <w:basedOn w:val="Heading2i"/>
    <w:next w:val="Normal"/>
    <w:rsid w:val="007401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40168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567" w:hanging="567"/>
    </w:pPr>
    <w:rPr>
      <w:rFonts w:ascii="Calibri" w:hAnsi="Calibri"/>
      <w:i w:val="0"/>
    </w:rPr>
  </w:style>
  <w:style w:type="paragraph" w:customStyle="1" w:styleId="Heading3pv">
    <w:name w:val="Heading 3pv"/>
    <w:basedOn w:val="Heading1pv"/>
    <w:next w:val="Normal"/>
    <w:rsid w:val="00740168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40168"/>
    <w:pPr>
      <w:tabs>
        <w:tab w:val="left" w:pos="851"/>
      </w:tabs>
      <w:ind w:left="1134" w:hanging="1134"/>
    </w:pPr>
    <w:rPr>
      <w:rFonts w:ascii="Calibri" w:hAnsi="Calibri"/>
      <w:b/>
      <w:i w:val="0"/>
    </w:rPr>
  </w:style>
  <w:style w:type="paragraph" w:customStyle="1" w:styleId="Heading5S2">
    <w:name w:val="Heading 5_S2"/>
    <w:basedOn w:val="Heading5"/>
    <w:next w:val="Normal"/>
    <w:rsid w:val="00740168"/>
    <w:pPr>
      <w:tabs>
        <w:tab w:val="left" w:pos="851"/>
      </w:tabs>
      <w:ind w:left="1134" w:hanging="1134"/>
    </w:pPr>
    <w:rPr>
      <w:rFonts w:ascii="Calibri" w:hAnsi="Calibri"/>
      <w:b/>
      <w:i w:val="0"/>
    </w:rPr>
  </w:style>
  <w:style w:type="paragraph" w:customStyle="1" w:styleId="Heading6S2">
    <w:name w:val="Heading 6_S2"/>
    <w:basedOn w:val="Heading6"/>
    <w:next w:val="Normal"/>
    <w:rsid w:val="00740168"/>
    <w:pPr>
      <w:tabs>
        <w:tab w:val="left" w:pos="851"/>
      </w:tabs>
      <w:ind w:left="1134" w:hanging="1134"/>
    </w:pPr>
    <w:rPr>
      <w:rFonts w:ascii="Calibri" w:hAnsi="Calibri"/>
      <w:b/>
      <w:i w:val="0"/>
    </w:rPr>
  </w:style>
  <w:style w:type="paragraph" w:customStyle="1" w:styleId="Heading7S2">
    <w:name w:val="Heading 7_S2"/>
    <w:basedOn w:val="Heading7"/>
    <w:next w:val="Normal"/>
    <w:rsid w:val="00740168"/>
    <w:pPr>
      <w:tabs>
        <w:tab w:val="left" w:pos="851"/>
      </w:tabs>
      <w:ind w:left="1701" w:hanging="1701"/>
    </w:pPr>
    <w:rPr>
      <w:rFonts w:ascii="Calibri" w:hAnsi="Calibri"/>
      <w:b/>
      <w:i w:val="0"/>
    </w:rPr>
  </w:style>
  <w:style w:type="paragraph" w:customStyle="1" w:styleId="Heading8S2">
    <w:name w:val="Heading 8_S2"/>
    <w:basedOn w:val="Heading8"/>
    <w:next w:val="Normal"/>
    <w:rsid w:val="00740168"/>
    <w:pPr>
      <w:tabs>
        <w:tab w:val="left" w:pos="851"/>
      </w:tabs>
      <w:ind w:left="1701" w:hanging="1701"/>
    </w:pPr>
    <w:rPr>
      <w:rFonts w:ascii="Calibri" w:hAnsi="Calibri"/>
      <w:b/>
      <w:i w:val="0"/>
    </w:rPr>
  </w:style>
  <w:style w:type="paragraph" w:customStyle="1" w:styleId="Heading9S2">
    <w:name w:val="Heading 9_S2"/>
    <w:basedOn w:val="Heading9"/>
    <w:next w:val="Normal"/>
    <w:rsid w:val="00740168"/>
    <w:pPr>
      <w:tabs>
        <w:tab w:val="left" w:pos="851"/>
      </w:tabs>
      <w:ind w:left="1701" w:hanging="1701"/>
    </w:pPr>
    <w:rPr>
      <w:rFonts w:ascii="Calibri" w:hAnsi="Calibri"/>
      <w:b/>
      <w:i w:val="0"/>
    </w:rPr>
  </w:style>
  <w:style w:type="paragraph" w:customStyle="1" w:styleId="HeadingbS2">
    <w:name w:val="Headingb_S2"/>
    <w:basedOn w:val="Headingb"/>
    <w:next w:val="Normal"/>
    <w:rsid w:val="00740168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</w:rPr>
  </w:style>
  <w:style w:type="paragraph" w:customStyle="1" w:styleId="HeadingiS2">
    <w:name w:val="Headingi_S2"/>
    <w:basedOn w:val="Headingi"/>
    <w:next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567" w:hanging="567"/>
      <w:outlineLvl w:val="0"/>
    </w:pPr>
    <w:rPr>
      <w:rFonts w:ascii="Calibri" w:hAnsi="Calibri"/>
      <w:b/>
      <w:i w:val="0"/>
    </w:rPr>
  </w:style>
  <w:style w:type="paragraph" w:customStyle="1" w:styleId="MinusFootnote">
    <w:name w:val="MinusFootnote"/>
    <w:basedOn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7401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/>
    </w:pPr>
    <w:rPr>
      <w:b/>
    </w:rPr>
  </w:style>
  <w:style w:type="paragraph" w:customStyle="1" w:styleId="NormalIndentS2">
    <w:name w:val="Normal Indent_S2"/>
    <w:basedOn w:val="NormalIndent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40168"/>
  </w:style>
  <w:style w:type="paragraph" w:customStyle="1" w:styleId="NormalendS2">
    <w:name w:val="Normal_end_S2"/>
    <w:basedOn w:val="Normal"/>
    <w:qFormat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lang w:val="en-US"/>
    </w:rPr>
  </w:style>
  <w:style w:type="paragraph" w:customStyle="1" w:styleId="NormalS2">
    <w:name w:val="Normal_S2"/>
    <w:basedOn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</w:pPr>
    <w:rPr>
      <w:b/>
    </w:rPr>
  </w:style>
  <w:style w:type="paragraph" w:customStyle="1" w:styleId="NoteS2">
    <w:name w:val="Note_S2"/>
    <w:basedOn w:val="Note"/>
    <w:rsid w:val="00740168"/>
    <w:pPr>
      <w:tabs>
        <w:tab w:val="left" w:pos="851"/>
      </w:tabs>
      <w:spacing w:before="120"/>
    </w:pPr>
    <w:rPr>
      <w:b/>
    </w:rPr>
  </w:style>
  <w:style w:type="paragraph" w:customStyle="1" w:styleId="ReasonsS2">
    <w:name w:val="Reasons_S2"/>
    <w:basedOn w:val="Reasons"/>
    <w:rsid w:val="0074016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40168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40168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spacing w:before="600"/>
    </w:pPr>
    <w:rPr>
      <w:b w:val="0"/>
      <w:caps w:val="0"/>
    </w:rPr>
  </w:style>
  <w:style w:type="paragraph" w:customStyle="1" w:styleId="Section1S2">
    <w:name w:val="Section 1_S2"/>
    <w:basedOn w:val="Section1"/>
    <w:next w:val="NormalS2"/>
    <w:rsid w:val="00740168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40168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40168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740168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after="0"/>
    </w:pPr>
    <w:rPr>
      <w:b/>
      <w:sz w:val="22"/>
    </w:rPr>
  </w:style>
  <w:style w:type="paragraph" w:customStyle="1" w:styleId="TableNoS2">
    <w:name w:val="Table_No_S2"/>
    <w:basedOn w:val="TableNo"/>
    <w:next w:val="Normal"/>
    <w:rsid w:val="00740168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0"/>
      <w:jc w:val="left"/>
    </w:pPr>
    <w:rPr>
      <w:b/>
    </w:rPr>
  </w:style>
  <w:style w:type="paragraph" w:customStyle="1" w:styleId="TabletextS2">
    <w:name w:val="Table_text_S2"/>
    <w:basedOn w:val="Tabletext"/>
    <w:rsid w:val="00740168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60" w:after="60"/>
    </w:pPr>
    <w:rPr>
      <w:b/>
      <w:sz w:val="22"/>
    </w:rPr>
  </w:style>
  <w:style w:type="paragraph" w:customStyle="1" w:styleId="TabletitleS2">
    <w:name w:val="Table_title_S2"/>
    <w:basedOn w:val="Tabletitle"/>
    <w:next w:val="TabletextS2"/>
    <w:rsid w:val="00740168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740168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locked/>
    <w:rsid w:val="00740168"/>
    <w:rPr>
      <w:rFonts w:ascii="Calibri" w:hAnsi="Calibri"/>
      <w:sz w:val="18"/>
      <w:lang w:val="fr-FR" w:eastAsia="en-US"/>
    </w:rPr>
  </w:style>
  <w:style w:type="paragraph" w:customStyle="1" w:styleId="HPMbodytext">
    <w:name w:val="HPMbodytext"/>
    <w:basedOn w:val="Normal"/>
    <w:rsid w:val="007401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Arial" w:hAnsi="Arial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2E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council/cext-2010/pd/cext-3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cext-2010/pd/cext-4E.doc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PR_C10.dotm</Template>
  <TotalTime>9</TotalTime>
  <Pages>11</Pages>
  <Words>3667</Words>
  <Characters>24557</Characters>
  <Application>Microsoft Office Word</Application>
  <DocSecurity>0</DocSecurity>
  <Lines>204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28168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Novikova</dc:creator>
  <cp:keywords>C2004, C04</cp:keywords>
  <dc:description>Документ C05/xx-R  For: _x000d_Document date: Дата_x000d_Saved by RUS38507 at 8:49:12 AM on 2/8/2005</dc:description>
  <cp:lastModifiedBy>antipina</cp:lastModifiedBy>
  <cp:revision>7</cp:revision>
  <cp:lastPrinted>2010-12-02T09:17:00Z</cp:lastPrinted>
  <dcterms:created xsi:type="dcterms:W3CDTF">2010-12-01T14:55:00Z</dcterms:created>
  <dcterms:modified xsi:type="dcterms:W3CDTF">2010-12-02T09:17:00Z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